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drawings/drawing8.xml" ContentType="application/vnd.openxmlformats-officedocument.drawingml.chartshapes+xml"/>
  <Override PartName="/word/drawings/drawing6.xml" ContentType="application/vnd.openxmlformats-officedocument.drawingml.chartshapes+xml"/>
  <Override PartName="/word/drawings/drawing18.xml" ContentType="application/vnd.openxmlformats-officedocument.drawingml.chartshapes+xml"/>
  <Override PartName="/word/drawings/drawing29.xml" ContentType="application/vnd.openxmlformats-officedocument.drawingml.chartshapes+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rawings/drawing4.xml" ContentType="application/vnd.openxmlformats-officedocument.drawingml.chartshapes+xml"/>
  <Override PartName="/word/charts/chart9.xml" ContentType="application/vnd.openxmlformats-officedocument.drawingml.chart+xml"/>
  <Override PartName="/word/drawings/drawing16.xml" ContentType="application/vnd.openxmlformats-officedocument.drawingml.chartshapes+xml"/>
  <Override PartName="/word/charts/chart19.xml" ContentType="application/vnd.openxmlformats-officedocument.drawingml.chart+xml"/>
  <Override PartName="/word/drawings/drawing25.xml" ContentType="application/vnd.openxmlformats-officedocument.drawingml.chartshapes+xml"/>
  <Override PartName="/word/charts/chart28.xml" ContentType="application/vnd.openxmlformats-officedocument.drawingml.chart+xml"/>
  <Override PartName="/word/drawings/drawing27.xml" ContentType="application/vnd.openxmlformats-officedocument.drawingml.chartshapes+xml"/>
  <Override PartName="/word/drawings/drawing36.xml" ContentType="application/vnd.openxmlformats-officedocument.drawingml.chartshapes+xml"/>
  <Override PartName="/word/charts/chart39.xml" ContentType="application/vnd.openxmlformats-officedocument.drawingml.chart+xml"/>
  <Override PartName="/word/drawings/drawing2.xml" ContentType="application/vnd.openxmlformats-officedocument.drawingml.chartshapes+xml"/>
  <Override PartName="/word/charts/chart7.xml" ContentType="application/vnd.openxmlformats-officedocument.drawingml.chart+xml"/>
  <Override PartName="/word/drawings/drawing14.xml" ContentType="application/vnd.openxmlformats-officedocument.drawingml.chartshapes+xml"/>
  <Override PartName="/word/charts/chart17.xml" ContentType="application/vnd.openxmlformats-officedocument.drawingml.chart+xml"/>
  <Override PartName="/word/drawings/drawing23.xml" ContentType="application/vnd.openxmlformats-officedocument.drawingml.chartshapes+xml"/>
  <Override PartName="/word/charts/chart26.xml" ContentType="application/vnd.openxmlformats-officedocument.drawingml.chart+xml"/>
  <Override PartName="/word/drawings/drawing34.xml" ContentType="application/vnd.openxmlformats-officedocument.drawingml.chartshapes+xml"/>
  <Override PartName="/word/charts/chart37.xml" ContentType="application/vnd.openxmlformats-officedocument.drawingml.chart+xml"/>
  <Override PartName="/word/charts/chart5.xml" ContentType="application/vnd.openxmlformats-officedocument.drawingml.chart+xml"/>
  <Override PartName="/word/drawings/drawing12.xml" ContentType="application/vnd.openxmlformats-officedocument.drawingml.chartshapes+xml"/>
  <Override PartName="/word/charts/chart15.xml" ContentType="application/vnd.openxmlformats-officedocument.drawingml.chart+xml"/>
  <Override PartName="/word/drawings/drawing21.xml" ContentType="application/vnd.openxmlformats-officedocument.drawingml.chartshapes+xml"/>
  <Override PartName="/word/charts/chart24.xml" ContentType="application/vnd.openxmlformats-officedocument.drawingml.chart+xml"/>
  <Override PartName="/word/drawings/drawing32.xml" ContentType="application/vnd.openxmlformats-officedocument.drawingml.chartshapes+xml"/>
  <Override PartName="/word/charts/chart35.xml" ContentType="application/vnd.openxmlformats-officedocument.drawingml.chart+xml"/>
  <Override PartName="/word/footer1.xml" ContentType="application/vnd.openxmlformats-officedocument.wordprocessingml.footer+xml"/>
  <Override PartName="/word/charts/chart3.xml" ContentType="application/vnd.openxmlformats-officedocument.drawingml.chart+xml"/>
  <Override PartName="/word/drawings/drawing10.xml" ContentType="application/vnd.openxmlformats-officedocument.drawingml.chartshapes+xml"/>
  <Override PartName="/word/charts/chart13.xml" ContentType="application/vnd.openxmlformats-officedocument.drawingml.chart+xml"/>
  <Override PartName="/word/charts/chart22.xml" ContentType="application/vnd.openxmlformats-officedocument.drawingml.chart+xml"/>
  <Override PartName="/word/charts/chart31.xml" ContentType="application/vnd.openxmlformats-officedocument.drawingml.chart+xml"/>
  <Override PartName="/word/drawings/drawing30.xml" ContentType="application/vnd.openxmlformats-officedocument.drawingml.chartshapes+xml"/>
  <Override PartName="/word/charts/chart33.xml" ContentType="application/vnd.openxmlformats-officedocument.drawingml.chart+xml"/>
  <Override PartName="/word/charts/chart1.xml" ContentType="application/vnd.openxmlformats-officedocument.drawingml.chart+xml"/>
  <Override PartName="/word/charts/chart11.xml" ContentType="application/vnd.openxmlformats-officedocument.drawingml.chart+xml"/>
  <Override PartName="/word/charts/chart20.xml" ContentType="application/vnd.openxmlformats-officedocument.drawingml.chart+xml"/>
  <Default Extension="png" ContentType="image/png"/>
  <Override PartName="/word/drawings/drawing9.xml" ContentType="application/vnd.openxmlformats-officedocument.drawingml.chartshapes+xml"/>
  <Default Extension="jpeg" ContentType="image/jpeg"/>
  <Default Extension="emf" ContentType="image/x-emf"/>
  <Override PartName="/word/drawings/drawing7.xml" ContentType="application/vnd.openxmlformats-officedocument.drawingml.chartshapes+xml"/>
  <Override PartName="/word/drawings/drawing19.xml" ContentType="application/vnd.openxmlformats-officedocument.drawingml.chartshapes+xml"/>
  <Override PartName="/word/drawings/drawing28.xml" ContentType="application/vnd.openxmlformats-officedocument.drawingml.chartshapes+xml"/>
  <Override PartName="/word/numbering.xml" ContentType="application/vnd.openxmlformats-officedocument.wordprocessingml.numbering+xml"/>
  <Override PartName="/word/endnotes.xml" ContentType="application/vnd.openxmlformats-officedocument.wordprocessingml.endnotes+xml"/>
  <Override PartName="/word/drawings/drawing3.xml" ContentType="application/vnd.openxmlformats-officedocument.drawingml.chartshapes+xml"/>
  <Override PartName="/word/drawings/drawing5.xml" ContentType="application/vnd.openxmlformats-officedocument.drawingml.chartshapes+xml"/>
  <Override PartName="/word/charts/chart8.xml" ContentType="application/vnd.openxmlformats-officedocument.drawingml.chart+xml"/>
  <Override PartName="/word/drawings/drawing17.xml" ContentType="application/vnd.openxmlformats-officedocument.drawingml.chartshapes+xml"/>
  <Override PartName="/word/drawings/drawing26.xml" ContentType="application/vnd.openxmlformats-officedocument.drawingml.chartshapes+xml"/>
  <Override PartName="/word/charts/chart29.xml" ContentType="application/vnd.openxmlformats-officedocument.drawingml.chart+xml"/>
  <Override PartName="/word/drawings/drawing35.xml" ContentType="application/vnd.openxmlformats-officedocument.drawingml.chartshapes+xml"/>
  <Override PartName="/word/charts/chart3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Override PartName="/word/drawings/drawing15.xml" ContentType="application/vnd.openxmlformats-officedocument.drawingml.chartshapes+xml"/>
  <Override PartName="/word/charts/chart18.xml" ContentType="application/vnd.openxmlformats-officedocument.drawingml.chart+xml"/>
  <Override PartName="/word/drawings/drawing24.xml" ContentType="application/vnd.openxmlformats-officedocument.drawingml.chartshapes+xml"/>
  <Override PartName="/word/charts/chart27.xml" ContentType="application/vnd.openxmlformats-officedocument.drawingml.chart+xml"/>
  <Override PartName="/word/drawings/drawing33.xml" ContentType="application/vnd.openxmlformats-officedocument.drawingml.chartshapes+xml"/>
  <Override PartName="/word/charts/chart36.xml" ContentType="application/vnd.openxmlformats-officedocument.drawingml.chart+xml"/>
  <Override PartName="/word/charts/chart4.xml" ContentType="application/vnd.openxmlformats-officedocument.drawingml.chart+xml"/>
  <Override PartName="/word/drawings/drawing13.xml" ContentType="application/vnd.openxmlformats-officedocument.drawingml.chartshapes+xml"/>
  <Override PartName="/word/charts/chart16.xml" ContentType="application/vnd.openxmlformats-officedocument.drawingml.chart+xml"/>
  <Override PartName="/word/drawings/drawing22.xml" ContentType="application/vnd.openxmlformats-officedocument.drawingml.chartshapes+xml"/>
  <Override PartName="/word/charts/chart25.xml" ContentType="application/vnd.openxmlformats-officedocument.drawingml.chart+xml"/>
  <Override PartName="/word/drawings/drawing31.xml" ContentType="application/vnd.openxmlformats-officedocument.drawingml.chartshapes+xml"/>
  <Override PartName="/word/charts/chart3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drawings/drawing11.xml" ContentType="application/vnd.openxmlformats-officedocument.drawingml.chartshapes+xml"/>
  <Override PartName="/word/charts/chart14.xml" ContentType="application/vnd.openxmlformats-officedocument.drawingml.chart+xml"/>
  <Override PartName="/word/drawings/drawing20.xml" ContentType="application/vnd.openxmlformats-officedocument.drawingml.chartshapes+xml"/>
  <Override PartName="/word/charts/chart23.xml" ContentType="application/vnd.openxmlformats-officedocument.drawingml.chart+xml"/>
  <Override PartName="/word/charts/chart3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2.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4521" w:rsidRDefault="009065CF">
      <w:r>
        <w:rPr>
          <w:noProof/>
          <w:lang w:val="en-US"/>
        </w:rPr>
        <w:drawing>
          <wp:anchor distT="0" distB="0" distL="114300" distR="114300" simplePos="0" relativeHeight="251663360" behindDoc="0" locked="0" layoutInCell="1" allowOverlap="1">
            <wp:simplePos x="0" y="0"/>
            <wp:positionH relativeFrom="column">
              <wp:posOffset>5400675</wp:posOffset>
            </wp:positionH>
            <wp:positionV relativeFrom="paragraph">
              <wp:posOffset>171450</wp:posOffset>
            </wp:positionV>
            <wp:extent cx="847725" cy="304800"/>
            <wp:effectExtent l="1905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847725" cy="304800"/>
                    </a:xfrm>
                    <a:prstGeom prst="rect">
                      <a:avLst/>
                    </a:prstGeom>
                    <a:noFill/>
                  </pic:spPr>
                </pic:pic>
              </a:graphicData>
            </a:graphic>
          </wp:anchor>
        </w:drawing>
      </w:r>
      <w:r>
        <w:rPr>
          <w:noProof/>
          <w:lang w:val="en-US"/>
        </w:rPr>
        <w:drawing>
          <wp:anchor distT="0" distB="0" distL="114300" distR="114300" simplePos="0" relativeHeight="251659264" behindDoc="0" locked="0" layoutInCell="1" allowOverlap="1">
            <wp:simplePos x="0" y="0"/>
            <wp:positionH relativeFrom="column">
              <wp:posOffset>-447675</wp:posOffset>
            </wp:positionH>
            <wp:positionV relativeFrom="paragraph">
              <wp:posOffset>-657225</wp:posOffset>
            </wp:positionV>
            <wp:extent cx="1270000" cy="1600200"/>
            <wp:effectExtent l="19050" t="0" r="6350" b="0"/>
            <wp:wrapNone/>
            <wp:docPr id="2" name="Picture 1" descr="Cancer Network Jigs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cer Network Jigsaw"/>
                    <pic:cNvPicPr>
                      <a:picLocks noChangeAspect="1" noChangeArrowheads="1"/>
                    </pic:cNvPicPr>
                  </pic:nvPicPr>
                  <pic:blipFill>
                    <a:blip r:embed="rId9" cstate="print"/>
                    <a:srcRect/>
                    <a:stretch>
                      <a:fillRect/>
                    </a:stretch>
                  </pic:blipFill>
                  <pic:spPr bwMode="auto">
                    <a:xfrm>
                      <a:off x="0" y="0"/>
                      <a:ext cx="1270000" cy="1600200"/>
                    </a:xfrm>
                    <a:prstGeom prst="rect">
                      <a:avLst/>
                    </a:prstGeom>
                    <a:noFill/>
                    <a:ln w="9525">
                      <a:noFill/>
                      <a:miter lim="800000"/>
                      <a:headEnd/>
                      <a:tailEnd/>
                    </a:ln>
                  </pic:spPr>
                </pic:pic>
              </a:graphicData>
            </a:graphic>
          </wp:anchor>
        </w:drawing>
      </w:r>
      <w:r w:rsidR="00614521">
        <w:tab/>
      </w:r>
      <w:r w:rsidR="00614521">
        <w:tab/>
      </w:r>
      <w:r w:rsidR="00614521">
        <w:tab/>
      </w:r>
      <w:r w:rsidRPr="009065CF">
        <w:rPr>
          <w:noProof/>
          <w:lang w:val="en-US"/>
        </w:rPr>
        <w:drawing>
          <wp:anchor distT="0" distB="0" distL="114300" distR="114300" simplePos="0" relativeHeight="251666432" behindDoc="0" locked="0" layoutInCell="1" allowOverlap="1">
            <wp:simplePos x="0" y="0"/>
            <wp:positionH relativeFrom="column">
              <wp:posOffset>4572000</wp:posOffset>
            </wp:positionH>
            <wp:positionV relativeFrom="paragraph">
              <wp:posOffset>-581025</wp:posOffset>
            </wp:positionV>
            <wp:extent cx="1676400" cy="628650"/>
            <wp:effectExtent l="19050" t="0" r="0" b="0"/>
            <wp:wrapSquare wrapText="bothSides"/>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srcRect/>
                    <a:stretch>
                      <a:fillRect/>
                    </a:stretch>
                  </pic:blipFill>
                  <pic:spPr bwMode="auto">
                    <a:xfrm>
                      <a:off x="0" y="0"/>
                      <a:ext cx="1676400" cy="628650"/>
                    </a:xfrm>
                    <a:prstGeom prst="rect">
                      <a:avLst/>
                    </a:prstGeom>
                    <a:noFill/>
                    <a:ln w="9525">
                      <a:noFill/>
                      <a:miter lim="800000"/>
                      <a:headEnd/>
                      <a:tailEnd/>
                    </a:ln>
                  </pic:spPr>
                </pic:pic>
              </a:graphicData>
            </a:graphic>
          </wp:anchor>
        </w:drawing>
      </w:r>
    </w:p>
    <w:p w:rsidR="00614521" w:rsidRDefault="00AF55AD">
      <w:r w:rsidRPr="00AF55AD">
        <w:rPr>
          <w:noProof/>
          <w:lang w:eastAsia="en-GB"/>
        </w:rPr>
        <w:pict>
          <v:shapetype id="_x0000_t202" coordsize="21600,21600" o:spt="202" path="m,l,21600r21600,l21600,xe">
            <v:stroke joinstyle="miter"/>
            <v:path gradientshapeok="t" o:connecttype="rect"/>
          </v:shapetype>
          <v:shape id="_x0000_s1028" type="#_x0000_t202" style="position:absolute;margin-left:309.45pt;margin-top:18.05pt;width:189pt;height:18pt;z-index:251664384" stroked="f">
            <v:textbox style="mso-next-textbox:#_x0000_s1028">
              <w:txbxContent>
                <w:p w:rsidR="00ED74A6" w:rsidRDefault="00ED74A6" w:rsidP="00110835">
                  <w:pPr>
                    <w:jc w:val="right"/>
                    <w:rPr>
                      <w:rFonts w:ascii="Calibri" w:eastAsia="Calibri" w:hAnsi="Calibri" w:cs="Times New Roman"/>
                    </w:rPr>
                  </w:pPr>
                  <w:r>
                    <w:rPr>
                      <w:rFonts w:ascii="Calibri" w:eastAsia="Calibri" w:hAnsi="Calibri" w:cs="Arial"/>
                      <w:b/>
                      <w:i/>
                    </w:rPr>
                    <w:t>National Cancer Action Team</w:t>
                  </w:r>
                </w:p>
              </w:txbxContent>
            </v:textbox>
            <w10:wrap side="left"/>
          </v:shape>
        </w:pict>
      </w:r>
    </w:p>
    <w:p w:rsidR="00614521" w:rsidRDefault="00614521"/>
    <w:p w:rsidR="00614521" w:rsidRDefault="00614521"/>
    <w:p w:rsidR="00614521" w:rsidRDefault="00614521"/>
    <w:p w:rsidR="00296691" w:rsidRDefault="00296691"/>
    <w:p w:rsidR="00296691" w:rsidRDefault="00296691"/>
    <w:p w:rsidR="00614521" w:rsidRDefault="00614521"/>
    <w:p w:rsidR="00614521" w:rsidRDefault="00614521"/>
    <w:p w:rsidR="00614521" w:rsidRDefault="00614521"/>
    <w:p w:rsidR="00614521" w:rsidRDefault="00614521" w:rsidP="00614521">
      <w:pPr>
        <w:jc w:val="center"/>
        <w:rPr>
          <w:rFonts w:ascii="Arial" w:hAnsi="Arial" w:cs="Arial"/>
          <w:b/>
          <w:sz w:val="36"/>
          <w:szCs w:val="36"/>
        </w:rPr>
      </w:pPr>
      <w:r w:rsidRPr="00614521">
        <w:rPr>
          <w:rFonts w:ascii="Arial" w:hAnsi="Arial" w:cs="Arial"/>
          <w:b/>
          <w:sz w:val="36"/>
          <w:szCs w:val="36"/>
        </w:rPr>
        <w:t xml:space="preserve">Baseline Assessment of </w:t>
      </w:r>
      <w:r w:rsidR="00C47883">
        <w:rPr>
          <w:rFonts w:ascii="Arial" w:hAnsi="Arial" w:cs="Arial"/>
          <w:b/>
          <w:sz w:val="36"/>
          <w:szCs w:val="36"/>
        </w:rPr>
        <w:t>Colorectal</w:t>
      </w:r>
      <w:r w:rsidRPr="00614521">
        <w:rPr>
          <w:rFonts w:ascii="Arial" w:hAnsi="Arial" w:cs="Arial"/>
          <w:b/>
          <w:sz w:val="36"/>
          <w:szCs w:val="36"/>
        </w:rPr>
        <w:t xml:space="preserve"> Cancer</w:t>
      </w:r>
    </w:p>
    <w:p w:rsidR="00ED77E6" w:rsidRPr="00614521" w:rsidRDefault="00ED77E6" w:rsidP="00614521">
      <w:pPr>
        <w:jc w:val="center"/>
        <w:rPr>
          <w:rFonts w:ascii="Arial" w:hAnsi="Arial" w:cs="Arial"/>
          <w:b/>
          <w:sz w:val="36"/>
          <w:szCs w:val="36"/>
        </w:rPr>
      </w:pPr>
      <w:r>
        <w:rPr>
          <w:rFonts w:ascii="Arial" w:hAnsi="Arial" w:cs="Arial"/>
          <w:b/>
          <w:sz w:val="36"/>
          <w:szCs w:val="36"/>
        </w:rPr>
        <w:t>South West London Cancer Network</w:t>
      </w:r>
    </w:p>
    <w:p w:rsidR="00614521" w:rsidRDefault="00614521" w:rsidP="00614521">
      <w:pPr>
        <w:jc w:val="center"/>
        <w:rPr>
          <w:b/>
          <w:sz w:val="36"/>
          <w:szCs w:val="36"/>
        </w:rPr>
      </w:pPr>
    </w:p>
    <w:p w:rsidR="00614521" w:rsidRDefault="00614521" w:rsidP="00614521">
      <w:pPr>
        <w:jc w:val="center"/>
        <w:rPr>
          <w:b/>
          <w:sz w:val="36"/>
          <w:szCs w:val="36"/>
        </w:rPr>
      </w:pPr>
    </w:p>
    <w:p w:rsidR="00614521" w:rsidRDefault="00614521" w:rsidP="00614521">
      <w:pPr>
        <w:jc w:val="center"/>
        <w:rPr>
          <w:b/>
          <w:sz w:val="36"/>
          <w:szCs w:val="36"/>
        </w:rPr>
      </w:pPr>
    </w:p>
    <w:p w:rsidR="00614521" w:rsidRDefault="00614521" w:rsidP="00614521">
      <w:pPr>
        <w:jc w:val="center"/>
        <w:rPr>
          <w:b/>
          <w:sz w:val="36"/>
          <w:szCs w:val="36"/>
        </w:rPr>
      </w:pPr>
    </w:p>
    <w:p w:rsidR="00614521" w:rsidRDefault="00614521" w:rsidP="00614521">
      <w:pPr>
        <w:jc w:val="center"/>
        <w:rPr>
          <w:b/>
          <w:sz w:val="36"/>
          <w:szCs w:val="36"/>
        </w:rPr>
      </w:pPr>
    </w:p>
    <w:p w:rsidR="00614521" w:rsidRDefault="00614521" w:rsidP="00614521">
      <w:pPr>
        <w:jc w:val="center"/>
        <w:rPr>
          <w:b/>
          <w:sz w:val="36"/>
          <w:szCs w:val="36"/>
        </w:rPr>
      </w:pPr>
    </w:p>
    <w:p w:rsidR="00614521" w:rsidRPr="00614521" w:rsidRDefault="00614521" w:rsidP="00614521">
      <w:pPr>
        <w:rPr>
          <w:rFonts w:ascii="Arial" w:hAnsi="Arial" w:cs="Arial"/>
          <w:b/>
          <w:sz w:val="20"/>
          <w:szCs w:val="20"/>
        </w:rPr>
      </w:pPr>
    </w:p>
    <w:p w:rsidR="00614521" w:rsidRDefault="00614521" w:rsidP="00614521">
      <w:pPr>
        <w:spacing w:after="0"/>
        <w:rPr>
          <w:rFonts w:ascii="Arial" w:hAnsi="Arial" w:cs="Arial"/>
          <w:b/>
          <w:sz w:val="20"/>
          <w:szCs w:val="20"/>
        </w:rPr>
      </w:pPr>
    </w:p>
    <w:p w:rsidR="00614521" w:rsidRDefault="00614521" w:rsidP="00614521">
      <w:pPr>
        <w:spacing w:after="0"/>
        <w:rPr>
          <w:rFonts w:ascii="Arial" w:hAnsi="Arial" w:cs="Arial"/>
          <w:b/>
          <w:sz w:val="20"/>
          <w:szCs w:val="20"/>
        </w:rPr>
      </w:pPr>
    </w:p>
    <w:p w:rsidR="00B55FB8" w:rsidRDefault="00B55FB8" w:rsidP="00614521">
      <w:pPr>
        <w:spacing w:after="0"/>
        <w:rPr>
          <w:rFonts w:ascii="Arial" w:hAnsi="Arial" w:cs="Arial"/>
          <w:b/>
          <w:sz w:val="20"/>
          <w:szCs w:val="20"/>
        </w:rPr>
      </w:pPr>
    </w:p>
    <w:p w:rsidR="009065CF" w:rsidRDefault="009065CF" w:rsidP="00614521">
      <w:pPr>
        <w:spacing w:after="0"/>
        <w:rPr>
          <w:rFonts w:ascii="Arial" w:hAnsi="Arial" w:cs="Arial"/>
          <w:b/>
          <w:sz w:val="20"/>
          <w:szCs w:val="20"/>
        </w:rPr>
      </w:pPr>
    </w:p>
    <w:p w:rsidR="009065CF" w:rsidRDefault="009065CF" w:rsidP="00614521">
      <w:pPr>
        <w:spacing w:after="0"/>
        <w:rPr>
          <w:rFonts w:ascii="Arial" w:hAnsi="Arial" w:cs="Arial"/>
          <w:b/>
          <w:sz w:val="20"/>
          <w:szCs w:val="20"/>
        </w:rPr>
      </w:pPr>
    </w:p>
    <w:p w:rsidR="00B55FB8" w:rsidRDefault="00B55FB8" w:rsidP="00614521">
      <w:pPr>
        <w:spacing w:after="0"/>
        <w:rPr>
          <w:rFonts w:ascii="Arial" w:hAnsi="Arial" w:cs="Arial"/>
          <w:b/>
          <w:sz w:val="20"/>
          <w:szCs w:val="20"/>
        </w:rPr>
      </w:pPr>
    </w:p>
    <w:p w:rsidR="00614521" w:rsidRDefault="00614521" w:rsidP="00614521">
      <w:pPr>
        <w:spacing w:after="0"/>
        <w:rPr>
          <w:rFonts w:ascii="Arial" w:hAnsi="Arial" w:cs="Arial"/>
          <w:b/>
          <w:sz w:val="20"/>
          <w:szCs w:val="20"/>
        </w:rPr>
      </w:pPr>
    </w:p>
    <w:p w:rsidR="009065CF" w:rsidRPr="00614521" w:rsidRDefault="009065CF" w:rsidP="009065CF">
      <w:pPr>
        <w:spacing w:after="0"/>
        <w:rPr>
          <w:rFonts w:ascii="Arial" w:hAnsi="Arial" w:cs="Arial"/>
          <w:b/>
          <w:sz w:val="20"/>
          <w:szCs w:val="20"/>
        </w:rPr>
      </w:pPr>
      <w:r w:rsidRPr="00614521">
        <w:rPr>
          <w:rFonts w:ascii="Arial" w:hAnsi="Arial" w:cs="Arial"/>
          <w:b/>
          <w:sz w:val="20"/>
          <w:szCs w:val="20"/>
        </w:rPr>
        <w:t xml:space="preserve">Dyfed Thomas, Public Health Project Manager, </w:t>
      </w:r>
      <w:r w:rsidR="004E6A50">
        <w:rPr>
          <w:rFonts w:ascii="Arial" w:hAnsi="Arial" w:cs="Arial"/>
          <w:b/>
          <w:sz w:val="20"/>
          <w:szCs w:val="20"/>
        </w:rPr>
        <w:t>NHS Wandsworth</w:t>
      </w:r>
      <w:r>
        <w:rPr>
          <w:rFonts w:ascii="Arial" w:hAnsi="Arial" w:cs="Arial"/>
          <w:b/>
          <w:sz w:val="20"/>
          <w:szCs w:val="20"/>
        </w:rPr>
        <w:t>/</w:t>
      </w:r>
      <w:r w:rsidRPr="00614521">
        <w:rPr>
          <w:rFonts w:ascii="Arial" w:hAnsi="Arial" w:cs="Arial"/>
          <w:b/>
          <w:sz w:val="20"/>
          <w:szCs w:val="20"/>
        </w:rPr>
        <w:t>SWLCN</w:t>
      </w:r>
    </w:p>
    <w:p w:rsidR="009065CF" w:rsidRPr="00614521" w:rsidRDefault="009065CF" w:rsidP="009065CF">
      <w:pPr>
        <w:spacing w:after="0"/>
        <w:rPr>
          <w:rFonts w:ascii="Arial" w:hAnsi="Arial" w:cs="Arial"/>
          <w:b/>
          <w:sz w:val="20"/>
          <w:szCs w:val="20"/>
        </w:rPr>
      </w:pPr>
      <w:r w:rsidRPr="00614521">
        <w:rPr>
          <w:rFonts w:ascii="Arial" w:hAnsi="Arial" w:cs="Arial"/>
          <w:b/>
          <w:sz w:val="20"/>
          <w:szCs w:val="20"/>
        </w:rPr>
        <w:t xml:space="preserve">Amanda Cranston, Consultant in Public Health, </w:t>
      </w:r>
      <w:r w:rsidR="008B47D9">
        <w:rPr>
          <w:rFonts w:ascii="Arial" w:hAnsi="Arial" w:cs="Arial"/>
          <w:b/>
          <w:sz w:val="20"/>
          <w:szCs w:val="20"/>
        </w:rPr>
        <w:t>NHS Wandsworth</w:t>
      </w:r>
    </w:p>
    <w:p w:rsidR="009065CF" w:rsidRDefault="009065CF" w:rsidP="009065CF">
      <w:pPr>
        <w:spacing w:after="0"/>
        <w:rPr>
          <w:rFonts w:ascii="Arial" w:hAnsi="Arial" w:cs="Arial"/>
          <w:b/>
          <w:sz w:val="20"/>
          <w:szCs w:val="20"/>
        </w:rPr>
      </w:pPr>
      <w:r>
        <w:rPr>
          <w:rFonts w:ascii="Arial" w:hAnsi="Arial" w:cs="Arial"/>
          <w:b/>
          <w:sz w:val="20"/>
          <w:szCs w:val="20"/>
        </w:rPr>
        <w:t>Julia Ozdilli</w:t>
      </w:r>
      <w:r w:rsidRPr="00614521">
        <w:rPr>
          <w:rFonts w:ascii="Arial" w:hAnsi="Arial" w:cs="Arial"/>
          <w:b/>
          <w:sz w:val="20"/>
          <w:szCs w:val="20"/>
        </w:rPr>
        <w:t>,</w:t>
      </w:r>
      <w:r>
        <w:rPr>
          <w:rFonts w:ascii="Arial" w:hAnsi="Arial" w:cs="Arial"/>
          <w:b/>
          <w:sz w:val="20"/>
          <w:szCs w:val="20"/>
        </w:rPr>
        <w:t xml:space="preserve"> Service Improvement Lead</w:t>
      </w:r>
      <w:r w:rsidR="008B47D9">
        <w:rPr>
          <w:rFonts w:ascii="Arial" w:hAnsi="Arial" w:cs="Arial"/>
          <w:b/>
          <w:sz w:val="20"/>
          <w:szCs w:val="20"/>
        </w:rPr>
        <w:t>,</w:t>
      </w:r>
      <w:r w:rsidRPr="00614521">
        <w:rPr>
          <w:rFonts w:ascii="Arial" w:hAnsi="Arial" w:cs="Arial"/>
          <w:b/>
          <w:sz w:val="20"/>
          <w:szCs w:val="20"/>
        </w:rPr>
        <w:t xml:space="preserve"> SWLCN</w:t>
      </w:r>
    </w:p>
    <w:sdt>
      <w:sdtPr>
        <w:rPr>
          <w:rFonts w:asciiTheme="minorHAnsi" w:eastAsiaTheme="minorHAnsi" w:hAnsiTheme="minorHAnsi" w:cstheme="minorBidi"/>
          <w:b w:val="0"/>
          <w:bCs w:val="0"/>
          <w:color w:val="auto"/>
          <w:sz w:val="22"/>
          <w:szCs w:val="22"/>
          <w:lang w:val="en-GB"/>
        </w:rPr>
        <w:id w:val="22258266"/>
        <w:docPartObj>
          <w:docPartGallery w:val="Table of Contents"/>
          <w:docPartUnique/>
        </w:docPartObj>
      </w:sdtPr>
      <w:sdtContent>
        <w:p w:rsidR="0044562E" w:rsidRDefault="0044562E">
          <w:pPr>
            <w:pStyle w:val="TOCHeading"/>
          </w:pPr>
          <w:r>
            <w:t>Contents</w:t>
          </w:r>
        </w:p>
        <w:p w:rsidR="006D769D" w:rsidRDefault="00AF55AD">
          <w:pPr>
            <w:pStyle w:val="TOC1"/>
            <w:tabs>
              <w:tab w:val="right" w:leader="dot" w:pos="9016"/>
            </w:tabs>
            <w:rPr>
              <w:rFonts w:eastAsiaTheme="minorEastAsia"/>
              <w:noProof/>
              <w:lang w:eastAsia="en-GB"/>
            </w:rPr>
          </w:pPr>
          <w:r>
            <w:fldChar w:fldCharType="begin"/>
          </w:r>
          <w:r w:rsidR="0044562E">
            <w:instrText xml:space="preserve"> TOC \o "1-3" \h \z \u </w:instrText>
          </w:r>
          <w:r>
            <w:fldChar w:fldCharType="separate"/>
          </w:r>
          <w:hyperlink w:anchor="_Toc276037822" w:history="1">
            <w:r w:rsidR="006D769D" w:rsidRPr="00C4578D">
              <w:rPr>
                <w:rStyle w:val="Hyperlink"/>
                <w:rFonts w:ascii="Arial" w:hAnsi="Arial" w:cs="Arial"/>
                <w:noProof/>
              </w:rPr>
              <w:t>Acknowledgements</w:t>
            </w:r>
            <w:r w:rsidR="006D769D">
              <w:rPr>
                <w:noProof/>
                <w:webHidden/>
              </w:rPr>
              <w:tab/>
            </w:r>
            <w:r>
              <w:rPr>
                <w:noProof/>
                <w:webHidden/>
              </w:rPr>
              <w:fldChar w:fldCharType="begin"/>
            </w:r>
            <w:r w:rsidR="006D769D">
              <w:rPr>
                <w:noProof/>
                <w:webHidden/>
              </w:rPr>
              <w:instrText xml:space="preserve"> PAGEREF _Toc276037822 \h </w:instrText>
            </w:r>
            <w:r>
              <w:rPr>
                <w:noProof/>
                <w:webHidden/>
              </w:rPr>
            </w:r>
            <w:r>
              <w:rPr>
                <w:noProof/>
                <w:webHidden/>
              </w:rPr>
              <w:fldChar w:fldCharType="separate"/>
            </w:r>
            <w:r w:rsidR="004E6A50">
              <w:rPr>
                <w:noProof/>
                <w:webHidden/>
              </w:rPr>
              <w:t>3</w:t>
            </w:r>
            <w:r>
              <w:rPr>
                <w:noProof/>
                <w:webHidden/>
              </w:rPr>
              <w:fldChar w:fldCharType="end"/>
            </w:r>
          </w:hyperlink>
        </w:p>
        <w:p w:rsidR="006D769D" w:rsidRDefault="00AF55AD">
          <w:pPr>
            <w:pStyle w:val="TOC1"/>
            <w:tabs>
              <w:tab w:val="right" w:leader="dot" w:pos="9016"/>
            </w:tabs>
            <w:rPr>
              <w:rFonts w:eastAsiaTheme="minorEastAsia"/>
              <w:noProof/>
              <w:lang w:eastAsia="en-GB"/>
            </w:rPr>
          </w:pPr>
          <w:hyperlink w:anchor="_Toc276037823" w:history="1">
            <w:r w:rsidR="006D769D" w:rsidRPr="00C4578D">
              <w:rPr>
                <w:rStyle w:val="Hyperlink"/>
                <w:rFonts w:ascii="Arial" w:hAnsi="Arial" w:cs="Arial"/>
                <w:noProof/>
              </w:rPr>
              <w:t>Executive Summary</w:t>
            </w:r>
            <w:r w:rsidR="006D769D">
              <w:rPr>
                <w:noProof/>
                <w:webHidden/>
              </w:rPr>
              <w:tab/>
            </w:r>
            <w:r>
              <w:rPr>
                <w:noProof/>
                <w:webHidden/>
              </w:rPr>
              <w:fldChar w:fldCharType="begin"/>
            </w:r>
            <w:r w:rsidR="006D769D">
              <w:rPr>
                <w:noProof/>
                <w:webHidden/>
              </w:rPr>
              <w:instrText xml:space="preserve"> PAGEREF _Toc276037823 \h </w:instrText>
            </w:r>
            <w:r>
              <w:rPr>
                <w:noProof/>
                <w:webHidden/>
              </w:rPr>
            </w:r>
            <w:r>
              <w:rPr>
                <w:noProof/>
                <w:webHidden/>
              </w:rPr>
              <w:fldChar w:fldCharType="separate"/>
            </w:r>
            <w:r w:rsidR="004E6A50">
              <w:rPr>
                <w:noProof/>
                <w:webHidden/>
              </w:rPr>
              <w:t>4</w:t>
            </w:r>
            <w:r>
              <w:rPr>
                <w:noProof/>
                <w:webHidden/>
              </w:rPr>
              <w:fldChar w:fldCharType="end"/>
            </w:r>
          </w:hyperlink>
        </w:p>
        <w:p w:rsidR="006D769D" w:rsidRDefault="00AF55AD">
          <w:pPr>
            <w:pStyle w:val="TOC1"/>
            <w:tabs>
              <w:tab w:val="left" w:pos="660"/>
              <w:tab w:val="right" w:leader="dot" w:pos="9016"/>
            </w:tabs>
            <w:rPr>
              <w:rFonts w:eastAsiaTheme="minorEastAsia"/>
              <w:noProof/>
              <w:lang w:eastAsia="en-GB"/>
            </w:rPr>
          </w:pPr>
          <w:hyperlink w:anchor="_Toc276037824" w:history="1">
            <w:r w:rsidR="006D769D" w:rsidRPr="00C4578D">
              <w:rPr>
                <w:rStyle w:val="Hyperlink"/>
                <w:rFonts w:ascii="Arial" w:hAnsi="Arial" w:cs="Arial"/>
                <w:noProof/>
              </w:rPr>
              <w:t>1.0</w:t>
            </w:r>
            <w:r w:rsidR="006D769D">
              <w:rPr>
                <w:rFonts w:eastAsiaTheme="minorEastAsia"/>
                <w:noProof/>
                <w:lang w:eastAsia="en-GB"/>
              </w:rPr>
              <w:tab/>
            </w:r>
            <w:r w:rsidR="006D769D" w:rsidRPr="00C4578D">
              <w:rPr>
                <w:rStyle w:val="Hyperlink"/>
                <w:rFonts w:ascii="Arial" w:hAnsi="Arial" w:cs="Arial"/>
                <w:noProof/>
              </w:rPr>
              <w:t>Introduction</w:t>
            </w:r>
            <w:r w:rsidR="006D769D">
              <w:rPr>
                <w:noProof/>
                <w:webHidden/>
              </w:rPr>
              <w:tab/>
            </w:r>
            <w:r>
              <w:rPr>
                <w:noProof/>
                <w:webHidden/>
              </w:rPr>
              <w:fldChar w:fldCharType="begin"/>
            </w:r>
            <w:r w:rsidR="006D769D">
              <w:rPr>
                <w:noProof/>
                <w:webHidden/>
              </w:rPr>
              <w:instrText xml:space="preserve"> PAGEREF _Toc276037824 \h </w:instrText>
            </w:r>
            <w:r>
              <w:rPr>
                <w:noProof/>
                <w:webHidden/>
              </w:rPr>
            </w:r>
            <w:r>
              <w:rPr>
                <w:noProof/>
                <w:webHidden/>
              </w:rPr>
              <w:fldChar w:fldCharType="separate"/>
            </w:r>
            <w:r w:rsidR="004E6A50">
              <w:rPr>
                <w:noProof/>
                <w:webHidden/>
              </w:rPr>
              <w:t>8</w:t>
            </w:r>
            <w:r>
              <w:rPr>
                <w:noProof/>
                <w:webHidden/>
              </w:rPr>
              <w:fldChar w:fldCharType="end"/>
            </w:r>
          </w:hyperlink>
        </w:p>
        <w:p w:rsidR="006D769D" w:rsidRDefault="00AF55AD">
          <w:pPr>
            <w:pStyle w:val="TOC1"/>
            <w:tabs>
              <w:tab w:val="left" w:pos="660"/>
              <w:tab w:val="right" w:leader="dot" w:pos="9016"/>
            </w:tabs>
            <w:rPr>
              <w:rFonts w:eastAsiaTheme="minorEastAsia"/>
              <w:noProof/>
              <w:lang w:eastAsia="en-GB"/>
            </w:rPr>
          </w:pPr>
          <w:hyperlink w:anchor="_Toc276037825" w:history="1">
            <w:r w:rsidR="006D769D" w:rsidRPr="00C4578D">
              <w:rPr>
                <w:rStyle w:val="Hyperlink"/>
                <w:rFonts w:ascii="Arial" w:hAnsi="Arial" w:cs="Arial"/>
                <w:noProof/>
              </w:rPr>
              <w:t>2.0</w:t>
            </w:r>
            <w:r w:rsidR="006D769D">
              <w:rPr>
                <w:rFonts w:eastAsiaTheme="minorEastAsia"/>
                <w:noProof/>
                <w:lang w:eastAsia="en-GB"/>
              </w:rPr>
              <w:tab/>
            </w:r>
            <w:r w:rsidR="006D769D" w:rsidRPr="00C4578D">
              <w:rPr>
                <w:rStyle w:val="Hyperlink"/>
                <w:rFonts w:ascii="Arial" w:hAnsi="Arial" w:cs="Arial"/>
                <w:noProof/>
              </w:rPr>
              <w:t>Risk Factors</w:t>
            </w:r>
            <w:r w:rsidR="006D769D">
              <w:rPr>
                <w:noProof/>
                <w:webHidden/>
              </w:rPr>
              <w:tab/>
            </w:r>
            <w:r>
              <w:rPr>
                <w:noProof/>
                <w:webHidden/>
              </w:rPr>
              <w:fldChar w:fldCharType="begin"/>
            </w:r>
            <w:r w:rsidR="006D769D">
              <w:rPr>
                <w:noProof/>
                <w:webHidden/>
              </w:rPr>
              <w:instrText xml:space="preserve"> PAGEREF _Toc276037825 \h </w:instrText>
            </w:r>
            <w:r>
              <w:rPr>
                <w:noProof/>
                <w:webHidden/>
              </w:rPr>
            </w:r>
            <w:r>
              <w:rPr>
                <w:noProof/>
                <w:webHidden/>
              </w:rPr>
              <w:fldChar w:fldCharType="separate"/>
            </w:r>
            <w:r w:rsidR="004E6A50">
              <w:rPr>
                <w:noProof/>
                <w:webHidden/>
              </w:rPr>
              <w:t>9</w:t>
            </w:r>
            <w:r>
              <w:rPr>
                <w:noProof/>
                <w:webHidden/>
              </w:rPr>
              <w:fldChar w:fldCharType="end"/>
            </w:r>
          </w:hyperlink>
        </w:p>
        <w:p w:rsidR="006D769D" w:rsidRDefault="00AF55AD">
          <w:pPr>
            <w:pStyle w:val="TOC2"/>
            <w:tabs>
              <w:tab w:val="left" w:pos="880"/>
              <w:tab w:val="right" w:leader="dot" w:pos="9016"/>
            </w:tabs>
            <w:rPr>
              <w:rFonts w:eastAsiaTheme="minorEastAsia"/>
              <w:noProof/>
              <w:lang w:eastAsia="en-GB"/>
            </w:rPr>
          </w:pPr>
          <w:hyperlink w:anchor="_Toc276037826" w:history="1">
            <w:r w:rsidR="006D769D" w:rsidRPr="00C4578D">
              <w:rPr>
                <w:rStyle w:val="Hyperlink"/>
                <w:rFonts w:ascii="Arial" w:hAnsi="Arial" w:cs="Arial"/>
                <w:noProof/>
              </w:rPr>
              <w:t>2.1</w:t>
            </w:r>
            <w:r w:rsidR="006D769D">
              <w:rPr>
                <w:rFonts w:eastAsiaTheme="minorEastAsia"/>
                <w:noProof/>
                <w:lang w:eastAsia="en-GB"/>
              </w:rPr>
              <w:tab/>
            </w:r>
            <w:r w:rsidR="006D769D" w:rsidRPr="00C4578D">
              <w:rPr>
                <w:rStyle w:val="Hyperlink"/>
                <w:rFonts w:ascii="Arial" w:hAnsi="Arial" w:cs="Arial"/>
                <w:noProof/>
              </w:rPr>
              <w:t>Diet</w:t>
            </w:r>
            <w:r w:rsidR="006D769D">
              <w:rPr>
                <w:noProof/>
                <w:webHidden/>
              </w:rPr>
              <w:tab/>
            </w:r>
            <w:r>
              <w:rPr>
                <w:noProof/>
                <w:webHidden/>
              </w:rPr>
              <w:fldChar w:fldCharType="begin"/>
            </w:r>
            <w:r w:rsidR="006D769D">
              <w:rPr>
                <w:noProof/>
                <w:webHidden/>
              </w:rPr>
              <w:instrText xml:space="preserve"> PAGEREF _Toc276037826 \h </w:instrText>
            </w:r>
            <w:r>
              <w:rPr>
                <w:noProof/>
                <w:webHidden/>
              </w:rPr>
            </w:r>
            <w:r>
              <w:rPr>
                <w:noProof/>
                <w:webHidden/>
              </w:rPr>
              <w:fldChar w:fldCharType="separate"/>
            </w:r>
            <w:r w:rsidR="004E6A50">
              <w:rPr>
                <w:noProof/>
                <w:webHidden/>
              </w:rPr>
              <w:t>9</w:t>
            </w:r>
            <w:r>
              <w:rPr>
                <w:noProof/>
                <w:webHidden/>
              </w:rPr>
              <w:fldChar w:fldCharType="end"/>
            </w:r>
          </w:hyperlink>
        </w:p>
        <w:p w:rsidR="006D769D" w:rsidRDefault="00AF55AD">
          <w:pPr>
            <w:pStyle w:val="TOC2"/>
            <w:tabs>
              <w:tab w:val="left" w:pos="880"/>
              <w:tab w:val="right" w:leader="dot" w:pos="9016"/>
            </w:tabs>
            <w:rPr>
              <w:rFonts w:eastAsiaTheme="minorEastAsia"/>
              <w:noProof/>
              <w:lang w:eastAsia="en-GB"/>
            </w:rPr>
          </w:pPr>
          <w:hyperlink w:anchor="_Toc276037827" w:history="1">
            <w:r w:rsidR="006D769D" w:rsidRPr="00C4578D">
              <w:rPr>
                <w:rStyle w:val="Hyperlink"/>
                <w:rFonts w:ascii="Arial" w:hAnsi="Arial" w:cs="Arial"/>
                <w:noProof/>
              </w:rPr>
              <w:t>2.2</w:t>
            </w:r>
            <w:r w:rsidR="006D769D">
              <w:rPr>
                <w:rFonts w:eastAsiaTheme="minorEastAsia"/>
                <w:noProof/>
                <w:lang w:eastAsia="en-GB"/>
              </w:rPr>
              <w:tab/>
            </w:r>
            <w:r w:rsidR="006D769D" w:rsidRPr="00C4578D">
              <w:rPr>
                <w:rStyle w:val="Hyperlink"/>
                <w:rFonts w:ascii="Arial" w:hAnsi="Arial" w:cs="Arial"/>
                <w:noProof/>
              </w:rPr>
              <w:t>Alcohol consumption</w:t>
            </w:r>
            <w:r w:rsidR="006D769D">
              <w:rPr>
                <w:noProof/>
                <w:webHidden/>
              </w:rPr>
              <w:tab/>
            </w:r>
            <w:r>
              <w:rPr>
                <w:noProof/>
                <w:webHidden/>
              </w:rPr>
              <w:fldChar w:fldCharType="begin"/>
            </w:r>
            <w:r w:rsidR="006D769D">
              <w:rPr>
                <w:noProof/>
                <w:webHidden/>
              </w:rPr>
              <w:instrText xml:space="preserve"> PAGEREF _Toc276037827 \h </w:instrText>
            </w:r>
            <w:r>
              <w:rPr>
                <w:noProof/>
                <w:webHidden/>
              </w:rPr>
            </w:r>
            <w:r>
              <w:rPr>
                <w:noProof/>
                <w:webHidden/>
              </w:rPr>
              <w:fldChar w:fldCharType="separate"/>
            </w:r>
            <w:r w:rsidR="004E6A50">
              <w:rPr>
                <w:noProof/>
                <w:webHidden/>
              </w:rPr>
              <w:t>10</w:t>
            </w:r>
            <w:r>
              <w:rPr>
                <w:noProof/>
                <w:webHidden/>
              </w:rPr>
              <w:fldChar w:fldCharType="end"/>
            </w:r>
          </w:hyperlink>
        </w:p>
        <w:p w:rsidR="006D769D" w:rsidRDefault="00AF55AD">
          <w:pPr>
            <w:pStyle w:val="TOC2"/>
            <w:tabs>
              <w:tab w:val="left" w:pos="880"/>
              <w:tab w:val="right" w:leader="dot" w:pos="9016"/>
            </w:tabs>
            <w:rPr>
              <w:rFonts w:eastAsiaTheme="minorEastAsia"/>
              <w:noProof/>
              <w:lang w:eastAsia="en-GB"/>
            </w:rPr>
          </w:pPr>
          <w:hyperlink w:anchor="_Toc276037828" w:history="1">
            <w:r w:rsidR="006D769D" w:rsidRPr="00C4578D">
              <w:rPr>
                <w:rStyle w:val="Hyperlink"/>
                <w:rFonts w:ascii="Arial" w:hAnsi="Arial" w:cs="Arial"/>
                <w:noProof/>
              </w:rPr>
              <w:t>2.3</w:t>
            </w:r>
            <w:r w:rsidR="006D769D">
              <w:rPr>
                <w:rFonts w:eastAsiaTheme="minorEastAsia"/>
                <w:noProof/>
                <w:lang w:eastAsia="en-GB"/>
              </w:rPr>
              <w:tab/>
            </w:r>
            <w:r w:rsidR="006D769D" w:rsidRPr="00C4578D">
              <w:rPr>
                <w:rStyle w:val="Hyperlink"/>
                <w:rFonts w:ascii="Arial" w:hAnsi="Arial" w:cs="Arial"/>
                <w:noProof/>
              </w:rPr>
              <w:t>Smoking</w:t>
            </w:r>
            <w:r w:rsidR="006D769D">
              <w:rPr>
                <w:noProof/>
                <w:webHidden/>
              </w:rPr>
              <w:tab/>
            </w:r>
            <w:r>
              <w:rPr>
                <w:noProof/>
                <w:webHidden/>
              </w:rPr>
              <w:fldChar w:fldCharType="begin"/>
            </w:r>
            <w:r w:rsidR="006D769D">
              <w:rPr>
                <w:noProof/>
                <w:webHidden/>
              </w:rPr>
              <w:instrText xml:space="preserve"> PAGEREF _Toc276037828 \h </w:instrText>
            </w:r>
            <w:r>
              <w:rPr>
                <w:noProof/>
                <w:webHidden/>
              </w:rPr>
            </w:r>
            <w:r>
              <w:rPr>
                <w:noProof/>
                <w:webHidden/>
              </w:rPr>
              <w:fldChar w:fldCharType="separate"/>
            </w:r>
            <w:r w:rsidR="004E6A50">
              <w:rPr>
                <w:noProof/>
                <w:webHidden/>
              </w:rPr>
              <w:t>11</w:t>
            </w:r>
            <w:r>
              <w:rPr>
                <w:noProof/>
                <w:webHidden/>
              </w:rPr>
              <w:fldChar w:fldCharType="end"/>
            </w:r>
          </w:hyperlink>
        </w:p>
        <w:p w:rsidR="006D769D" w:rsidRDefault="00AF55AD">
          <w:pPr>
            <w:pStyle w:val="TOC2"/>
            <w:tabs>
              <w:tab w:val="left" w:pos="880"/>
              <w:tab w:val="right" w:leader="dot" w:pos="9016"/>
            </w:tabs>
            <w:rPr>
              <w:rFonts w:eastAsiaTheme="minorEastAsia"/>
              <w:noProof/>
              <w:lang w:eastAsia="en-GB"/>
            </w:rPr>
          </w:pPr>
          <w:hyperlink w:anchor="_Toc276037829" w:history="1">
            <w:r w:rsidR="006D769D" w:rsidRPr="00C4578D">
              <w:rPr>
                <w:rStyle w:val="Hyperlink"/>
                <w:rFonts w:ascii="Arial" w:hAnsi="Arial" w:cs="Arial"/>
                <w:noProof/>
              </w:rPr>
              <w:t>2.4</w:t>
            </w:r>
            <w:r w:rsidR="006D769D">
              <w:rPr>
                <w:rFonts w:eastAsiaTheme="minorEastAsia"/>
                <w:noProof/>
                <w:lang w:eastAsia="en-GB"/>
              </w:rPr>
              <w:tab/>
            </w:r>
            <w:r w:rsidR="006D769D" w:rsidRPr="00C4578D">
              <w:rPr>
                <w:rStyle w:val="Hyperlink"/>
                <w:rFonts w:ascii="Arial" w:hAnsi="Arial" w:cs="Arial"/>
                <w:noProof/>
              </w:rPr>
              <w:t>Multiple Deprivation</w:t>
            </w:r>
            <w:r w:rsidR="006D769D">
              <w:rPr>
                <w:noProof/>
                <w:webHidden/>
              </w:rPr>
              <w:tab/>
            </w:r>
            <w:r>
              <w:rPr>
                <w:noProof/>
                <w:webHidden/>
              </w:rPr>
              <w:fldChar w:fldCharType="begin"/>
            </w:r>
            <w:r w:rsidR="006D769D">
              <w:rPr>
                <w:noProof/>
                <w:webHidden/>
              </w:rPr>
              <w:instrText xml:space="preserve"> PAGEREF _Toc276037829 \h </w:instrText>
            </w:r>
            <w:r>
              <w:rPr>
                <w:noProof/>
                <w:webHidden/>
              </w:rPr>
            </w:r>
            <w:r>
              <w:rPr>
                <w:noProof/>
                <w:webHidden/>
              </w:rPr>
              <w:fldChar w:fldCharType="separate"/>
            </w:r>
            <w:r w:rsidR="004E6A50">
              <w:rPr>
                <w:noProof/>
                <w:webHidden/>
              </w:rPr>
              <w:t>13</w:t>
            </w:r>
            <w:r>
              <w:rPr>
                <w:noProof/>
                <w:webHidden/>
              </w:rPr>
              <w:fldChar w:fldCharType="end"/>
            </w:r>
          </w:hyperlink>
        </w:p>
        <w:p w:rsidR="006D769D" w:rsidRDefault="00AF55AD">
          <w:pPr>
            <w:pStyle w:val="TOC2"/>
            <w:tabs>
              <w:tab w:val="left" w:pos="880"/>
              <w:tab w:val="right" w:leader="dot" w:pos="9016"/>
            </w:tabs>
            <w:rPr>
              <w:rFonts w:eastAsiaTheme="minorEastAsia"/>
              <w:noProof/>
              <w:lang w:eastAsia="en-GB"/>
            </w:rPr>
          </w:pPr>
          <w:hyperlink w:anchor="_Toc276037830" w:history="1">
            <w:r w:rsidR="006D769D" w:rsidRPr="00C4578D">
              <w:rPr>
                <w:rStyle w:val="Hyperlink"/>
                <w:rFonts w:ascii="Arial" w:hAnsi="Arial" w:cs="Arial"/>
                <w:noProof/>
              </w:rPr>
              <w:t>2.5</w:t>
            </w:r>
            <w:r w:rsidR="006D769D">
              <w:rPr>
                <w:rFonts w:eastAsiaTheme="minorEastAsia"/>
                <w:noProof/>
                <w:lang w:eastAsia="en-GB"/>
              </w:rPr>
              <w:tab/>
            </w:r>
            <w:r w:rsidR="006D769D" w:rsidRPr="00C4578D">
              <w:rPr>
                <w:rStyle w:val="Hyperlink"/>
                <w:rFonts w:ascii="Arial" w:hAnsi="Arial" w:cs="Arial"/>
                <w:noProof/>
              </w:rPr>
              <w:t>Age</w:t>
            </w:r>
            <w:r w:rsidR="006D769D">
              <w:rPr>
                <w:noProof/>
                <w:webHidden/>
              </w:rPr>
              <w:tab/>
            </w:r>
            <w:r>
              <w:rPr>
                <w:noProof/>
                <w:webHidden/>
              </w:rPr>
              <w:fldChar w:fldCharType="begin"/>
            </w:r>
            <w:r w:rsidR="006D769D">
              <w:rPr>
                <w:noProof/>
                <w:webHidden/>
              </w:rPr>
              <w:instrText xml:space="preserve"> PAGEREF _Toc276037830 \h </w:instrText>
            </w:r>
            <w:r>
              <w:rPr>
                <w:noProof/>
                <w:webHidden/>
              </w:rPr>
            </w:r>
            <w:r>
              <w:rPr>
                <w:noProof/>
                <w:webHidden/>
              </w:rPr>
              <w:fldChar w:fldCharType="separate"/>
            </w:r>
            <w:r w:rsidR="004E6A50">
              <w:rPr>
                <w:noProof/>
                <w:webHidden/>
              </w:rPr>
              <w:t>14</w:t>
            </w:r>
            <w:r>
              <w:rPr>
                <w:noProof/>
                <w:webHidden/>
              </w:rPr>
              <w:fldChar w:fldCharType="end"/>
            </w:r>
          </w:hyperlink>
        </w:p>
        <w:p w:rsidR="006D769D" w:rsidRDefault="00AF55AD">
          <w:pPr>
            <w:pStyle w:val="TOC2"/>
            <w:tabs>
              <w:tab w:val="left" w:pos="880"/>
              <w:tab w:val="right" w:leader="dot" w:pos="9016"/>
            </w:tabs>
            <w:rPr>
              <w:rFonts w:eastAsiaTheme="minorEastAsia"/>
              <w:noProof/>
              <w:lang w:eastAsia="en-GB"/>
            </w:rPr>
          </w:pPr>
          <w:hyperlink w:anchor="_Toc276037831" w:history="1">
            <w:r w:rsidR="006D769D" w:rsidRPr="00C4578D">
              <w:rPr>
                <w:rStyle w:val="Hyperlink"/>
                <w:rFonts w:ascii="Arial" w:hAnsi="Arial" w:cs="Arial"/>
                <w:noProof/>
              </w:rPr>
              <w:t>2.6</w:t>
            </w:r>
            <w:r w:rsidR="006D769D">
              <w:rPr>
                <w:rFonts w:eastAsiaTheme="minorEastAsia"/>
                <w:noProof/>
                <w:lang w:eastAsia="en-GB"/>
              </w:rPr>
              <w:tab/>
            </w:r>
            <w:r w:rsidR="006D769D" w:rsidRPr="00C4578D">
              <w:rPr>
                <w:rStyle w:val="Hyperlink"/>
                <w:rFonts w:ascii="Arial" w:hAnsi="Arial" w:cs="Arial"/>
                <w:noProof/>
              </w:rPr>
              <w:t>Ethnicity</w:t>
            </w:r>
            <w:r w:rsidR="006D769D">
              <w:rPr>
                <w:noProof/>
                <w:webHidden/>
              </w:rPr>
              <w:tab/>
            </w:r>
            <w:r>
              <w:rPr>
                <w:noProof/>
                <w:webHidden/>
              </w:rPr>
              <w:fldChar w:fldCharType="begin"/>
            </w:r>
            <w:r w:rsidR="006D769D">
              <w:rPr>
                <w:noProof/>
                <w:webHidden/>
              </w:rPr>
              <w:instrText xml:space="preserve"> PAGEREF _Toc276037831 \h </w:instrText>
            </w:r>
            <w:r>
              <w:rPr>
                <w:noProof/>
                <w:webHidden/>
              </w:rPr>
            </w:r>
            <w:r>
              <w:rPr>
                <w:noProof/>
                <w:webHidden/>
              </w:rPr>
              <w:fldChar w:fldCharType="separate"/>
            </w:r>
            <w:r w:rsidR="004E6A50">
              <w:rPr>
                <w:noProof/>
                <w:webHidden/>
              </w:rPr>
              <w:t>14</w:t>
            </w:r>
            <w:r>
              <w:rPr>
                <w:noProof/>
                <w:webHidden/>
              </w:rPr>
              <w:fldChar w:fldCharType="end"/>
            </w:r>
          </w:hyperlink>
        </w:p>
        <w:p w:rsidR="006D769D" w:rsidRDefault="00AF55AD">
          <w:pPr>
            <w:pStyle w:val="TOC2"/>
            <w:tabs>
              <w:tab w:val="left" w:pos="880"/>
              <w:tab w:val="right" w:leader="dot" w:pos="9016"/>
            </w:tabs>
            <w:rPr>
              <w:rFonts w:eastAsiaTheme="minorEastAsia"/>
              <w:noProof/>
              <w:lang w:eastAsia="en-GB"/>
            </w:rPr>
          </w:pPr>
          <w:hyperlink w:anchor="_Toc276037832" w:history="1">
            <w:r w:rsidR="006D769D" w:rsidRPr="00C4578D">
              <w:rPr>
                <w:rStyle w:val="Hyperlink"/>
                <w:rFonts w:ascii="Arial" w:hAnsi="Arial" w:cs="Arial"/>
                <w:noProof/>
              </w:rPr>
              <w:t>2.7</w:t>
            </w:r>
            <w:r w:rsidR="006D769D">
              <w:rPr>
                <w:rFonts w:eastAsiaTheme="minorEastAsia"/>
                <w:noProof/>
                <w:lang w:eastAsia="en-GB"/>
              </w:rPr>
              <w:tab/>
            </w:r>
            <w:r w:rsidR="006D769D" w:rsidRPr="00C4578D">
              <w:rPr>
                <w:rStyle w:val="Hyperlink"/>
                <w:rFonts w:ascii="Arial" w:hAnsi="Arial" w:cs="Arial"/>
                <w:noProof/>
              </w:rPr>
              <w:t>Physical (in)activity</w:t>
            </w:r>
            <w:r w:rsidR="006D769D">
              <w:rPr>
                <w:noProof/>
                <w:webHidden/>
              </w:rPr>
              <w:tab/>
            </w:r>
            <w:r>
              <w:rPr>
                <w:noProof/>
                <w:webHidden/>
              </w:rPr>
              <w:fldChar w:fldCharType="begin"/>
            </w:r>
            <w:r w:rsidR="006D769D">
              <w:rPr>
                <w:noProof/>
                <w:webHidden/>
              </w:rPr>
              <w:instrText xml:space="preserve"> PAGEREF _Toc276037832 \h </w:instrText>
            </w:r>
            <w:r>
              <w:rPr>
                <w:noProof/>
                <w:webHidden/>
              </w:rPr>
            </w:r>
            <w:r>
              <w:rPr>
                <w:noProof/>
                <w:webHidden/>
              </w:rPr>
              <w:fldChar w:fldCharType="separate"/>
            </w:r>
            <w:r w:rsidR="004E6A50">
              <w:rPr>
                <w:noProof/>
                <w:webHidden/>
              </w:rPr>
              <w:t>15</w:t>
            </w:r>
            <w:r>
              <w:rPr>
                <w:noProof/>
                <w:webHidden/>
              </w:rPr>
              <w:fldChar w:fldCharType="end"/>
            </w:r>
          </w:hyperlink>
        </w:p>
        <w:p w:rsidR="006D769D" w:rsidRDefault="00AF55AD">
          <w:pPr>
            <w:pStyle w:val="TOC1"/>
            <w:tabs>
              <w:tab w:val="left" w:pos="660"/>
              <w:tab w:val="right" w:leader="dot" w:pos="9016"/>
            </w:tabs>
            <w:rPr>
              <w:rFonts w:eastAsiaTheme="minorEastAsia"/>
              <w:noProof/>
              <w:lang w:eastAsia="en-GB"/>
            </w:rPr>
          </w:pPr>
          <w:hyperlink w:anchor="_Toc276037833" w:history="1">
            <w:r w:rsidR="006D769D" w:rsidRPr="00C4578D">
              <w:rPr>
                <w:rStyle w:val="Hyperlink"/>
                <w:rFonts w:ascii="Arial" w:hAnsi="Arial" w:cs="Arial"/>
                <w:noProof/>
              </w:rPr>
              <w:t>3.0</w:t>
            </w:r>
            <w:r w:rsidR="006D769D">
              <w:rPr>
                <w:rFonts w:eastAsiaTheme="minorEastAsia"/>
                <w:noProof/>
                <w:lang w:eastAsia="en-GB"/>
              </w:rPr>
              <w:tab/>
            </w:r>
            <w:r w:rsidR="006D769D" w:rsidRPr="00C4578D">
              <w:rPr>
                <w:rStyle w:val="Hyperlink"/>
                <w:rFonts w:ascii="Arial" w:hAnsi="Arial" w:cs="Arial"/>
                <w:noProof/>
              </w:rPr>
              <w:t>Bowel Screening</w:t>
            </w:r>
            <w:r w:rsidR="006D769D">
              <w:rPr>
                <w:noProof/>
                <w:webHidden/>
              </w:rPr>
              <w:tab/>
            </w:r>
            <w:r>
              <w:rPr>
                <w:noProof/>
                <w:webHidden/>
              </w:rPr>
              <w:fldChar w:fldCharType="begin"/>
            </w:r>
            <w:r w:rsidR="006D769D">
              <w:rPr>
                <w:noProof/>
                <w:webHidden/>
              </w:rPr>
              <w:instrText xml:space="preserve"> PAGEREF _Toc276037833 \h </w:instrText>
            </w:r>
            <w:r>
              <w:rPr>
                <w:noProof/>
                <w:webHidden/>
              </w:rPr>
            </w:r>
            <w:r>
              <w:rPr>
                <w:noProof/>
                <w:webHidden/>
              </w:rPr>
              <w:fldChar w:fldCharType="separate"/>
            </w:r>
            <w:r w:rsidR="004E6A50">
              <w:rPr>
                <w:noProof/>
                <w:webHidden/>
              </w:rPr>
              <w:t>17</w:t>
            </w:r>
            <w:r>
              <w:rPr>
                <w:noProof/>
                <w:webHidden/>
              </w:rPr>
              <w:fldChar w:fldCharType="end"/>
            </w:r>
          </w:hyperlink>
        </w:p>
        <w:p w:rsidR="006D769D" w:rsidRDefault="00AF55AD">
          <w:pPr>
            <w:pStyle w:val="TOC2"/>
            <w:tabs>
              <w:tab w:val="left" w:pos="880"/>
              <w:tab w:val="right" w:leader="dot" w:pos="9016"/>
            </w:tabs>
            <w:rPr>
              <w:rFonts w:eastAsiaTheme="minorEastAsia"/>
              <w:noProof/>
              <w:lang w:eastAsia="en-GB"/>
            </w:rPr>
          </w:pPr>
          <w:hyperlink w:anchor="_Toc276037834" w:history="1">
            <w:r w:rsidR="006D769D" w:rsidRPr="00C4578D">
              <w:rPr>
                <w:rStyle w:val="Hyperlink"/>
                <w:rFonts w:ascii="Arial" w:hAnsi="Arial" w:cs="Arial"/>
                <w:noProof/>
              </w:rPr>
              <w:t>3.1</w:t>
            </w:r>
            <w:r w:rsidR="006D769D">
              <w:rPr>
                <w:rFonts w:eastAsiaTheme="minorEastAsia"/>
                <w:noProof/>
                <w:lang w:eastAsia="en-GB"/>
              </w:rPr>
              <w:tab/>
            </w:r>
            <w:r w:rsidR="006D769D" w:rsidRPr="00C4578D">
              <w:rPr>
                <w:rStyle w:val="Hyperlink"/>
                <w:rFonts w:ascii="Arial" w:hAnsi="Arial" w:cs="Arial"/>
                <w:noProof/>
              </w:rPr>
              <w:t>Uptake by PCT – up to June 2009</w:t>
            </w:r>
            <w:r w:rsidR="006D769D">
              <w:rPr>
                <w:noProof/>
                <w:webHidden/>
              </w:rPr>
              <w:tab/>
            </w:r>
            <w:r>
              <w:rPr>
                <w:noProof/>
                <w:webHidden/>
              </w:rPr>
              <w:fldChar w:fldCharType="begin"/>
            </w:r>
            <w:r w:rsidR="006D769D">
              <w:rPr>
                <w:noProof/>
                <w:webHidden/>
              </w:rPr>
              <w:instrText xml:space="preserve"> PAGEREF _Toc276037834 \h </w:instrText>
            </w:r>
            <w:r>
              <w:rPr>
                <w:noProof/>
                <w:webHidden/>
              </w:rPr>
            </w:r>
            <w:r>
              <w:rPr>
                <w:noProof/>
                <w:webHidden/>
              </w:rPr>
              <w:fldChar w:fldCharType="separate"/>
            </w:r>
            <w:r w:rsidR="004E6A50">
              <w:rPr>
                <w:noProof/>
                <w:webHidden/>
              </w:rPr>
              <w:t>17</w:t>
            </w:r>
            <w:r>
              <w:rPr>
                <w:noProof/>
                <w:webHidden/>
              </w:rPr>
              <w:fldChar w:fldCharType="end"/>
            </w:r>
          </w:hyperlink>
        </w:p>
        <w:p w:rsidR="006D769D" w:rsidRDefault="00AF55AD">
          <w:pPr>
            <w:pStyle w:val="TOC1"/>
            <w:tabs>
              <w:tab w:val="left" w:pos="660"/>
              <w:tab w:val="right" w:leader="dot" w:pos="9016"/>
            </w:tabs>
            <w:rPr>
              <w:rFonts w:eastAsiaTheme="minorEastAsia"/>
              <w:noProof/>
              <w:lang w:eastAsia="en-GB"/>
            </w:rPr>
          </w:pPr>
          <w:hyperlink w:anchor="_Toc276037835" w:history="1">
            <w:r w:rsidR="006D769D" w:rsidRPr="00C4578D">
              <w:rPr>
                <w:rStyle w:val="Hyperlink"/>
                <w:rFonts w:ascii="Arial" w:hAnsi="Arial" w:cs="Arial"/>
                <w:noProof/>
              </w:rPr>
              <w:t>4.0</w:t>
            </w:r>
            <w:r w:rsidR="006D769D">
              <w:rPr>
                <w:rFonts w:eastAsiaTheme="minorEastAsia"/>
                <w:noProof/>
                <w:lang w:eastAsia="en-GB"/>
              </w:rPr>
              <w:tab/>
            </w:r>
            <w:r w:rsidR="006D769D" w:rsidRPr="00C4578D">
              <w:rPr>
                <w:rStyle w:val="Hyperlink"/>
                <w:rFonts w:ascii="Arial" w:hAnsi="Arial" w:cs="Arial"/>
                <w:noProof/>
              </w:rPr>
              <w:t>Colorectal Cancer Incidence</w:t>
            </w:r>
            <w:r w:rsidR="006D769D">
              <w:rPr>
                <w:noProof/>
                <w:webHidden/>
              </w:rPr>
              <w:tab/>
            </w:r>
            <w:r>
              <w:rPr>
                <w:noProof/>
                <w:webHidden/>
              </w:rPr>
              <w:fldChar w:fldCharType="begin"/>
            </w:r>
            <w:r w:rsidR="006D769D">
              <w:rPr>
                <w:noProof/>
                <w:webHidden/>
              </w:rPr>
              <w:instrText xml:space="preserve"> PAGEREF _Toc276037835 \h </w:instrText>
            </w:r>
            <w:r>
              <w:rPr>
                <w:noProof/>
                <w:webHidden/>
              </w:rPr>
            </w:r>
            <w:r>
              <w:rPr>
                <w:noProof/>
                <w:webHidden/>
              </w:rPr>
              <w:fldChar w:fldCharType="separate"/>
            </w:r>
            <w:r w:rsidR="004E6A50">
              <w:rPr>
                <w:noProof/>
                <w:webHidden/>
              </w:rPr>
              <w:t>18</w:t>
            </w:r>
            <w:r>
              <w:rPr>
                <w:noProof/>
                <w:webHidden/>
              </w:rPr>
              <w:fldChar w:fldCharType="end"/>
            </w:r>
          </w:hyperlink>
        </w:p>
        <w:p w:rsidR="006D769D" w:rsidRDefault="00AF55AD">
          <w:pPr>
            <w:pStyle w:val="TOC2"/>
            <w:tabs>
              <w:tab w:val="left" w:pos="880"/>
              <w:tab w:val="right" w:leader="dot" w:pos="9016"/>
            </w:tabs>
            <w:rPr>
              <w:rFonts w:eastAsiaTheme="minorEastAsia"/>
              <w:noProof/>
              <w:lang w:eastAsia="en-GB"/>
            </w:rPr>
          </w:pPr>
          <w:hyperlink w:anchor="_Toc276037836" w:history="1">
            <w:r w:rsidR="006D769D" w:rsidRPr="00C4578D">
              <w:rPr>
                <w:rStyle w:val="Hyperlink"/>
                <w:rFonts w:ascii="Arial" w:hAnsi="Arial" w:cs="Arial"/>
                <w:noProof/>
              </w:rPr>
              <w:t>4.1</w:t>
            </w:r>
            <w:r w:rsidR="006D769D">
              <w:rPr>
                <w:rFonts w:eastAsiaTheme="minorEastAsia"/>
                <w:noProof/>
                <w:lang w:eastAsia="en-GB"/>
              </w:rPr>
              <w:tab/>
            </w:r>
            <w:r w:rsidR="006D769D" w:rsidRPr="00C4578D">
              <w:rPr>
                <w:rStyle w:val="Hyperlink"/>
                <w:rFonts w:ascii="Arial" w:hAnsi="Arial" w:cs="Arial"/>
                <w:noProof/>
              </w:rPr>
              <w:t>Under 75 incidence by PCT 2004-06</w:t>
            </w:r>
            <w:r w:rsidR="006D769D">
              <w:rPr>
                <w:noProof/>
                <w:webHidden/>
              </w:rPr>
              <w:tab/>
            </w:r>
            <w:r>
              <w:rPr>
                <w:noProof/>
                <w:webHidden/>
              </w:rPr>
              <w:fldChar w:fldCharType="begin"/>
            </w:r>
            <w:r w:rsidR="006D769D">
              <w:rPr>
                <w:noProof/>
                <w:webHidden/>
              </w:rPr>
              <w:instrText xml:space="preserve"> PAGEREF _Toc276037836 \h </w:instrText>
            </w:r>
            <w:r>
              <w:rPr>
                <w:noProof/>
                <w:webHidden/>
              </w:rPr>
            </w:r>
            <w:r>
              <w:rPr>
                <w:noProof/>
                <w:webHidden/>
              </w:rPr>
              <w:fldChar w:fldCharType="separate"/>
            </w:r>
            <w:r w:rsidR="004E6A50">
              <w:rPr>
                <w:noProof/>
                <w:webHidden/>
              </w:rPr>
              <w:t>18</w:t>
            </w:r>
            <w:r>
              <w:rPr>
                <w:noProof/>
                <w:webHidden/>
              </w:rPr>
              <w:fldChar w:fldCharType="end"/>
            </w:r>
          </w:hyperlink>
        </w:p>
        <w:p w:rsidR="006D769D" w:rsidRDefault="00AF55AD">
          <w:pPr>
            <w:pStyle w:val="TOC2"/>
            <w:tabs>
              <w:tab w:val="left" w:pos="880"/>
              <w:tab w:val="right" w:leader="dot" w:pos="9016"/>
            </w:tabs>
            <w:rPr>
              <w:rFonts w:eastAsiaTheme="minorEastAsia"/>
              <w:noProof/>
              <w:lang w:eastAsia="en-GB"/>
            </w:rPr>
          </w:pPr>
          <w:hyperlink w:anchor="_Toc276037837" w:history="1">
            <w:r w:rsidR="006D769D" w:rsidRPr="00C4578D">
              <w:rPr>
                <w:rStyle w:val="Hyperlink"/>
                <w:rFonts w:ascii="Arial" w:hAnsi="Arial" w:cs="Arial"/>
                <w:noProof/>
              </w:rPr>
              <w:t>4.2</w:t>
            </w:r>
            <w:r w:rsidR="006D769D">
              <w:rPr>
                <w:rFonts w:eastAsiaTheme="minorEastAsia"/>
                <w:noProof/>
                <w:lang w:eastAsia="en-GB"/>
              </w:rPr>
              <w:tab/>
            </w:r>
            <w:r w:rsidR="006D769D" w:rsidRPr="00C4578D">
              <w:rPr>
                <w:rStyle w:val="Hyperlink"/>
                <w:rFonts w:ascii="Arial" w:hAnsi="Arial" w:cs="Arial"/>
                <w:noProof/>
              </w:rPr>
              <w:t>All age incidence by PCT 2004-06</w:t>
            </w:r>
            <w:r w:rsidR="006D769D">
              <w:rPr>
                <w:noProof/>
                <w:webHidden/>
              </w:rPr>
              <w:tab/>
            </w:r>
            <w:r>
              <w:rPr>
                <w:noProof/>
                <w:webHidden/>
              </w:rPr>
              <w:fldChar w:fldCharType="begin"/>
            </w:r>
            <w:r w:rsidR="006D769D">
              <w:rPr>
                <w:noProof/>
                <w:webHidden/>
              </w:rPr>
              <w:instrText xml:space="preserve"> PAGEREF _Toc276037837 \h </w:instrText>
            </w:r>
            <w:r>
              <w:rPr>
                <w:noProof/>
                <w:webHidden/>
              </w:rPr>
            </w:r>
            <w:r>
              <w:rPr>
                <w:noProof/>
                <w:webHidden/>
              </w:rPr>
              <w:fldChar w:fldCharType="separate"/>
            </w:r>
            <w:r w:rsidR="004E6A50">
              <w:rPr>
                <w:noProof/>
                <w:webHidden/>
              </w:rPr>
              <w:t>18</w:t>
            </w:r>
            <w:r>
              <w:rPr>
                <w:noProof/>
                <w:webHidden/>
              </w:rPr>
              <w:fldChar w:fldCharType="end"/>
            </w:r>
          </w:hyperlink>
        </w:p>
        <w:p w:rsidR="006D769D" w:rsidRDefault="00AF55AD">
          <w:pPr>
            <w:pStyle w:val="TOC2"/>
            <w:tabs>
              <w:tab w:val="left" w:pos="880"/>
              <w:tab w:val="right" w:leader="dot" w:pos="9016"/>
            </w:tabs>
            <w:rPr>
              <w:rFonts w:eastAsiaTheme="minorEastAsia"/>
              <w:noProof/>
              <w:lang w:eastAsia="en-GB"/>
            </w:rPr>
          </w:pPr>
          <w:hyperlink w:anchor="_Toc276037838" w:history="1">
            <w:r w:rsidR="006D769D" w:rsidRPr="00C4578D">
              <w:rPr>
                <w:rStyle w:val="Hyperlink"/>
                <w:rFonts w:ascii="Arial" w:hAnsi="Arial" w:cs="Arial"/>
                <w:noProof/>
              </w:rPr>
              <w:t>4.3</w:t>
            </w:r>
            <w:r w:rsidR="006D769D">
              <w:rPr>
                <w:rFonts w:eastAsiaTheme="minorEastAsia"/>
                <w:noProof/>
                <w:lang w:eastAsia="en-GB"/>
              </w:rPr>
              <w:tab/>
            </w:r>
            <w:r w:rsidR="006D769D" w:rsidRPr="00C4578D">
              <w:rPr>
                <w:rStyle w:val="Hyperlink"/>
                <w:rFonts w:ascii="Arial" w:hAnsi="Arial" w:cs="Arial"/>
                <w:noProof/>
              </w:rPr>
              <w:t>All age incidence by PCT 1993-2006 (3-year rolling average)</w:t>
            </w:r>
            <w:r w:rsidR="006D769D">
              <w:rPr>
                <w:noProof/>
                <w:webHidden/>
              </w:rPr>
              <w:tab/>
            </w:r>
            <w:r>
              <w:rPr>
                <w:noProof/>
                <w:webHidden/>
              </w:rPr>
              <w:fldChar w:fldCharType="begin"/>
            </w:r>
            <w:r w:rsidR="006D769D">
              <w:rPr>
                <w:noProof/>
                <w:webHidden/>
              </w:rPr>
              <w:instrText xml:space="preserve"> PAGEREF _Toc276037838 \h </w:instrText>
            </w:r>
            <w:r>
              <w:rPr>
                <w:noProof/>
                <w:webHidden/>
              </w:rPr>
            </w:r>
            <w:r>
              <w:rPr>
                <w:noProof/>
                <w:webHidden/>
              </w:rPr>
              <w:fldChar w:fldCharType="separate"/>
            </w:r>
            <w:r w:rsidR="004E6A50">
              <w:rPr>
                <w:noProof/>
                <w:webHidden/>
              </w:rPr>
              <w:t>19</w:t>
            </w:r>
            <w:r>
              <w:rPr>
                <w:noProof/>
                <w:webHidden/>
              </w:rPr>
              <w:fldChar w:fldCharType="end"/>
            </w:r>
          </w:hyperlink>
        </w:p>
        <w:p w:rsidR="006D769D" w:rsidRDefault="00AF55AD">
          <w:pPr>
            <w:pStyle w:val="TOC1"/>
            <w:tabs>
              <w:tab w:val="left" w:pos="660"/>
              <w:tab w:val="right" w:leader="dot" w:pos="9016"/>
            </w:tabs>
            <w:rPr>
              <w:rFonts w:eastAsiaTheme="minorEastAsia"/>
              <w:noProof/>
              <w:lang w:eastAsia="en-GB"/>
            </w:rPr>
          </w:pPr>
          <w:hyperlink w:anchor="_Toc276037839" w:history="1">
            <w:r w:rsidR="006D769D" w:rsidRPr="00C4578D">
              <w:rPr>
                <w:rStyle w:val="Hyperlink"/>
                <w:rFonts w:ascii="Arial" w:hAnsi="Arial" w:cs="Arial"/>
                <w:noProof/>
              </w:rPr>
              <w:t>5.0</w:t>
            </w:r>
            <w:r w:rsidR="006D769D">
              <w:rPr>
                <w:rFonts w:eastAsiaTheme="minorEastAsia"/>
                <w:noProof/>
                <w:lang w:eastAsia="en-GB"/>
              </w:rPr>
              <w:tab/>
            </w:r>
            <w:r w:rsidR="006D769D" w:rsidRPr="00C4578D">
              <w:rPr>
                <w:rStyle w:val="Hyperlink"/>
                <w:rFonts w:ascii="Arial" w:hAnsi="Arial" w:cs="Arial"/>
                <w:noProof/>
              </w:rPr>
              <w:t>Colorectal Cancer Prevalence 2006</w:t>
            </w:r>
            <w:r w:rsidR="006D769D">
              <w:rPr>
                <w:noProof/>
                <w:webHidden/>
              </w:rPr>
              <w:tab/>
            </w:r>
            <w:r>
              <w:rPr>
                <w:noProof/>
                <w:webHidden/>
              </w:rPr>
              <w:fldChar w:fldCharType="begin"/>
            </w:r>
            <w:r w:rsidR="006D769D">
              <w:rPr>
                <w:noProof/>
                <w:webHidden/>
              </w:rPr>
              <w:instrText xml:space="preserve"> PAGEREF _Toc276037839 \h </w:instrText>
            </w:r>
            <w:r>
              <w:rPr>
                <w:noProof/>
                <w:webHidden/>
              </w:rPr>
            </w:r>
            <w:r>
              <w:rPr>
                <w:noProof/>
                <w:webHidden/>
              </w:rPr>
              <w:fldChar w:fldCharType="separate"/>
            </w:r>
            <w:r w:rsidR="004E6A50">
              <w:rPr>
                <w:noProof/>
                <w:webHidden/>
              </w:rPr>
              <w:t>21</w:t>
            </w:r>
            <w:r>
              <w:rPr>
                <w:noProof/>
                <w:webHidden/>
              </w:rPr>
              <w:fldChar w:fldCharType="end"/>
            </w:r>
          </w:hyperlink>
        </w:p>
        <w:p w:rsidR="006D769D" w:rsidRDefault="00AF55AD">
          <w:pPr>
            <w:pStyle w:val="TOC2"/>
            <w:tabs>
              <w:tab w:val="left" w:pos="880"/>
              <w:tab w:val="right" w:leader="dot" w:pos="9016"/>
            </w:tabs>
            <w:rPr>
              <w:rFonts w:eastAsiaTheme="minorEastAsia"/>
              <w:noProof/>
              <w:lang w:eastAsia="en-GB"/>
            </w:rPr>
          </w:pPr>
          <w:hyperlink w:anchor="_Toc276037840" w:history="1">
            <w:r w:rsidR="006D769D" w:rsidRPr="00C4578D">
              <w:rPr>
                <w:rStyle w:val="Hyperlink"/>
                <w:rFonts w:ascii="Arial" w:hAnsi="Arial" w:cs="Arial"/>
                <w:noProof/>
              </w:rPr>
              <w:t>5.1</w:t>
            </w:r>
            <w:r w:rsidR="006D769D">
              <w:rPr>
                <w:rFonts w:eastAsiaTheme="minorEastAsia"/>
                <w:noProof/>
                <w:lang w:eastAsia="en-GB"/>
              </w:rPr>
              <w:tab/>
            </w:r>
            <w:r w:rsidR="006D769D" w:rsidRPr="00C4578D">
              <w:rPr>
                <w:rStyle w:val="Hyperlink"/>
                <w:rFonts w:ascii="Arial" w:hAnsi="Arial" w:cs="Arial"/>
                <w:noProof/>
              </w:rPr>
              <w:t>One-year prevalence by Cancer Network</w:t>
            </w:r>
            <w:r w:rsidR="006D769D">
              <w:rPr>
                <w:noProof/>
                <w:webHidden/>
              </w:rPr>
              <w:tab/>
            </w:r>
            <w:r>
              <w:rPr>
                <w:noProof/>
                <w:webHidden/>
              </w:rPr>
              <w:fldChar w:fldCharType="begin"/>
            </w:r>
            <w:r w:rsidR="006D769D">
              <w:rPr>
                <w:noProof/>
                <w:webHidden/>
              </w:rPr>
              <w:instrText xml:space="preserve"> PAGEREF _Toc276037840 \h </w:instrText>
            </w:r>
            <w:r>
              <w:rPr>
                <w:noProof/>
                <w:webHidden/>
              </w:rPr>
            </w:r>
            <w:r>
              <w:rPr>
                <w:noProof/>
                <w:webHidden/>
              </w:rPr>
              <w:fldChar w:fldCharType="separate"/>
            </w:r>
            <w:r w:rsidR="004E6A50">
              <w:rPr>
                <w:noProof/>
                <w:webHidden/>
              </w:rPr>
              <w:t>21</w:t>
            </w:r>
            <w:r>
              <w:rPr>
                <w:noProof/>
                <w:webHidden/>
              </w:rPr>
              <w:fldChar w:fldCharType="end"/>
            </w:r>
          </w:hyperlink>
        </w:p>
        <w:p w:rsidR="006D769D" w:rsidRDefault="00AF55AD">
          <w:pPr>
            <w:pStyle w:val="TOC1"/>
            <w:tabs>
              <w:tab w:val="left" w:pos="660"/>
              <w:tab w:val="right" w:leader="dot" w:pos="9016"/>
            </w:tabs>
            <w:rPr>
              <w:rFonts w:eastAsiaTheme="minorEastAsia"/>
              <w:noProof/>
              <w:lang w:eastAsia="en-GB"/>
            </w:rPr>
          </w:pPr>
          <w:hyperlink w:anchor="_Toc276037841" w:history="1">
            <w:r w:rsidR="006D769D" w:rsidRPr="00C4578D">
              <w:rPr>
                <w:rStyle w:val="Hyperlink"/>
                <w:rFonts w:ascii="Arial" w:hAnsi="Arial" w:cs="Arial"/>
                <w:noProof/>
              </w:rPr>
              <w:t>6.0</w:t>
            </w:r>
            <w:r w:rsidR="006D769D">
              <w:rPr>
                <w:rFonts w:eastAsiaTheme="minorEastAsia"/>
                <w:noProof/>
                <w:lang w:eastAsia="en-GB"/>
              </w:rPr>
              <w:tab/>
            </w:r>
            <w:r w:rsidR="006D769D" w:rsidRPr="00C4578D">
              <w:rPr>
                <w:rStyle w:val="Hyperlink"/>
                <w:rFonts w:ascii="Arial" w:hAnsi="Arial" w:cs="Arial"/>
                <w:noProof/>
              </w:rPr>
              <w:t>Colorectal Cancer Staging 2003-07</w:t>
            </w:r>
            <w:r w:rsidR="006D769D">
              <w:rPr>
                <w:noProof/>
                <w:webHidden/>
              </w:rPr>
              <w:tab/>
            </w:r>
            <w:r>
              <w:rPr>
                <w:noProof/>
                <w:webHidden/>
              </w:rPr>
              <w:fldChar w:fldCharType="begin"/>
            </w:r>
            <w:r w:rsidR="006D769D">
              <w:rPr>
                <w:noProof/>
                <w:webHidden/>
              </w:rPr>
              <w:instrText xml:space="preserve"> PAGEREF _Toc276037841 \h </w:instrText>
            </w:r>
            <w:r>
              <w:rPr>
                <w:noProof/>
                <w:webHidden/>
              </w:rPr>
            </w:r>
            <w:r>
              <w:rPr>
                <w:noProof/>
                <w:webHidden/>
              </w:rPr>
              <w:fldChar w:fldCharType="separate"/>
            </w:r>
            <w:r w:rsidR="004E6A50">
              <w:rPr>
                <w:noProof/>
                <w:webHidden/>
              </w:rPr>
              <w:t>22</w:t>
            </w:r>
            <w:r>
              <w:rPr>
                <w:noProof/>
                <w:webHidden/>
              </w:rPr>
              <w:fldChar w:fldCharType="end"/>
            </w:r>
          </w:hyperlink>
        </w:p>
        <w:p w:rsidR="006D769D" w:rsidRDefault="00AF55AD">
          <w:pPr>
            <w:pStyle w:val="TOC2"/>
            <w:tabs>
              <w:tab w:val="left" w:pos="880"/>
              <w:tab w:val="right" w:leader="dot" w:pos="9016"/>
            </w:tabs>
            <w:rPr>
              <w:rFonts w:eastAsiaTheme="minorEastAsia"/>
              <w:noProof/>
              <w:lang w:eastAsia="en-GB"/>
            </w:rPr>
          </w:pPr>
          <w:hyperlink w:anchor="_Toc276037842" w:history="1">
            <w:r w:rsidR="006D769D" w:rsidRPr="00C4578D">
              <w:rPr>
                <w:rStyle w:val="Hyperlink"/>
                <w:rFonts w:ascii="Arial" w:hAnsi="Arial" w:cs="Arial"/>
                <w:noProof/>
              </w:rPr>
              <w:t>6.1</w:t>
            </w:r>
            <w:r w:rsidR="006D769D">
              <w:rPr>
                <w:rFonts w:eastAsiaTheme="minorEastAsia"/>
                <w:noProof/>
                <w:lang w:eastAsia="en-GB"/>
              </w:rPr>
              <w:tab/>
            </w:r>
            <w:r w:rsidR="006D769D" w:rsidRPr="00C4578D">
              <w:rPr>
                <w:rStyle w:val="Hyperlink"/>
                <w:rFonts w:ascii="Arial" w:hAnsi="Arial" w:cs="Arial"/>
                <w:noProof/>
              </w:rPr>
              <w:t>PCT staging</w:t>
            </w:r>
            <w:r w:rsidR="006D769D">
              <w:rPr>
                <w:noProof/>
                <w:webHidden/>
              </w:rPr>
              <w:tab/>
            </w:r>
            <w:r>
              <w:rPr>
                <w:noProof/>
                <w:webHidden/>
              </w:rPr>
              <w:fldChar w:fldCharType="begin"/>
            </w:r>
            <w:r w:rsidR="006D769D">
              <w:rPr>
                <w:noProof/>
                <w:webHidden/>
              </w:rPr>
              <w:instrText xml:space="preserve"> PAGEREF _Toc276037842 \h </w:instrText>
            </w:r>
            <w:r>
              <w:rPr>
                <w:noProof/>
                <w:webHidden/>
              </w:rPr>
            </w:r>
            <w:r>
              <w:rPr>
                <w:noProof/>
                <w:webHidden/>
              </w:rPr>
              <w:fldChar w:fldCharType="separate"/>
            </w:r>
            <w:r w:rsidR="004E6A50">
              <w:rPr>
                <w:noProof/>
                <w:webHidden/>
              </w:rPr>
              <w:t>22</w:t>
            </w:r>
            <w:r>
              <w:rPr>
                <w:noProof/>
                <w:webHidden/>
              </w:rPr>
              <w:fldChar w:fldCharType="end"/>
            </w:r>
          </w:hyperlink>
        </w:p>
        <w:p w:rsidR="006D769D" w:rsidRDefault="00AF55AD">
          <w:pPr>
            <w:pStyle w:val="TOC2"/>
            <w:tabs>
              <w:tab w:val="left" w:pos="880"/>
              <w:tab w:val="right" w:leader="dot" w:pos="9016"/>
            </w:tabs>
            <w:rPr>
              <w:rFonts w:eastAsiaTheme="minorEastAsia"/>
              <w:noProof/>
              <w:lang w:eastAsia="en-GB"/>
            </w:rPr>
          </w:pPr>
          <w:hyperlink w:anchor="_Toc276037843" w:history="1">
            <w:r w:rsidR="006D769D" w:rsidRPr="00C4578D">
              <w:rPr>
                <w:rStyle w:val="Hyperlink"/>
                <w:rFonts w:ascii="Arial" w:hAnsi="Arial" w:cs="Arial"/>
                <w:noProof/>
              </w:rPr>
              <w:t>6.2</w:t>
            </w:r>
            <w:r w:rsidR="006D769D">
              <w:rPr>
                <w:rFonts w:eastAsiaTheme="minorEastAsia"/>
                <w:noProof/>
                <w:lang w:eastAsia="en-GB"/>
              </w:rPr>
              <w:tab/>
            </w:r>
            <w:r w:rsidR="006D769D" w:rsidRPr="00C4578D">
              <w:rPr>
                <w:rStyle w:val="Hyperlink"/>
                <w:rFonts w:ascii="Arial" w:hAnsi="Arial" w:cs="Arial"/>
                <w:noProof/>
              </w:rPr>
              <w:t>SWLCN staging</w:t>
            </w:r>
            <w:r w:rsidR="006D769D">
              <w:rPr>
                <w:noProof/>
                <w:webHidden/>
              </w:rPr>
              <w:tab/>
            </w:r>
            <w:r>
              <w:rPr>
                <w:noProof/>
                <w:webHidden/>
              </w:rPr>
              <w:fldChar w:fldCharType="begin"/>
            </w:r>
            <w:r w:rsidR="006D769D">
              <w:rPr>
                <w:noProof/>
                <w:webHidden/>
              </w:rPr>
              <w:instrText xml:space="preserve"> PAGEREF _Toc276037843 \h </w:instrText>
            </w:r>
            <w:r>
              <w:rPr>
                <w:noProof/>
                <w:webHidden/>
              </w:rPr>
            </w:r>
            <w:r>
              <w:rPr>
                <w:noProof/>
                <w:webHidden/>
              </w:rPr>
              <w:fldChar w:fldCharType="separate"/>
            </w:r>
            <w:r w:rsidR="004E6A50">
              <w:rPr>
                <w:noProof/>
                <w:webHidden/>
              </w:rPr>
              <w:t>23</w:t>
            </w:r>
            <w:r>
              <w:rPr>
                <w:noProof/>
                <w:webHidden/>
              </w:rPr>
              <w:fldChar w:fldCharType="end"/>
            </w:r>
          </w:hyperlink>
        </w:p>
        <w:p w:rsidR="006D769D" w:rsidRDefault="00AF55AD">
          <w:pPr>
            <w:pStyle w:val="TOC1"/>
            <w:tabs>
              <w:tab w:val="left" w:pos="660"/>
              <w:tab w:val="right" w:leader="dot" w:pos="9016"/>
            </w:tabs>
            <w:rPr>
              <w:rFonts w:eastAsiaTheme="minorEastAsia"/>
              <w:noProof/>
              <w:lang w:eastAsia="en-GB"/>
            </w:rPr>
          </w:pPr>
          <w:hyperlink w:anchor="_Toc276037844" w:history="1">
            <w:r w:rsidR="006D769D" w:rsidRPr="00C4578D">
              <w:rPr>
                <w:rStyle w:val="Hyperlink"/>
                <w:rFonts w:ascii="Arial" w:hAnsi="Arial" w:cs="Arial"/>
                <w:noProof/>
              </w:rPr>
              <w:t>7.0</w:t>
            </w:r>
            <w:r w:rsidR="006D769D">
              <w:rPr>
                <w:rFonts w:eastAsiaTheme="minorEastAsia"/>
                <w:noProof/>
                <w:lang w:eastAsia="en-GB"/>
              </w:rPr>
              <w:tab/>
            </w:r>
            <w:r w:rsidR="006D769D" w:rsidRPr="00C4578D">
              <w:rPr>
                <w:rStyle w:val="Hyperlink"/>
                <w:rFonts w:ascii="Arial" w:hAnsi="Arial" w:cs="Arial"/>
                <w:noProof/>
              </w:rPr>
              <w:t>Colorectal Cancer Survival</w:t>
            </w:r>
            <w:r w:rsidR="006D769D">
              <w:rPr>
                <w:noProof/>
                <w:webHidden/>
              </w:rPr>
              <w:tab/>
            </w:r>
            <w:r>
              <w:rPr>
                <w:noProof/>
                <w:webHidden/>
              </w:rPr>
              <w:fldChar w:fldCharType="begin"/>
            </w:r>
            <w:r w:rsidR="006D769D">
              <w:rPr>
                <w:noProof/>
                <w:webHidden/>
              </w:rPr>
              <w:instrText xml:space="preserve"> PAGEREF _Toc276037844 \h </w:instrText>
            </w:r>
            <w:r>
              <w:rPr>
                <w:noProof/>
                <w:webHidden/>
              </w:rPr>
            </w:r>
            <w:r>
              <w:rPr>
                <w:noProof/>
                <w:webHidden/>
              </w:rPr>
              <w:fldChar w:fldCharType="separate"/>
            </w:r>
            <w:r w:rsidR="004E6A50">
              <w:rPr>
                <w:noProof/>
                <w:webHidden/>
              </w:rPr>
              <w:t>25</w:t>
            </w:r>
            <w:r>
              <w:rPr>
                <w:noProof/>
                <w:webHidden/>
              </w:rPr>
              <w:fldChar w:fldCharType="end"/>
            </w:r>
          </w:hyperlink>
        </w:p>
        <w:p w:rsidR="006D769D" w:rsidRDefault="00AF55AD">
          <w:pPr>
            <w:pStyle w:val="TOC2"/>
            <w:tabs>
              <w:tab w:val="left" w:pos="880"/>
              <w:tab w:val="right" w:leader="dot" w:pos="9016"/>
            </w:tabs>
            <w:rPr>
              <w:rFonts w:eastAsiaTheme="minorEastAsia"/>
              <w:noProof/>
              <w:lang w:eastAsia="en-GB"/>
            </w:rPr>
          </w:pPr>
          <w:hyperlink w:anchor="_Toc276037845" w:history="1">
            <w:r w:rsidR="006D769D" w:rsidRPr="00C4578D">
              <w:rPr>
                <w:rStyle w:val="Hyperlink"/>
                <w:rFonts w:ascii="Arial" w:hAnsi="Arial" w:cs="Arial"/>
                <w:noProof/>
              </w:rPr>
              <w:t>7.1</w:t>
            </w:r>
            <w:r w:rsidR="006D769D">
              <w:rPr>
                <w:rFonts w:eastAsiaTheme="minorEastAsia"/>
                <w:noProof/>
                <w:lang w:eastAsia="en-GB"/>
              </w:rPr>
              <w:tab/>
            </w:r>
            <w:r w:rsidR="006D769D" w:rsidRPr="00C4578D">
              <w:rPr>
                <w:rStyle w:val="Hyperlink"/>
                <w:rFonts w:ascii="Arial" w:hAnsi="Arial" w:cs="Arial"/>
                <w:noProof/>
              </w:rPr>
              <w:t>One-year relative survival by PCT and Cancer Network 2002-07</w:t>
            </w:r>
            <w:r w:rsidR="006D769D">
              <w:rPr>
                <w:noProof/>
                <w:webHidden/>
              </w:rPr>
              <w:tab/>
            </w:r>
            <w:r>
              <w:rPr>
                <w:noProof/>
                <w:webHidden/>
              </w:rPr>
              <w:fldChar w:fldCharType="begin"/>
            </w:r>
            <w:r w:rsidR="006D769D">
              <w:rPr>
                <w:noProof/>
                <w:webHidden/>
              </w:rPr>
              <w:instrText xml:space="preserve"> PAGEREF _Toc276037845 \h </w:instrText>
            </w:r>
            <w:r>
              <w:rPr>
                <w:noProof/>
                <w:webHidden/>
              </w:rPr>
            </w:r>
            <w:r>
              <w:rPr>
                <w:noProof/>
                <w:webHidden/>
              </w:rPr>
              <w:fldChar w:fldCharType="separate"/>
            </w:r>
            <w:r w:rsidR="004E6A50">
              <w:rPr>
                <w:noProof/>
                <w:webHidden/>
              </w:rPr>
              <w:t>25</w:t>
            </w:r>
            <w:r>
              <w:rPr>
                <w:noProof/>
                <w:webHidden/>
              </w:rPr>
              <w:fldChar w:fldCharType="end"/>
            </w:r>
          </w:hyperlink>
        </w:p>
        <w:p w:rsidR="006D769D" w:rsidRDefault="00AF55AD">
          <w:pPr>
            <w:pStyle w:val="TOC2"/>
            <w:tabs>
              <w:tab w:val="left" w:pos="880"/>
              <w:tab w:val="right" w:leader="dot" w:pos="9016"/>
            </w:tabs>
            <w:rPr>
              <w:rFonts w:eastAsiaTheme="minorEastAsia"/>
              <w:noProof/>
              <w:lang w:eastAsia="en-GB"/>
            </w:rPr>
          </w:pPr>
          <w:hyperlink w:anchor="_Toc276037846" w:history="1">
            <w:r w:rsidR="006D769D" w:rsidRPr="00C4578D">
              <w:rPr>
                <w:rStyle w:val="Hyperlink"/>
                <w:rFonts w:ascii="Arial" w:hAnsi="Arial" w:cs="Arial"/>
                <w:noProof/>
              </w:rPr>
              <w:t>7.2</w:t>
            </w:r>
            <w:r w:rsidR="006D769D">
              <w:rPr>
                <w:rFonts w:eastAsiaTheme="minorEastAsia"/>
                <w:noProof/>
                <w:lang w:eastAsia="en-GB"/>
              </w:rPr>
              <w:tab/>
            </w:r>
            <w:r w:rsidR="006D769D" w:rsidRPr="00C4578D">
              <w:rPr>
                <w:rStyle w:val="Hyperlink"/>
                <w:rFonts w:ascii="Arial" w:hAnsi="Arial" w:cs="Arial"/>
                <w:noProof/>
              </w:rPr>
              <w:t>Five-year relative survival PCT and Cancer Network</w:t>
            </w:r>
            <w:r w:rsidR="006D769D">
              <w:rPr>
                <w:noProof/>
                <w:webHidden/>
              </w:rPr>
              <w:tab/>
            </w:r>
            <w:r>
              <w:rPr>
                <w:noProof/>
                <w:webHidden/>
              </w:rPr>
              <w:fldChar w:fldCharType="begin"/>
            </w:r>
            <w:r w:rsidR="006D769D">
              <w:rPr>
                <w:noProof/>
                <w:webHidden/>
              </w:rPr>
              <w:instrText xml:space="preserve"> PAGEREF _Toc276037846 \h </w:instrText>
            </w:r>
            <w:r>
              <w:rPr>
                <w:noProof/>
                <w:webHidden/>
              </w:rPr>
            </w:r>
            <w:r>
              <w:rPr>
                <w:noProof/>
                <w:webHidden/>
              </w:rPr>
              <w:fldChar w:fldCharType="separate"/>
            </w:r>
            <w:r w:rsidR="004E6A50">
              <w:rPr>
                <w:noProof/>
                <w:webHidden/>
              </w:rPr>
              <w:t>27</w:t>
            </w:r>
            <w:r>
              <w:rPr>
                <w:noProof/>
                <w:webHidden/>
              </w:rPr>
              <w:fldChar w:fldCharType="end"/>
            </w:r>
          </w:hyperlink>
        </w:p>
        <w:p w:rsidR="006D769D" w:rsidRDefault="00AF55AD">
          <w:pPr>
            <w:pStyle w:val="TOC1"/>
            <w:tabs>
              <w:tab w:val="left" w:pos="660"/>
              <w:tab w:val="right" w:leader="dot" w:pos="9016"/>
            </w:tabs>
            <w:rPr>
              <w:rFonts w:eastAsiaTheme="minorEastAsia"/>
              <w:noProof/>
              <w:lang w:eastAsia="en-GB"/>
            </w:rPr>
          </w:pPr>
          <w:hyperlink w:anchor="_Toc276037847" w:history="1">
            <w:r w:rsidR="006D769D" w:rsidRPr="00C4578D">
              <w:rPr>
                <w:rStyle w:val="Hyperlink"/>
                <w:rFonts w:ascii="Arial" w:hAnsi="Arial" w:cs="Arial"/>
                <w:noProof/>
              </w:rPr>
              <w:t>8.0</w:t>
            </w:r>
            <w:r w:rsidR="006D769D">
              <w:rPr>
                <w:rFonts w:eastAsiaTheme="minorEastAsia"/>
                <w:noProof/>
                <w:lang w:eastAsia="en-GB"/>
              </w:rPr>
              <w:tab/>
            </w:r>
            <w:r w:rsidR="006D769D" w:rsidRPr="00C4578D">
              <w:rPr>
                <w:rStyle w:val="Hyperlink"/>
                <w:rFonts w:ascii="Arial" w:hAnsi="Arial" w:cs="Arial"/>
                <w:noProof/>
              </w:rPr>
              <w:t>Colorectal Cancer Mortality</w:t>
            </w:r>
            <w:r w:rsidR="006D769D">
              <w:rPr>
                <w:noProof/>
                <w:webHidden/>
              </w:rPr>
              <w:tab/>
            </w:r>
            <w:r>
              <w:rPr>
                <w:noProof/>
                <w:webHidden/>
              </w:rPr>
              <w:fldChar w:fldCharType="begin"/>
            </w:r>
            <w:r w:rsidR="006D769D">
              <w:rPr>
                <w:noProof/>
                <w:webHidden/>
              </w:rPr>
              <w:instrText xml:space="preserve"> PAGEREF _Toc276037847 \h </w:instrText>
            </w:r>
            <w:r>
              <w:rPr>
                <w:noProof/>
                <w:webHidden/>
              </w:rPr>
            </w:r>
            <w:r>
              <w:rPr>
                <w:noProof/>
                <w:webHidden/>
              </w:rPr>
              <w:fldChar w:fldCharType="separate"/>
            </w:r>
            <w:r w:rsidR="004E6A50">
              <w:rPr>
                <w:noProof/>
                <w:webHidden/>
              </w:rPr>
              <w:t>28</w:t>
            </w:r>
            <w:r>
              <w:rPr>
                <w:noProof/>
                <w:webHidden/>
              </w:rPr>
              <w:fldChar w:fldCharType="end"/>
            </w:r>
          </w:hyperlink>
        </w:p>
        <w:p w:rsidR="006D769D" w:rsidRDefault="00AF55AD">
          <w:pPr>
            <w:pStyle w:val="TOC2"/>
            <w:tabs>
              <w:tab w:val="left" w:pos="880"/>
              <w:tab w:val="right" w:leader="dot" w:pos="9016"/>
            </w:tabs>
            <w:rPr>
              <w:rFonts w:eastAsiaTheme="minorEastAsia"/>
              <w:noProof/>
              <w:lang w:eastAsia="en-GB"/>
            </w:rPr>
          </w:pPr>
          <w:hyperlink w:anchor="_Toc276037848" w:history="1">
            <w:r w:rsidR="006D769D" w:rsidRPr="00C4578D">
              <w:rPr>
                <w:rStyle w:val="Hyperlink"/>
                <w:rFonts w:ascii="Arial" w:hAnsi="Arial" w:cs="Arial"/>
                <w:noProof/>
              </w:rPr>
              <w:t>8.1</w:t>
            </w:r>
            <w:r w:rsidR="006D769D">
              <w:rPr>
                <w:rFonts w:eastAsiaTheme="minorEastAsia"/>
                <w:noProof/>
                <w:lang w:eastAsia="en-GB"/>
              </w:rPr>
              <w:tab/>
            </w:r>
            <w:r w:rsidR="006D769D" w:rsidRPr="00C4578D">
              <w:rPr>
                <w:rStyle w:val="Hyperlink"/>
                <w:rFonts w:ascii="Arial" w:hAnsi="Arial" w:cs="Arial"/>
                <w:noProof/>
              </w:rPr>
              <w:t>Under 75 mortality by PCT 2006-08</w:t>
            </w:r>
            <w:r w:rsidR="006D769D">
              <w:rPr>
                <w:noProof/>
                <w:webHidden/>
              </w:rPr>
              <w:tab/>
            </w:r>
            <w:r>
              <w:rPr>
                <w:noProof/>
                <w:webHidden/>
              </w:rPr>
              <w:fldChar w:fldCharType="begin"/>
            </w:r>
            <w:r w:rsidR="006D769D">
              <w:rPr>
                <w:noProof/>
                <w:webHidden/>
              </w:rPr>
              <w:instrText xml:space="preserve"> PAGEREF _Toc276037848 \h </w:instrText>
            </w:r>
            <w:r>
              <w:rPr>
                <w:noProof/>
                <w:webHidden/>
              </w:rPr>
            </w:r>
            <w:r>
              <w:rPr>
                <w:noProof/>
                <w:webHidden/>
              </w:rPr>
              <w:fldChar w:fldCharType="separate"/>
            </w:r>
            <w:r w:rsidR="004E6A50">
              <w:rPr>
                <w:noProof/>
                <w:webHidden/>
              </w:rPr>
              <w:t>28</w:t>
            </w:r>
            <w:r>
              <w:rPr>
                <w:noProof/>
                <w:webHidden/>
              </w:rPr>
              <w:fldChar w:fldCharType="end"/>
            </w:r>
          </w:hyperlink>
        </w:p>
        <w:p w:rsidR="006D769D" w:rsidRDefault="00AF55AD">
          <w:pPr>
            <w:pStyle w:val="TOC2"/>
            <w:tabs>
              <w:tab w:val="left" w:pos="880"/>
              <w:tab w:val="right" w:leader="dot" w:pos="9016"/>
            </w:tabs>
            <w:rPr>
              <w:rFonts w:eastAsiaTheme="minorEastAsia"/>
              <w:noProof/>
              <w:lang w:eastAsia="en-GB"/>
            </w:rPr>
          </w:pPr>
          <w:hyperlink w:anchor="_Toc276037849" w:history="1">
            <w:r w:rsidR="006D769D" w:rsidRPr="00C4578D">
              <w:rPr>
                <w:rStyle w:val="Hyperlink"/>
                <w:rFonts w:ascii="Arial" w:hAnsi="Arial" w:cs="Arial"/>
                <w:noProof/>
              </w:rPr>
              <w:t>8.2</w:t>
            </w:r>
            <w:r w:rsidR="006D769D">
              <w:rPr>
                <w:rFonts w:eastAsiaTheme="minorEastAsia"/>
                <w:noProof/>
                <w:lang w:eastAsia="en-GB"/>
              </w:rPr>
              <w:tab/>
            </w:r>
            <w:r w:rsidR="006D769D" w:rsidRPr="00C4578D">
              <w:rPr>
                <w:rStyle w:val="Hyperlink"/>
                <w:rFonts w:ascii="Arial" w:hAnsi="Arial" w:cs="Arial"/>
                <w:noProof/>
              </w:rPr>
              <w:t>All ages mortality by PCT 1993-2008 (3-year rolling average)</w:t>
            </w:r>
            <w:r w:rsidR="006D769D">
              <w:rPr>
                <w:noProof/>
                <w:webHidden/>
              </w:rPr>
              <w:tab/>
            </w:r>
            <w:r>
              <w:rPr>
                <w:noProof/>
                <w:webHidden/>
              </w:rPr>
              <w:fldChar w:fldCharType="begin"/>
            </w:r>
            <w:r w:rsidR="006D769D">
              <w:rPr>
                <w:noProof/>
                <w:webHidden/>
              </w:rPr>
              <w:instrText xml:space="preserve"> PAGEREF _Toc276037849 \h </w:instrText>
            </w:r>
            <w:r>
              <w:rPr>
                <w:noProof/>
                <w:webHidden/>
              </w:rPr>
            </w:r>
            <w:r>
              <w:rPr>
                <w:noProof/>
                <w:webHidden/>
              </w:rPr>
              <w:fldChar w:fldCharType="separate"/>
            </w:r>
            <w:r w:rsidR="004E6A50">
              <w:rPr>
                <w:noProof/>
                <w:webHidden/>
              </w:rPr>
              <w:t>28</w:t>
            </w:r>
            <w:r>
              <w:rPr>
                <w:noProof/>
                <w:webHidden/>
              </w:rPr>
              <w:fldChar w:fldCharType="end"/>
            </w:r>
          </w:hyperlink>
        </w:p>
        <w:p w:rsidR="006D769D" w:rsidRDefault="00AF55AD">
          <w:pPr>
            <w:pStyle w:val="TOC2"/>
            <w:tabs>
              <w:tab w:val="left" w:pos="880"/>
              <w:tab w:val="right" w:leader="dot" w:pos="9016"/>
            </w:tabs>
            <w:rPr>
              <w:rFonts w:eastAsiaTheme="minorEastAsia"/>
              <w:noProof/>
              <w:lang w:eastAsia="en-GB"/>
            </w:rPr>
          </w:pPr>
          <w:hyperlink w:anchor="_Toc276037850" w:history="1">
            <w:r w:rsidR="006D769D" w:rsidRPr="00C4578D">
              <w:rPr>
                <w:rStyle w:val="Hyperlink"/>
                <w:rFonts w:ascii="Arial" w:hAnsi="Arial" w:cs="Arial"/>
                <w:noProof/>
              </w:rPr>
              <w:t>8.3</w:t>
            </w:r>
            <w:r w:rsidR="006D769D">
              <w:rPr>
                <w:rFonts w:eastAsiaTheme="minorEastAsia"/>
                <w:noProof/>
                <w:lang w:eastAsia="en-GB"/>
              </w:rPr>
              <w:tab/>
            </w:r>
            <w:r w:rsidR="006D769D" w:rsidRPr="00C4578D">
              <w:rPr>
                <w:rStyle w:val="Hyperlink"/>
                <w:rFonts w:ascii="Arial" w:hAnsi="Arial" w:cs="Arial"/>
                <w:noProof/>
              </w:rPr>
              <w:t>All age mortality by PCT 2006-08</w:t>
            </w:r>
            <w:r w:rsidR="006D769D">
              <w:rPr>
                <w:noProof/>
                <w:webHidden/>
              </w:rPr>
              <w:tab/>
            </w:r>
            <w:r>
              <w:rPr>
                <w:noProof/>
                <w:webHidden/>
              </w:rPr>
              <w:fldChar w:fldCharType="begin"/>
            </w:r>
            <w:r w:rsidR="006D769D">
              <w:rPr>
                <w:noProof/>
                <w:webHidden/>
              </w:rPr>
              <w:instrText xml:space="preserve"> PAGEREF _Toc276037850 \h </w:instrText>
            </w:r>
            <w:r>
              <w:rPr>
                <w:noProof/>
                <w:webHidden/>
              </w:rPr>
            </w:r>
            <w:r>
              <w:rPr>
                <w:noProof/>
                <w:webHidden/>
              </w:rPr>
              <w:fldChar w:fldCharType="separate"/>
            </w:r>
            <w:r w:rsidR="004E6A50">
              <w:rPr>
                <w:noProof/>
                <w:webHidden/>
              </w:rPr>
              <w:t>29</w:t>
            </w:r>
            <w:r>
              <w:rPr>
                <w:noProof/>
                <w:webHidden/>
              </w:rPr>
              <w:fldChar w:fldCharType="end"/>
            </w:r>
          </w:hyperlink>
        </w:p>
        <w:p w:rsidR="006D769D" w:rsidRDefault="00AF55AD">
          <w:pPr>
            <w:pStyle w:val="TOC1"/>
            <w:tabs>
              <w:tab w:val="left" w:pos="660"/>
              <w:tab w:val="right" w:leader="dot" w:pos="9016"/>
            </w:tabs>
            <w:rPr>
              <w:rFonts w:eastAsiaTheme="minorEastAsia"/>
              <w:noProof/>
              <w:lang w:eastAsia="en-GB"/>
            </w:rPr>
          </w:pPr>
          <w:hyperlink w:anchor="_Toc276037851" w:history="1">
            <w:r w:rsidR="006D769D" w:rsidRPr="00C4578D">
              <w:rPr>
                <w:rStyle w:val="Hyperlink"/>
                <w:rFonts w:ascii="Arial" w:hAnsi="Arial" w:cs="Arial"/>
                <w:noProof/>
              </w:rPr>
              <w:t>9.0</w:t>
            </w:r>
            <w:r w:rsidR="006D769D">
              <w:rPr>
                <w:rFonts w:eastAsiaTheme="minorEastAsia"/>
                <w:noProof/>
                <w:lang w:eastAsia="en-GB"/>
              </w:rPr>
              <w:tab/>
            </w:r>
            <w:r w:rsidR="006D769D" w:rsidRPr="00C4578D">
              <w:rPr>
                <w:rStyle w:val="Hyperlink"/>
                <w:rFonts w:ascii="Arial" w:hAnsi="Arial" w:cs="Arial"/>
                <w:noProof/>
              </w:rPr>
              <w:t>Emergency Admissions</w:t>
            </w:r>
            <w:r w:rsidR="006D769D">
              <w:rPr>
                <w:noProof/>
                <w:webHidden/>
              </w:rPr>
              <w:tab/>
            </w:r>
            <w:r>
              <w:rPr>
                <w:noProof/>
                <w:webHidden/>
              </w:rPr>
              <w:fldChar w:fldCharType="begin"/>
            </w:r>
            <w:r w:rsidR="006D769D">
              <w:rPr>
                <w:noProof/>
                <w:webHidden/>
              </w:rPr>
              <w:instrText xml:space="preserve"> PAGEREF _Toc276037851 \h </w:instrText>
            </w:r>
            <w:r>
              <w:rPr>
                <w:noProof/>
                <w:webHidden/>
              </w:rPr>
            </w:r>
            <w:r>
              <w:rPr>
                <w:noProof/>
                <w:webHidden/>
              </w:rPr>
              <w:fldChar w:fldCharType="separate"/>
            </w:r>
            <w:r w:rsidR="004E6A50">
              <w:rPr>
                <w:noProof/>
                <w:webHidden/>
              </w:rPr>
              <w:t>30</w:t>
            </w:r>
            <w:r>
              <w:rPr>
                <w:noProof/>
                <w:webHidden/>
              </w:rPr>
              <w:fldChar w:fldCharType="end"/>
            </w:r>
          </w:hyperlink>
        </w:p>
        <w:p w:rsidR="006D769D" w:rsidRDefault="00AF55AD">
          <w:pPr>
            <w:pStyle w:val="TOC2"/>
            <w:tabs>
              <w:tab w:val="left" w:pos="880"/>
              <w:tab w:val="right" w:leader="dot" w:pos="9016"/>
            </w:tabs>
            <w:rPr>
              <w:rFonts w:eastAsiaTheme="minorEastAsia"/>
              <w:noProof/>
              <w:lang w:eastAsia="en-GB"/>
            </w:rPr>
          </w:pPr>
          <w:hyperlink w:anchor="_Toc276037852" w:history="1">
            <w:r w:rsidR="006D769D" w:rsidRPr="00C4578D">
              <w:rPr>
                <w:rStyle w:val="Hyperlink"/>
                <w:rFonts w:ascii="Arial" w:hAnsi="Arial" w:cs="Arial"/>
                <w:noProof/>
              </w:rPr>
              <w:t>9.1</w:t>
            </w:r>
            <w:r w:rsidR="006D769D">
              <w:rPr>
                <w:rFonts w:eastAsiaTheme="minorEastAsia"/>
                <w:noProof/>
                <w:lang w:eastAsia="en-GB"/>
              </w:rPr>
              <w:tab/>
            </w:r>
            <w:r w:rsidR="006D769D" w:rsidRPr="00C4578D">
              <w:rPr>
                <w:rStyle w:val="Hyperlink"/>
                <w:rFonts w:ascii="Arial" w:hAnsi="Arial" w:cs="Arial"/>
                <w:noProof/>
              </w:rPr>
              <w:t>All cancer emergency admissions by GP Practice 2008-09</w:t>
            </w:r>
            <w:r w:rsidR="006D769D">
              <w:rPr>
                <w:noProof/>
                <w:webHidden/>
              </w:rPr>
              <w:tab/>
            </w:r>
            <w:r>
              <w:rPr>
                <w:noProof/>
                <w:webHidden/>
              </w:rPr>
              <w:fldChar w:fldCharType="begin"/>
            </w:r>
            <w:r w:rsidR="006D769D">
              <w:rPr>
                <w:noProof/>
                <w:webHidden/>
              </w:rPr>
              <w:instrText xml:space="preserve"> PAGEREF _Toc276037852 \h </w:instrText>
            </w:r>
            <w:r>
              <w:rPr>
                <w:noProof/>
                <w:webHidden/>
              </w:rPr>
            </w:r>
            <w:r>
              <w:rPr>
                <w:noProof/>
                <w:webHidden/>
              </w:rPr>
              <w:fldChar w:fldCharType="separate"/>
            </w:r>
            <w:r w:rsidR="004E6A50">
              <w:rPr>
                <w:noProof/>
                <w:webHidden/>
              </w:rPr>
              <w:t>30</w:t>
            </w:r>
            <w:r>
              <w:rPr>
                <w:noProof/>
                <w:webHidden/>
              </w:rPr>
              <w:fldChar w:fldCharType="end"/>
            </w:r>
          </w:hyperlink>
        </w:p>
        <w:p w:rsidR="006D769D" w:rsidRPr="006D769D" w:rsidRDefault="00AF55AD">
          <w:pPr>
            <w:pStyle w:val="TOC3"/>
            <w:tabs>
              <w:tab w:val="left" w:pos="1320"/>
              <w:tab w:val="right" w:leader="dot" w:pos="9016"/>
            </w:tabs>
            <w:rPr>
              <w:rFonts w:eastAsiaTheme="minorEastAsia"/>
              <w:noProof/>
              <w:lang w:eastAsia="en-GB"/>
            </w:rPr>
          </w:pPr>
          <w:hyperlink w:anchor="_Toc276037853" w:history="1">
            <w:r w:rsidR="006D769D" w:rsidRPr="006D769D">
              <w:rPr>
                <w:rStyle w:val="Hyperlink"/>
                <w:rFonts w:ascii="Arial" w:eastAsia="Times New Roman" w:hAnsi="Arial" w:cs="Arial"/>
                <w:bCs/>
                <w:noProof/>
              </w:rPr>
              <w:t>9.1.1</w:t>
            </w:r>
            <w:r w:rsidR="006D769D" w:rsidRPr="006D769D">
              <w:rPr>
                <w:rFonts w:eastAsiaTheme="minorEastAsia"/>
                <w:noProof/>
                <w:lang w:eastAsia="en-GB"/>
              </w:rPr>
              <w:tab/>
            </w:r>
            <w:r w:rsidR="006D769D" w:rsidRPr="006D769D">
              <w:rPr>
                <w:rStyle w:val="Hyperlink"/>
                <w:rFonts w:ascii="Arial" w:eastAsia="Times New Roman" w:hAnsi="Arial" w:cs="Arial"/>
                <w:bCs/>
                <w:noProof/>
              </w:rPr>
              <w:t>Croydon</w:t>
            </w:r>
            <w:r w:rsidR="006D769D" w:rsidRPr="006D769D">
              <w:rPr>
                <w:noProof/>
                <w:webHidden/>
              </w:rPr>
              <w:tab/>
            </w:r>
            <w:r w:rsidRPr="006D769D">
              <w:rPr>
                <w:noProof/>
                <w:webHidden/>
              </w:rPr>
              <w:fldChar w:fldCharType="begin"/>
            </w:r>
            <w:r w:rsidR="006D769D" w:rsidRPr="006D769D">
              <w:rPr>
                <w:noProof/>
                <w:webHidden/>
              </w:rPr>
              <w:instrText xml:space="preserve"> PAGEREF _Toc276037853 \h </w:instrText>
            </w:r>
            <w:r w:rsidRPr="006D769D">
              <w:rPr>
                <w:noProof/>
                <w:webHidden/>
              </w:rPr>
            </w:r>
            <w:r w:rsidRPr="006D769D">
              <w:rPr>
                <w:noProof/>
                <w:webHidden/>
              </w:rPr>
              <w:fldChar w:fldCharType="separate"/>
            </w:r>
            <w:r w:rsidR="004E6A50">
              <w:rPr>
                <w:noProof/>
                <w:webHidden/>
              </w:rPr>
              <w:t>30</w:t>
            </w:r>
            <w:r w:rsidRPr="006D769D">
              <w:rPr>
                <w:noProof/>
                <w:webHidden/>
              </w:rPr>
              <w:fldChar w:fldCharType="end"/>
            </w:r>
          </w:hyperlink>
        </w:p>
        <w:p w:rsidR="006D769D" w:rsidRPr="006D769D" w:rsidRDefault="00AF55AD">
          <w:pPr>
            <w:pStyle w:val="TOC3"/>
            <w:tabs>
              <w:tab w:val="left" w:pos="1320"/>
              <w:tab w:val="right" w:leader="dot" w:pos="9016"/>
            </w:tabs>
            <w:rPr>
              <w:rFonts w:eastAsiaTheme="minorEastAsia"/>
              <w:noProof/>
              <w:lang w:eastAsia="en-GB"/>
            </w:rPr>
          </w:pPr>
          <w:hyperlink w:anchor="_Toc276037854" w:history="1">
            <w:r w:rsidR="006D769D" w:rsidRPr="006D769D">
              <w:rPr>
                <w:rStyle w:val="Hyperlink"/>
                <w:rFonts w:ascii="Arial" w:eastAsia="Times New Roman" w:hAnsi="Arial" w:cs="Arial"/>
                <w:bCs/>
                <w:noProof/>
              </w:rPr>
              <w:t>9.1.2</w:t>
            </w:r>
            <w:r w:rsidR="006D769D" w:rsidRPr="006D769D">
              <w:rPr>
                <w:rFonts w:eastAsiaTheme="minorEastAsia"/>
                <w:noProof/>
                <w:lang w:eastAsia="en-GB"/>
              </w:rPr>
              <w:tab/>
            </w:r>
            <w:r w:rsidR="006D769D" w:rsidRPr="006D769D">
              <w:rPr>
                <w:rStyle w:val="Hyperlink"/>
                <w:rFonts w:ascii="Arial" w:eastAsia="Times New Roman" w:hAnsi="Arial" w:cs="Arial"/>
                <w:bCs/>
                <w:noProof/>
              </w:rPr>
              <w:t>Kingston</w:t>
            </w:r>
            <w:r w:rsidR="006D769D" w:rsidRPr="006D769D">
              <w:rPr>
                <w:noProof/>
                <w:webHidden/>
              </w:rPr>
              <w:tab/>
            </w:r>
            <w:r w:rsidRPr="006D769D">
              <w:rPr>
                <w:noProof/>
                <w:webHidden/>
              </w:rPr>
              <w:fldChar w:fldCharType="begin"/>
            </w:r>
            <w:r w:rsidR="006D769D" w:rsidRPr="006D769D">
              <w:rPr>
                <w:noProof/>
                <w:webHidden/>
              </w:rPr>
              <w:instrText xml:space="preserve"> PAGEREF _Toc276037854 \h </w:instrText>
            </w:r>
            <w:r w:rsidRPr="006D769D">
              <w:rPr>
                <w:noProof/>
                <w:webHidden/>
              </w:rPr>
            </w:r>
            <w:r w:rsidRPr="006D769D">
              <w:rPr>
                <w:noProof/>
                <w:webHidden/>
              </w:rPr>
              <w:fldChar w:fldCharType="separate"/>
            </w:r>
            <w:r w:rsidR="004E6A50">
              <w:rPr>
                <w:noProof/>
                <w:webHidden/>
              </w:rPr>
              <w:t>31</w:t>
            </w:r>
            <w:r w:rsidRPr="006D769D">
              <w:rPr>
                <w:noProof/>
                <w:webHidden/>
              </w:rPr>
              <w:fldChar w:fldCharType="end"/>
            </w:r>
          </w:hyperlink>
        </w:p>
        <w:p w:rsidR="006D769D" w:rsidRPr="006D769D" w:rsidRDefault="00AF55AD">
          <w:pPr>
            <w:pStyle w:val="TOC3"/>
            <w:tabs>
              <w:tab w:val="left" w:pos="1320"/>
              <w:tab w:val="right" w:leader="dot" w:pos="9016"/>
            </w:tabs>
            <w:rPr>
              <w:rFonts w:eastAsiaTheme="minorEastAsia"/>
              <w:noProof/>
              <w:lang w:eastAsia="en-GB"/>
            </w:rPr>
          </w:pPr>
          <w:hyperlink w:anchor="_Toc276037855" w:history="1">
            <w:r w:rsidR="006D769D" w:rsidRPr="006D769D">
              <w:rPr>
                <w:rStyle w:val="Hyperlink"/>
                <w:rFonts w:ascii="Arial" w:eastAsia="Times New Roman" w:hAnsi="Arial" w:cs="Arial"/>
                <w:bCs/>
                <w:noProof/>
              </w:rPr>
              <w:t>9.1.3</w:t>
            </w:r>
            <w:r w:rsidR="006D769D" w:rsidRPr="006D769D">
              <w:rPr>
                <w:rFonts w:eastAsiaTheme="minorEastAsia"/>
                <w:noProof/>
                <w:lang w:eastAsia="en-GB"/>
              </w:rPr>
              <w:tab/>
            </w:r>
            <w:r w:rsidR="006D769D" w:rsidRPr="006D769D">
              <w:rPr>
                <w:rStyle w:val="Hyperlink"/>
                <w:rFonts w:ascii="Arial" w:eastAsia="Times New Roman" w:hAnsi="Arial" w:cs="Arial"/>
                <w:bCs/>
                <w:noProof/>
              </w:rPr>
              <w:t>Richmond &amp; Twickenham</w:t>
            </w:r>
            <w:r w:rsidR="006D769D" w:rsidRPr="006D769D">
              <w:rPr>
                <w:noProof/>
                <w:webHidden/>
              </w:rPr>
              <w:tab/>
            </w:r>
            <w:r w:rsidRPr="006D769D">
              <w:rPr>
                <w:noProof/>
                <w:webHidden/>
              </w:rPr>
              <w:fldChar w:fldCharType="begin"/>
            </w:r>
            <w:r w:rsidR="006D769D" w:rsidRPr="006D769D">
              <w:rPr>
                <w:noProof/>
                <w:webHidden/>
              </w:rPr>
              <w:instrText xml:space="preserve"> PAGEREF _Toc276037855 \h </w:instrText>
            </w:r>
            <w:r w:rsidRPr="006D769D">
              <w:rPr>
                <w:noProof/>
                <w:webHidden/>
              </w:rPr>
            </w:r>
            <w:r w:rsidRPr="006D769D">
              <w:rPr>
                <w:noProof/>
                <w:webHidden/>
              </w:rPr>
              <w:fldChar w:fldCharType="separate"/>
            </w:r>
            <w:r w:rsidR="004E6A50">
              <w:rPr>
                <w:noProof/>
                <w:webHidden/>
              </w:rPr>
              <w:t>31</w:t>
            </w:r>
            <w:r w:rsidRPr="006D769D">
              <w:rPr>
                <w:noProof/>
                <w:webHidden/>
              </w:rPr>
              <w:fldChar w:fldCharType="end"/>
            </w:r>
          </w:hyperlink>
        </w:p>
        <w:p w:rsidR="006D769D" w:rsidRPr="006D769D" w:rsidRDefault="00AF55AD">
          <w:pPr>
            <w:pStyle w:val="TOC3"/>
            <w:tabs>
              <w:tab w:val="left" w:pos="1320"/>
              <w:tab w:val="right" w:leader="dot" w:pos="9016"/>
            </w:tabs>
            <w:rPr>
              <w:rFonts w:eastAsiaTheme="minorEastAsia"/>
              <w:noProof/>
              <w:lang w:eastAsia="en-GB"/>
            </w:rPr>
          </w:pPr>
          <w:hyperlink w:anchor="_Toc276037856" w:history="1">
            <w:r w:rsidR="006D769D" w:rsidRPr="006D769D">
              <w:rPr>
                <w:rStyle w:val="Hyperlink"/>
                <w:rFonts w:ascii="Arial" w:eastAsia="Times New Roman" w:hAnsi="Arial" w:cs="Arial"/>
                <w:bCs/>
                <w:noProof/>
              </w:rPr>
              <w:t>9.1.4</w:t>
            </w:r>
            <w:r w:rsidR="006D769D" w:rsidRPr="006D769D">
              <w:rPr>
                <w:rFonts w:eastAsiaTheme="minorEastAsia"/>
                <w:noProof/>
                <w:lang w:eastAsia="en-GB"/>
              </w:rPr>
              <w:tab/>
            </w:r>
            <w:r w:rsidR="006D769D" w:rsidRPr="006D769D">
              <w:rPr>
                <w:rStyle w:val="Hyperlink"/>
                <w:rFonts w:ascii="Arial" w:eastAsia="Times New Roman" w:hAnsi="Arial" w:cs="Arial"/>
                <w:bCs/>
                <w:noProof/>
              </w:rPr>
              <w:t>Sutton &amp; Merton</w:t>
            </w:r>
            <w:r w:rsidR="006D769D" w:rsidRPr="006D769D">
              <w:rPr>
                <w:noProof/>
                <w:webHidden/>
              </w:rPr>
              <w:tab/>
            </w:r>
            <w:r w:rsidRPr="006D769D">
              <w:rPr>
                <w:noProof/>
                <w:webHidden/>
              </w:rPr>
              <w:fldChar w:fldCharType="begin"/>
            </w:r>
            <w:r w:rsidR="006D769D" w:rsidRPr="006D769D">
              <w:rPr>
                <w:noProof/>
                <w:webHidden/>
              </w:rPr>
              <w:instrText xml:space="preserve"> PAGEREF _Toc276037856 \h </w:instrText>
            </w:r>
            <w:r w:rsidRPr="006D769D">
              <w:rPr>
                <w:noProof/>
                <w:webHidden/>
              </w:rPr>
            </w:r>
            <w:r w:rsidRPr="006D769D">
              <w:rPr>
                <w:noProof/>
                <w:webHidden/>
              </w:rPr>
              <w:fldChar w:fldCharType="separate"/>
            </w:r>
            <w:r w:rsidR="004E6A50">
              <w:rPr>
                <w:noProof/>
                <w:webHidden/>
              </w:rPr>
              <w:t>32</w:t>
            </w:r>
            <w:r w:rsidRPr="006D769D">
              <w:rPr>
                <w:noProof/>
                <w:webHidden/>
              </w:rPr>
              <w:fldChar w:fldCharType="end"/>
            </w:r>
          </w:hyperlink>
        </w:p>
        <w:p w:rsidR="006D769D" w:rsidRPr="006D769D" w:rsidRDefault="00AF55AD">
          <w:pPr>
            <w:pStyle w:val="TOC3"/>
            <w:tabs>
              <w:tab w:val="left" w:pos="1320"/>
              <w:tab w:val="right" w:leader="dot" w:pos="9016"/>
            </w:tabs>
            <w:rPr>
              <w:rFonts w:eastAsiaTheme="minorEastAsia"/>
              <w:noProof/>
              <w:lang w:eastAsia="en-GB"/>
            </w:rPr>
          </w:pPr>
          <w:hyperlink w:anchor="_Toc276037857" w:history="1">
            <w:r w:rsidR="006D769D" w:rsidRPr="006D769D">
              <w:rPr>
                <w:rStyle w:val="Hyperlink"/>
                <w:rFonts w:ascii="Arial" w:eastAsia="Times New Roman" w:hAnsi="Arial" w:cs="Arial"/>
                <w:bCs/>
                <w:noProof/>
              </w:rPr>
              <w:t>9.1.5</w:t>
            </w:r>
            <w:r w:rsidR="006D769D" w:rsidRPr="006D769D">
              <w:rPr>
                <w:rFonts w:eastAsiaTheme="minorEastAsia"/>
                <w:noProof/>
                <w:lang w:eastAsia="en-GB"/>
              </w:rPr>
              <w:tab/>
            </w:r>
            <w:r w:rsidR="006D769D" w:rsidRPr="006D769D">
              <w:rPr>
                <w:rStyle w:val="Hyperlink"/>
                <w:rFonts w:ascii="Arial" w:eastAsia="Times New Roman" w:hAnsi="Arial" w:cs="Arial"/>
                <w:bCs/>
                <w:noProof/>
              </w:rPr>
              <w:t>Wandsworth</w:t>
            </w:r>
            <w:r w:rsidR="006D769D" w:rsidRPr="006D769D">
              <w:rPr>
                <w:noProof/>
                <w:webHidden/>
              </w:rPr>
              <w:tab/>
            </w:r>
            <w:r w:rsidRPr="006D769D">
              <w:rPr>
                <w:noProof/>
                <w:webHidden/>
              </w:rPr>
              <w:fldChar w:fldCharType="begin"/>
            </w:r>
            <w:r w:rsidR="006D769D" w:rsidRPr="006D769D">
              <w:rPr>
                <w:noProof/>
                <w:webHidden/>
              </w:rPr>
              <w:instrText xml:space="preserve"> PAGEREF _Toc276037857 \h </w:instrText>
            </w:r>
            <w:r w:rsidRPr="006D769D">
              <w:rPr>
                <w:noProof/>
                <w:webHidden/>
              </w:rPr>
            </w:r>
            <w:r w:rsidRPr="006D769D">
              <w:rPr>
                <w:noProof/>
                <w:webHidden/>
              </w:rPr>
              <w:fldChar w:fldCharType="separate"/>
            </w:r>
            <w:r w:rsidR="004E6A50">
              <w:rPr>
                <w:noProof/>
                <w:webHidden/>
              </w:rPr>
              <w:t>32</w:t>
            </w:r>
            <w:r w:rsidRPr="006D769D">
              <w:rPr>
                <w:noProof/>
                <w:webHidden/>
              </w:rPr>
              <w:fldChar w:fldCharType="end"/>
            </w:r>
          </w:hyperlink>
        </w:p>
        <w:p w:rsidR="006D769D" w:rsidRDefault="00AF55AD">
          <w:pPr>
            <w:pStyle w:val="TOC2"/>
            <w:tabs>
              <w:tab w:val="left" w:pos="880"/>
              <w:tab w:val="right" w:leader="dot" w:pos="9016"/>
            </w:tabs>
            <w:rPr>
              <w:rFonts w:eastAsiaTheme="minorEastAsia"/>
              <w:noProof/>
              <w:lang w:eastAsia="en-GB"/>
            </w:rPr>
          </w:pPr>
          <w:hyperlink w:anchor="_Toc276037858" w:history="1">
            <w:r w:rsidR="006D769D" w:rsidRPr="00C4578D">
              <w:rPr>
                <w:rStyle w:val="Hyperlink"/>
                <w:rFonts w:ascii="Arial" w:hAnsi="Arial" w:cs="Arial"/>
                <w:noProof/>
              </w:rPr>
              <w:t>9.2</w:t>
            </w:r>
            <w:r w:rsidR="006D769D">
              <w:rPr>
                <w:rFonts w:eastAsiaTheme="minorEastAsia"/>
                <w:noProof/>
                <w:lang w:eastAsia="en-GB"/>
              </w:rPr>
              <w:tab/>
            </w:r>
            <w:r w:rsidR="006D769D" w:rsidRPr="00C4578D">
              <w:rPr>
                <w:rStyle w:val="Hyperlink"/>
                <w:rFonts w:ascii="Arial" w:hAnsi="Arial" w:cs="Arial"/>
                <w:noProof/>
              </w:rPr>
              <w:t>Lower GI cancer emergency bed days PCT and Cancer Network 2007-08</w:t>
            </w:r>
            <w:r w:rsidR="006D769D">
              <w:rPr>
                <w:noProof/>
                <w:webHidden/>
              </w:rPr>
              <w:tab/>
            </w:r>
            <w:r>
              <w:rPr>
                <w:noProof/>
                <w:webHidden/>
              </w:rPr>
              <w:fldChar w:fldCharType="begin"/>
            </w:r>
            <w:r w:rsidR="006D769D">
              <w:rPr>
                <w:noProof/>
                <w:webHidden/>
              </w:rPr>
              <w:instrText xml:space="preserve"> PAGEREF _Toc276037858 \h </w:instrText>
            </w:r>
            <w:r>
              <w:rPr>
                <w:noProof/>
                <w:webHidden/>
              </w:rPr>
            </w:r>
            <w:r>
              <w:rPr>
                <w:noProof/>
                <w:webHidden/>
              </w:rPr>
              <w:fldChar w:fldCharType="separate"/>
            </w:r>
            <w:r w:rsidR="004E6A50">
              <w:rPr>
                <w:noProof/>
                <w:webHidden/>
              </w:rPr>
              <w:t>33</w:t>
            </w:r>
            <w:r>
              <w:rPr>
                <w:noProof/>
                <w:webHidden/>
              </w:rPr>
              <w:fldChar w:fldCharType="end"/>
            </w:r>
          </w:hyperlink>
        </w:p>
        <w:p w:rsidR="006D769D" w:rsidRDefault="00AF55AD">
          <w:pPr>
            <w:pStyle w:val="TOC1"/>
            <w:tabs>
              <w:tab w:val="left" w:pos="660"/>
              <w:tab w:val="right" w:leader="dot" w:pos="9016"/>
            </w:tabs>
            <w:rPr>
              <w:rFonts w:eastAsiaTheme="minorEastAsia"/>
              <w:noProof/>
              <w:lang w:eastAsia="en-GB"/>
            </w:rPr>
          </w:pPr>
          <w:hyperlink w:anchor="_Toc276037859" w:history="1">
            <w:r w:rsidR="006D769D" w:rsidRPr="00C4578D">
              <w:rPr>
                <w:rStyle w:val="Hyperlink"/>
                <w:rFonts w:ascii="Arial" w:hAnsi="Arial" w:cs="Arial"/>
                <w:noProof/>
              </w:rPr>
              <w:t>10.0</w:t>
            </w:r>
            <w:r w:rsidR="006D769D">
              <w:rPr>
                <w:rFonts w:eastAsiaTheme="minorEastAsia"/>
                <w:noProof/>
                <w:lang w:eastAsia="en-GB"/>
              </w:rPr>
              <w:tab/>
            </w:r>
            <w:r w:rsidR="006D769D" w:rsidRPr="00C4578D">
              <w:rPr>
                <w:rStyle w:val="Hyperlink"/>
                <w:rFonts w:ascii="Arial" w:hAnsi="Arial" w:cs="Arial"/>
                <w:noProof/>
              </w:rPr>
              <w:t>Colorectal Cancer Referrals</w:t>
            </w:r>
            <w:r w:rsidR="006D769D">
              <w:rPr>
                <w:noProof/>
                <w:webHidden/>
              </w:rPr>
              <w:tab/>
            </w:r>
            <w:r>
              <w:rPr>
                <w:noProof/>
                <w:webHidden/>
              </w:rPr>
              <w:fldChar w:fldCharType="begin"/>
            </w:r>
            <w:r w:rsidR="006D769D">
              <w:rPr>
                <w:noProof/>
                <w:webHidden/>
              </w:rPr>
              <w:instrText xml:space="preserve"> PAGEREF _Toc276037859 \h </w:instrText>
            </w:r>
            <w:r>
              <w:rPr>
                <w:noProof/>
                <w:webHidden/>
              </w:rPr>
            </w:r>
            <w:r>
              <w:rPr>
                <w:noProof/>
                <w:webHidden/>
              </w:rPr>
              <w:fldChar w:fldCharType="separate"/>
            </w:r>
            <w:r w:rsidR="004E6A50">
              <w:rPr>
                <w:noProof/>
                <w:webHidden/>
              </w:rPr>
              <w:t>34</w:t>
            </w:r>
            <w:r>
              <w:rPr>
                <w:noProof/>
                <w:webHidden/>
              </w:rPr>
              <w:fldChar w:fldCharType="end"/>
            </w:r>
          </w:hyperlink>
        </w:p>
        <w:p w:rsidR="006D769D" w:rsidRDefault="00AF55AD">
          <w:pPr>
            <w:pStyle w:val="TOC2"/>
            <w:tabs>
              <w:tab w:val="left" w:pos="880"/>
              <w:tab w:val="right" w:leader="dot" w:pos="9016"/>
            </w:tabs>
            <w:rPr>
              <w:rFonts w:eastAsiaTheme="minorEastAsia"/>
              <w:noProof/>
              <w:lang w:eastAsia="en-GB"/>
            </w:rPr>
          </w:pPr>
          <w:hyperlink w:anchor="_Toc276037860" w:history="1">
            <w:r w:rsidR="006D769D" w:rsidRPr="00C4578D">
              <w:rPr>
                <w:rStyle w:val="Hyperlink"/>
                <w:rFonts w:ascii="Arial" w:hAnsi="Arial" w:cs="Arial"/>
                <w:noProof/>
              </w:rPr>
              <w:t>10.1</w:t>
            </w:r>
            <w:r w:rsidR="006D769D">
              <w:rPr>
                <w:rFonts w:eastAsiaTheme="minorEastAsia"/>
                <w:noProof/>
                <w:lang w:eastAsia="en-GB"/>
              </w:rPr>
              <w:tab/>
            </w:r>
            <w:r w:rsidR="006D769D" w:rsidRPr="00C4578D">
              <w:rPr>
                <w:rStyle w:val="Hyperlink"/>
                <w:rFonts w:ascii="Arial" w:hAnsi="Arial" w:cs="Arial"/>
                <w:noProof/>
              </w:rPr>
              <w:t>Urgent two week wait (2WW) referrals with suspected lower GI cancer 2009</w:t>
            </w:r>
            <w:r w:rsidR="006D769D" w:rsidRPr="00C4578D">
              <w:rPr>
                <w:rStyle w:val="Hyperlink"/>
                <w:rFonts w:ascii="Arial" w:eastAsia="Times New Roman" w:hAnsi="Arial" w:cs="Arial"/>
                <w:noProof/>
              </w:rPr>
              <w:t xml:space="preserve"> by GP Practice</w:t>
            </w:r>
            <w:r w:rsidR="006D769D">
              <w:rPr>
                <w:noProof/>
                <w:webHidden/>
              </w:rPr>
              <w:tab/>
            </w:r>
            <w:r>
              <w:rPr>
                <w:noProof/>
                <w:webHidden/>
              </w:rPr>
              <w:fldChar w:fldCharType="begin"/>
            </w:r>
            <w:r w:rsidR="006D769D">
              <w:rPr>
                <w:noProof/>
                <w:webHidden/>
              </w:rPr>
              <w:instrText xml:space="preserve"> PAGEREF _Toc276037860 \h </w:instrText>
            </w:r>
            <w:r>
              <w:rPr>
                <w:noProof/>
                <w:webHidden/>
              </w:rPr>
            </w:r>
            <w:r>
              <w:rPr>
                <w:noProof/>
                <w:webHidden/>
              </w:rPr>
              <w:fldChar w:fldCharType="separate"/>
            </w:r>
            <w:r w:rsidR="004E6A50">
              <w:rPr>
                <w:noProof/>
                <w:webHidden/>
              </w:rPr>
              <w:t>34</w:t>
            </w:r>
            <w:r>
              <w:rPr>
                <w:noProof/>
                <w:webHidden/>
              </w:rPr>
              <w:fldChar w:fldCharType="end"/>
            </w:r>
          </w:hyperlink>
        </w:p>
        <w:p w:rsidR="006D769D" w:rsidRDefault="00AF55AD">
          <w:pPr>
            <w:pStyle w:val="TOC3"/>
            <w:tabs>
              <w:tab w:val="left" w:pos="1320"/>
              <w:tab w:val="right" w:leader="dot" w:pos="9016"/>
            </w:tabs>
            <w:rPr>
              <w:rFonts w:eastAsiaTheme="minorEastAsia"/>
              <w:noProof/>
              <w:lang w:eastAsia="en-GB"/>
            </w:rPr>
          </w:pPr>
          <w:hyperlink w:anchor="_Toc276037861" w:history="1">
            <w:r w:rsidR="006D769D" w:rsidRPr="00C4578D">
              <w:rPr>
                <w:rStyle w:val="Hyperlink"/>
                <w:rFonts w:ascii="Arial" w:hAnsi="Arial" w:cs="Arial"/>
                <w:noProof/>
              </w:rPr>
              <w:t>10.1.1</w:t>
            </w:r>
            <w:r w:rsidR="006D769D">
              <w:rPr>
                <w:rFonts w:eastAsiaTheme="minorEastAsia"/>
                <w:noProof/>
                <w:lang w:eastAsia="en-GB"/>
              </w:rPr>
              <w:tab/>
            </w:r>
            <w:r w:rsidR="006D769D" w:rsidRPr="00C4578D">
              <w:rPr>
                <w:rStyle w:val="Hyperlink"/>
                <w:rFonts w:ascii="Arial" w:hAnsi="Arial" w:cs="Arial"/>
                <w:noProof/>
              </w:rPr>
              <w:t>Croydon</w:t>
            </w:r>
            <w:r w:rsidR="006D769D">
              <w:rPr>
                <w:noProof/>
                <w:webHidden/>
              </w:rPr>
              <w:tab/>
            </w:r>
            <w:r>
              <w:rPr>
                <w:noProof/>
                <w:webHidden/>
              </w:rPr>
              <w:fldChar w:fldCharType="begin"/>
            </w:r>
            <w:r w:rsidR="006D769D">
              <w:rPr>
                <w:noProof/>
                <w:webHidden/>
              </w:rPr>
              <w:instrText xml:space="preserve"> PAGEREF _Toc276037861 \h </w:instrText>
            </w:r>
            <w:r>
              <w:rPr>
                <w:noProof/>
                <w:webHidden/>
              </w:rPr>
            </w:r>
            <w:r>
              <w:rPr>
                <w:noProof/>
                <w:webHidden/>
              </w:rPr>
              <w:fldChar w:fldCharType="separate"/>
            </w:r>
            <w:r w:rsidR="004E6A50">
              <w:rPr>
                <w:noProof/>
                <w:webHidden/>
              </w:rPr>
              <w:t>34</w:t>
            </w:r>
            <w:r>
              <w:rPr>
                <w:noProof/>
                <w:webHidden/>
              </w:rPr>
              <w:fldChar w:fldCharType="end"/>
            </w:r>
          </w:hyperlink>
        </w:p>
        <w:p w:rsidR="006D769D" w:rsidRDefault="00AF55AD">
          <w:pPr>
            <w:pStyle w:val="TOC3"/>
            <w:tabs>
              <w:tab w:val="left" w:pos="1320"/>
              <w:tab w:val="right" w:leader="dot" w:pos="9016"/>
            </w:tabs>
            <w:rPr>
              <w:rFonts w:eastAsiaTheme="minorEastAsia"/>
              <w:noProof/>
              <w:lang w:eastAsia="en-GB"/>
            </w:rPr>
          </w:pPr>
          <w:hyperlink w:anchor="_Toc276037862" w:history="1">
            <w:r w:rsidR="006D769D" w:rsidRPr="00C4578D">
              <w:rPr>
                <w:rStyle w:val="Hyperlink"/>
                <w:rFonts w:ascii="Arial" w:hAnsi="Arial" w:cs="Arial"/>
                <w:noProof/>
              </w:rPr>
              <w:t>10.1.2</w:t>
            </w:r>
            <w:r w:rsidR="006D769D">
              <w:rPr>
                <w:rFonts w:eastAsiaTheme="minorEastAsia"/>
                <w:noProof/>
                <w:lang w:eastAsia="en-GB"/>
              </w:rPr>
              <w:tab/>
            </w:r>
            <w:r w:rsidR="006D769D" w:rsidRPr="00C4578D">
              <w:rPr>
                <w:rStyle w:val="Hyperlink"/>
                <w:rFonts w:ascii="Arial" w:hAnsi="Arial" w:cs="Arial"/>
                <w:noProof/>
              </w:rPr>
              <w:t>Kingston</w:t>
            </w:r>
            <w:r w:rsidR="006D769D">
              <w:rPr>
                <w:noProof/>
                <w:webHidden/>
              </w:rPr>
              <w:tab/>
            </w:r>
            <w:r>
              <w:rPr>
                <w:noProof/>
                <w:webHidden/>
              </w:rPr>
              <w:fldChar w:fldCharType="begin"/>
            </w:r>
            <w:r w:rsidR="006D769D">
              <w:rPr>
                <w:noProof/>
                <w:webHidden/>
              </w:rPr>
              <w:instrText xml:space="preserve"> PAGEREF _Toc276037862 \h </w:instrText>
            </w:r>
            <w:r>
              <w:rPr>
                <w:noProof/>
                <w:webHidden/>
              </w:rPr>
            </w:r>
            <w:r>
              <w:rPr>
                <w:noProof/>
                <w:webHidden/>
              </w:rPr>
              <w:fldChar w:fldCharType="separate"/>
            </w:r>
            <w:r w:rsidR="004E6A50">
              <w:rPr>
                <w:noProof/>
                <w:webHidden/>
              </w:rPr>
              <w:t>34</w:t>
            </w:r>
            <w:r>
              <w:rPr>
                <w:noProof/>
                <w:webHidden/>
              </w:rPr>
              <w:fldChar w:fldCharType="end"/>
            </w:r>
          </w:hyperlink>
        </w:p>
        <w:p w:rsidR="006D769D" w:rsidRDefault="00AF55AD">
          <w:pPr>
            <w:pStyle w:val="TOC3"/>
            <w:tabs>
              <w:tab w:val="left" w:pos="1320"/>
              <w:tab w:val="right" w:leader="dot" w:pos="9016"/>
            </w:tabs>
            <w:rPr>
              <w:rFonts w:eastAsiaTheme="minorEastAsia"/>
              <w:noProof/>
              <w:lang w:eastAsia="en-GB"/>
            </w:rPr>
          </w:pPr>
          <w:hyperlink w:anchor="_Toc276037863" w:history="1">
            <w:r w:rsidR="006D769D" w:rsidRPr="00C4578D">
              <w:rPr>
                <w:rStyle w:val="Hyperlink"/>
                <w:rFonts w:ascii="Arial" w:hAnsi="Arial" w:cs="Arial"/>
                <w:noProof/>
              </w:rPr>
              <w:t>10.1.3</w:t>
            </w:r>
            <w:r w:rsidR="006D769D">
              <w:rPr>
                <w:rFonts w:eastAsiaTheme="minorEastAsia"/>
                <w:noProof/>
                <w:lang w:eastAsia="en-GB"/>
              </w:rPr>
              <w:tab/>
            </w:r>
            <w:r w:rsidR="006D769D" w:rsidRPr="00C4578D">
              <w:rPr>
                <w:rStyle w:val="Hyperlink"/>
                <w:rFonts w:ascii="Arial" w:hAnsi="Arial" w:cs="Arial"/>
                <w:noProof/>
              </w:rPr>
              <w:t>Richmond &amp; Twickenham</w:t>
            </w:r>
            <w:r w:rsidR="006D769D">
              <w:rPr>
                <w:noProof/>
                <w:webHidden/>
              </w:rPr>
              <w:tab/>
            </w:r>
            <w:r>
              <w:rPr>
                <w:noProof/>
                <w:webHidden/>
              </w:rPr>
              <w:fldChar w:fldCharType="begin"/>
            </w:r>
            <w:r w:rsidR="006D769D">
              <w:rPr>
                <w:noProof/>
                <w:webHidden/>
              </w:rPr>
              <w:instrText xml:space="preserve"> PAGEREF _Toc276037863 \h </w:instrText>
            </w:r>
            <w:r>
              <w:rPr>
                <w:noProof/>
                <w:webHidden/>
              </w:rPr>
            </w:r>
            <w:r>
              <w:rPr>
                <w:noProof/>
                <w:webHidden/>
              </w:rPr>
              <w:fldChar w:fldCharType="separate"/>
            </w:r>
            <w:r w:rsidR="004E6A50">
              <w:rPr>
                <w:noProof/>
                <w:webHidden/>
              </w:rPr>
              <w:t>35</w:t>
            </w:r>
            <w:r>
              <w:rPr>
                <w:noProof/>
                <w:webHidden/>
              </w:rPr>
              <w:fldChar w:fldCharType="end"/>
            </w:r>
          </w:hyperlink>
        </w:p>
        <w:p w:rsidR="006D769D" w:rsidRDefault="00AF55AD">
          <w:pPr>
            <w:pStyle w:val="TOC3"/>
            <w:tabs>
              <w:tab w:val="left" w:pos="1320"/>
              <w:tab w:val="right" w:leader="dot" w:pos="9016"/>
            </w:tabs>
            <w:rPr>
              <w:rFonts w:eastAsiaTheme="minorEastAsia"/>
              <w:noProof/>
              <w:lang w:eastAsia="en-GB"/>
            </w:rPr>
          </w:pPr>
          <w:hyperlink w:anchor="_Toc276037864" w:history="1">
            <w:r w:rsidR="006D769D" w:rsidRPr="00C4578D">
              <w:rPr>
                <w:rStyle w:val="Hyperlink"/>
                <w:rFonts w:ascii="Arial" w:hAnsi="Arial" w:cs="Arial"/>
                <w:noProof/>
              </w:rPr>
              <w:t>10.1.4</w:t>
            </w:r>
            <w:r w:rsidR="006D769D">
              <w:rPr>
                <w:rFonts w:eastAsiaTheme="minorEastAsia"/>
                <w:noProof/>
                <w:lang w:eastAsia="en-GB"/>
              </w:rPr>
              <w:tab/>
            </w:r>
            <w:r w:rsidR="006D769D" w:rsidRPr="00C4578D">
              <w:rPr>
                <w:rStyle w:val="Hyperlink"/>
                <w:rFonts w:ascii="Arial" w:hAnsi="Arial" w:cs="Arial"/>
                <w:noProof/>
              </w:rPr>
              <w:t>Sutton &amp; Merton</w:t>
            </w:r>
            <w:r w:rsidR="006D769D">
              <w:rPr>
                <w:noProof/>
                <w:webHidden/>
              </w:rPr>
              <w:tab/>
            </w:r>
            <w:r>
              <w:rPr>
                <w:noProof/>
                <w:webHidden/>
              </w:rPr>
              <w:fldChar w:fldCharType="begin"/>
            </w:r>
            <w:r w:rsidR="006D769D">
              <w:rPr>
                <w:noProof/>
                <w:webHidden/>
              </w:rPr>
              <w:instrText xml:space="preserve"> PAGEREF _Toc276037864 \h </w:instrText>
            </w:r>
            <w:r>
              <w:rPr>
                <w:noProof/>
                <w:webHidden/>
              </w:rPr>
            </w:r>
            <w:r>
              <w:rPr>
                <w:noProof/>
                <w:webHidden/>
              </w:rPr>
              <w:fldChar w:fldCharType="separate"/>
            </w:r>
            <w:r w:rsidR="004E6A50">
              <w:rPr>
                <w:noProof/>
                <w:webHidden/>
              </w:rPr>
              <w:t>36</w:t>
            </w:r>
            <w:r>
              <w:rPr>
                <w:noProof/>
                <w:webHidden/>
              </w:rPr>
              <w:fldChar w:fldCharType="end"/>
            </w:r>
          </w:hyperlink>
        </w:p>
        <w:p w:rsidR="006D769D" w:rsidRDefault="00AF55AD">
          <w:pPr>
            <w:pStyle w:val="TOC3"/>
            <w:tabs>
              <w:tab w:val="left" w:pos="1320"/>
              <w:tab w:val="right" w:leader="dot" w:pos="9016"/>
            </w:tabs>
            <w:rPr>
              <w:rFonts w:eastAsiaTheme="minorEastAsia"/>
              <w:noProof/>
              <w:lang w:eastAsia="en-GB"/>
            </w:rPr>
          </w:pPr>
          <w:hyperlink w:anchor="_Toc276037865" w:history="1">
            <w:r w:rsidR="006D769D" w:rsidRPr="00C4578D">
              <w:rPr>
                <w:rStyle w:val="Hyperlink"/>
                <w:rFonts w:ascii="Arial" w:hAnsi="Arial" w:cs="Arial"/>
                <w:noProof/>
              </w:rPr>
              <w:t>10.1.5</w:t>
            </w:r>
            <w:r w:rsidR="006D769D">
              <w:rPr>
                <w:rFonts w:eastAsiaTheme="minorEastAsia"/>
                <w:noProof/>
                <w:lang w:eastAsia="en-GB"/>
              </w:rPr>
              <w:tab/>
            </w:r>
            <w:r w:rsidR="006D769D" w:rsidRPr="00C4578D">
              <w:rPr>
                <w:rStyle w:val="Hyperlink"/>
                <w:rFonts w:ascii="Arial" w:hAnsi="Arial" w:cs="Arial"/>
                <w:noProof/>
              </w:rPr>
              <w:t>Wandsworth</w:t>
            </w:r>
            <w:r w:rsidR="006D769D">
              <w:rPr>
                <w:noProof/>
                <w:webHidden/>
              </w:rPr>
              <w:tab/>
            </w:r>
            <w:r>
              <w:rPr>
                <w:noProof/>
                <w:webHidden/>
              </w:rPr>
              <w:fldChar w:fldCharType="begin"/>
            </w:r>
            <w:r w:rsidR="006D769D">
              <w:rPr>
                <w:noProof/>
                <w:webHidden/>
              </w:rPr>
              <w:instrText xml:space="preserve"> PAGEREF _Toc276037865 \h </w:instrText>
            </w:r>
            <w:r>
              <w:rPr>
                <w:noProof/>
                <w:webHidden/>
              </w:rPr>
            </w:r>
            <w:r>
              <w:rPr>
                <w:noProof/>
                <w:webHidden/>
              </w:rPr>
              <w:fldChar w:fldCharType="separate"/>
            </w:r>
            <w:r w:rsidR="004E6A50">
              <w:rPr>
                <w:noProof/>
                <w:webHidden/>
              </w:rPr>
              <w:t>36</w:t>
            </w:r>
            <w:r>
              <w:rPr>
                <w:noProof/>
                <w:webHidden/>
              </w:rPr>
              <w:fldChar w:fldCharType="end"/>
            </w:r>
          </w:hyperlink>
        </w:p>
        <w:p w:rsidR="006D769D" w:rsidRDefault="00AF55AD">
          <w:pPr>
            <w:pStyle w:val="TOC2"/>
            <w:tabs>
              <w:tab w:val="left" w:pos="880"/>
              <w:tab w:val="right" w:leader="dot" w:pos="9016"/>
            </w:tabs>
            <w:rPr>
              <w:rFonts w:eastAsiaTheme="minorEastAsia"/>
              <w:noProof/>
              <w:lang w:eastAsia="en-GB"/>
            </w:rPr>
          </w:pPr>
          <w:hyperlink w:anchor="_Toc276037866" w:history="1">
            <w:r w:rsidR="006D769D" w:rsidRPr="00C4578D">
              <w:rPr>
                <w:rStyle w:val="Hyperlink"/>
                <w:rFonts w:ascii="Arial" w:hAnsi="Arial" w:cs="Arial"/>
                <w:noProof/>
              </w:rPr>
              <w:t>10.2</w:t>
            </w:r>
            <w:r w:rsidR="006D769D">
              <w:rPr>
                <w:rFonts w:eastAsiaTheme="minorEastAsia"/>
                <w:noProof/>
                <w:lang w:eastAsia="en-GB"/>
              </w:rPr>
              <w:tab/>
            </w:r>
            <w:r w:rsidR="006D769D" w:rsidRPr="00C4578D">
              <w:rPr>
                <w:rStyle w:val="Hyperlink"/>
                <w:rFonts w:ascii="Arial" w:hAnsi="Arial" w:cs="Arial"/>
                <w:noProof/>
              </w:rPr>
              <w:t>Proportion of colorectal cancer cases diagnosed through non-urgent referral by PCT and Cancer Network 2010</w:t>
            </w:r>
            <w:r w:rsidR="006D769D">
              <w:rPr>
                <w:noProof/>
                <w:webHidden/>
              </w:rPr>
              <w:tab/>
            </w:r>
            <w:r>
              <w:rPr>
                <w:noProof/>
                <w:webHidden/>
              </w:rPr>
              <w:fldChar w:fldCharType="begin"/>
            </w:r>
            <w:r w:rsidR="006D769D">
              <w:rPr>
                <w:noProof/>
                <w:webHidden/>
              </w:rPr>
              <w:instrText xml:space="preserve"> PAGEREF _Toc276037866 \h </w:instrText>
            </w:r>
            <w:r>
              <w:rPr>
                <w:noProof/>
                <w:webHidden/>
              </w:rPr>
            </w:r>
            <w:r>
              <w:rPr>
                <w:noProof/>
                <w:webHidden/>
              </w:rPr>
              <w:fldChar w:fldCharType="separate"/>
            </w:r>
            <w:r w:rsidR="004E6A50">
              <w:rPr>
                <w:noProof/>
                <w:webHidden/>
              </w:rPr>
              <w:t>37</w:t>
            </w:r>
            <w:r>
              <w:rPr>
                <w:noProof/>
                <w:webHidden/>
              </w:rPr>
              <w:fldChar w:fldCharType="end"/>
            </w:r>
          </w:hyperlink>
        </w:p>
        <w:p w:rsidR="006D769D" w:rsidRDefault="00AF55AD">
          <w:pPr>
            <w:pStyle w:val="TOC2"/>
            <w:tabs>
              <w:tab w:val="left" w:pos="880"/>
              <w:tab w:val="right" w:leader="dot" w:pos="9016"/>
            </w:tabs>
            <w:rPr>
              <w:rFonts w:eastAsiaTheme="minorEastAsia"/>
              <w:noProof/>
              <w:lang w:eastAsia="en-GB"/>
            </w:rPr>
          </w:pPr>
          <w:hyperlink w:anchor="_Toc276037867" w:history="1">
            <w:r w:rsidR="006D769D" w:rsidRPr="00C4578D">
              <w:rPr>
                <w:rStyle w:val="Hyperlink"/>
                <w:rFonts w:ascii="Arial" w:hAnsi="Arial" w:cs="Arial"/>
                <w:noProof/>
              </w:rPr>
              <w:t>10.3</w:t>
            </w:r>
            <w:r w:rsidR="006D769D">
              <w:rPr>
                <w:rFonts w:eastAsiaTheme="minorEastAsia"/>
                <w:noProof/>
                <w:lang w:eastAsia="en-GB"/>
              </w:rPr>
              <w:tab/>
            </w:r>
            <w:r w:rsidR="006D769D" w:rsidRPr="00C4578D">
              <w:rPr>
                <w:rStyle w:val="Hyperlink"/>
                <w:rFonts w:ascii="Arial" w:hAnsi="Arial" w:cs="Arial"/>
                <w:noProof/>
              </w:rPr>
              <w:t>Urgent 2 week referrals resulting in lower GI cancer diagnosis (‘The Hit Rate’) by PCT and Cancer Network 2010</w:t>
            </w:r>
            <w:r w:rsidR="006D769D">
              <w:rPr>
                <w:noProof/>
                <w:webHidden/>
              </w:rPr>
              <w:tab/>
            </w:r>
            <w:r>
              <w:rPr>
                <w:noProof/>
                <w:webHidden/>
              </w:rPr>
              <w:fldChar w:fldCharType="begin"/>
            </w:r>
            <w:r w:rsidR="006D769D">
              <w:rPr>
                <w:noProof/>
                <w:webHidden/>
              </w:rPr>
              <w:instrText xml:space="preserve"> PAGEREF _Toc276037867 \h </w:instrText>
            </w:r>
            <w:r>
              <w:rPr>
                <w:noProof/>
                <w:webHidden/>
              </w:rPr>
            </w:r>
            <w:r>
              <w:rPr>
                <w:noProof/>
                <w:webHidden/>
              </w:rPr>
              <w:fldChar w:fldCharType="separate"/>
            </w:r>
            <w:r w:rsidR="004E6A50">
              <w:rPr>
                <w:noProof/>
                <w:webHidden/>
              </w:rPr>
              <w:t>37</w:t>
            </w:r>
            <w:r>
              <w:rPr>
                <w:noProof/>
                <w:webHidden/>
              </w:rPr>
              <w:fldChar w:fldCharType="end"/>
            </w:r>
          </w:hyperlink>
        </w:p>
        <w:p w:rsidR="006D769D" w:rsidRDefault="00AF55AD">
          <w:pPr>
            <w:pStyle w:val="TOC1"/>
            <w:tabs>
              <w:tab w:val="left" w:pos="660"/>
              <w:tab w:val="right" w:leader="dot" w:pos="9016"/>
            </w:tabs>
            <w:rPr>
              <w:rFonts w:eastAsiaTheme="minorEastAsia"/>
              <w:noProof/>
              <w:lang w:eastAsia="en-GB"/>
            </w:rPr>
          </w:pPr>
          <w:hyperlink w:anchor="_Toc276037868" w:history="1">
            <w:r w:rsidR="006D769D" w:rsidRPr="00C4578D">
              <w:rPr>
                <w:rStyle w:val="Hyperlink"/>
                <w:rFonts w:ascii="Arial" w:hAnsi="Arial" w:cs="Arial"/>
                <w:noProof/>
              </w:rPr>
              <w:t>11.0</w:t>
            </w:r>
            <w:r w:rsidR="006D769D">
              <w:rPr>
                <w:rFonts w:eastAsiaTheme="minorEastAsia"/>
                <w:noProof/>
                <w:lang w:eastAsia="en-GB"/>
              </w:rPr>
              <w:tab/>
            </w:r>
            <w:r w:rsidR="006D769D" w:rsidRPr="00C4578D">
              <w:rPr>
                <w:rStyle w:val="Hyperlink"/>
                <w:rFonts w:ascii="Arial" w:hAnsi="Arial" w:cs="Arial"/>
                <w:noProof/>
              </w:rPr>
              <w:t>Primary Care Audit 2010</w:t>
            </w:r>
            <w:r w:rsidR="006D769D">
              <w:rPr>
                <w:noProof/>
                <w:webHidden/>
              </w:rPr>
              <w:tab/>
            </w:r>
            <w:r>
              <w:rPr>
                <w:noProof/>
                <w:webHidden/>
              </w:rPr>
              <w:fldChar w:fldCharType="begin"/>
            </w:r>
            <w:r w:rsidR="006D769D">
              <w:rPr>
                <w:noProof/>
                <w:webHidden/>
              </w:rPr>
              <w:instrText xml:space="preserve"> PAGEREF _Toc276037868 \h </w:instrText>
            </w:r>
            <w:r>
              <w:rPr>
                <w:noProof/>
                <w:webHidden/>
              </w:rPr>
            </w:r>
            <w:r>
              <w:rPr>
                <w:noProof/>
                <w:webHidden/>
              </w:rPr>
              <w:fldChar w:fldCharType="separate"/>
            </w:r>
            <w:r w:rsidR="004E6A50">
              <w:rPr>
                <w:noProof/>
                <w:webHidden/>
              </w:rPr>
              <w:t>39</w:t>
            </w:r>
            <w:r>
              <w:rPr>
                <w:noProof/>
                <w:webHidden/>
              </w:rPr>
              <w:fldChar w:fldCharType="end"/>
            </w:r>
          </w:hyperlink>
        </w:p>
        <w:p w:rsidR="006D769D" w:rsidRDefault="00AF55AD">
          <w:pPr>
            <w:pStyle w:val="TOC2"/>
            <w:tabs>
              <w:tab w:val="left" w:pos="880"/>
              <w:tab w:val="right" w:leader="dot" w:pos="9016"/>
            </w:tabs>
            <w:rPr>
              <w:rFonts w:eastAsiaTheme="minorEastAsia"/>
              <w:noProof/>
              <w:lang w:eastAsia="en-GB"/>
            </w:rPr>
          </w:pPr>
          <w:hyperlink w:anchor="_Toc276037869" w:history="1">
            <w:r w:rsidR="006D769D" w:rsidRPr="00C4578D">
              <w:rPr>
                <w:rStyle w:val="Hyperlink"/>
                <w:rFonts w:ascii="Arial" w:hAnsi="Arial" w:cs="Arial"/>
                <w:noProof/>
              </w:rPr>
              <w:t>11.1</w:t>
            </w:r>
            <w:r w:rsidR="006D769D">
              <w:rPr>
                <w:rFonts w:eastAsiaTheme="minorEastAsia"/>
                <w:noProof/>
                <w:lang w:eastAsia="en-GB"/>
              </w:rPr>
              <w:tab/>
            </w:r>
            <w:r w:rsidR="006D769D" w:rsidRPr="00C4578D">
              <w:rPr>
                <w:rStyle w:val="Hyperlink"/>
                <w:rFonts w:ascii="Arial" w:hAnsi="Arial" w:cs="Arial"/>
                <w:noProof/>
              </w:rPr>
              <w:t>Avoidable delays (all cancers)</w:t>
            </w:r>
            <w:r w:rsidR="006D769D">
              <w:rPr>
                <w:noProof/>
                <w:webHidden/>
              </w:rPr>
              <w:tab/>
            </w:r>
            <w:r>
              <w:rPr>
                <w:noProof/>
                <w:webHidden/>
              </w:rPr>
              <w:fldChar w:fldCharType="begin"/>
            </w:r>
            <w:r w:rsidR="006D769D">
              <w:rPr>
                <w:noProof/>
                <w:webHidden/>
              </w:rPr>
              <w:instrText xml:space="preserve"> PAGEREF _Toc276037869 \h </w:instrText>
            </w:r>
            <w:r>
              <w:rPr>
                <w:noProof/>
                <w:webHidden/>
              </w:rPr>
            </w:r>
            <w:r>
              <w:rPr>
                <w:noProof/>
                <w:webHidden/>
              </w:rPr>
              <w:fldChar w:fldCharType="separate"/>
            </w:r>
            <w:r w:rsidR="004E6A50">
              <w:rPr>
                <w:noProof/>
                <w:webHidden/>
              </w:rPr>
              <w:t>39</w:t>
            </w:r>
            <w:r>
              <w:rPr>
                <w:noProof/>
                <w:webHidden/>
              </w:rPr>
              <w:fldChar w:fldCharType="end"/>
            </w:r>
          </w:hyperlink>
        </w:p>
        <w:p w:rsidR="006D769D" w:rsidRDefault="00AF55AD">
          <w:pPr>
            <w:pStyle w:val="TOC2"/>
            <w:tabs>
              <w:tab w:val="left" w:pos="880"/>
              <w:tab w:val="right" w:leader="dot" w:pos="9016"/>
            </w:tabs>
            <w:rPr>
              <w:rFonts w:eastAsiaTheme="minorEastAsia"/>
              <w:noProof/>
              <w:lang w:eastAsia="en-GB"/>
            </w:rPr>
          </w:pPr>
          <w:hyperlink w:anchor="_Toc276037870" w:history="1">
            <w:r w:rsidR="006D769D" w:rsidRPr="00C4578D">
              <w:rPr>
                <w:rStyle w:val="Hyperlink"/>
                <w:rFonts w:ascii="Arial" w:hAnsi="Arial" w:cs="Arial"/>
                <w:noProof/>
              </w:rPr>
              <w:t>11.2</w:t>
            </w:r>
            <w:r w:rsidR="006D769D">
              <w:rPr>
                <w:rFonts w:eastAsiaTheme="minorEastAsia"/>
                <w:noProof/>
                <w:lang w:eastAsia="en-GB"/>
              </w:rPr>
              <w:tab/>
            </w:r>
            <w:r w:rsidR="006D769D" w:rsidRPr="00C4578D">
              <w:rPr>
                <w:rStyle w:val="Hyperlink"/>
                <w:rFonts w:ascii="Arial" w:hAnsi="Arial" w:cs="Arial"/>
                <w:noProof/>
              </w:rPr>
              <w:t>Colorectal cancer summary</w:t>
            </w:r>
            <w:r w:rsidR="006D769D">
              <w:rPr>
                <w:noProof/>
                <w:webHidden/>
              </w:rPr>
              <w:tab/>
            </w:r>
            <w:r>
              <w:rPr>
                <w:noProof/>
                <w:webHidden/>
              </w:rPr>
              <w:fldChar w:fldCharType="begin"/>
            </w:r>
            <w:r w:rsidR="006D769D">
              <w:rPr>
                <w:noProof/>
                <w:webHidden/>
              </w:rPr>
              <w:instrText xml:space="preserve"> PAGEREF _Toc276037870 \h </w:instrText>
            </w:r>
            <w:r>
              <w:rPr>
                <w:noProof/>
                <w:webHidden/>
              </w:rPr>
            </w:r>
            <w:r>
              <w:rPr>
                <w:noProof/>
                <w:webHidden/>
              </w:rPr>
              <w:fldChar w:fldCharType="separate"/>
            </w:r>
            <w:r w:rsidR="004E6A50">
              <w:rPr>
                <w:noProof/>
                <w:webHidden/>
              </w:rPr>
              <w:t>40</w:t>
            </w:r>
            <w:r>
              <w:rPr>
                <w:noProof/>
                <w:webHidden/>
              </w:rPr>
              <w:fldChar w:fldCharType="end"/>
            </w:r>
          </w:hyperlink>
        </w:p>
        <w:p w:rsidR="006D769D" w:rsidRDefault="00AF55AD">
          <w:pPr>
            <w:pStyle w:val="TOC1"/>
            <w:tabs>
              <w:tab w:val="left" w:pos="660"/>
              <w:tab w:val="right" w:leader="dot" w:pos="9016"/>
            </w:tabs>
            <w:rPr>
              <w:rFonts w:eastAsiaTheme="minorEastAsia"/>
              <w:noProof/>
              <w:lang w:eastAsia="en-GB"/>
            </w:rPr>
          </w:pPr>
          <w:hyperlink w:anchor="_Toc276037871" w:history="1">
            <w:r w:rsidR="006D769D" w:rsidRPr="00C4578D">
              <w:rPr>
                <w:rStyle w:val="Hyperlink"/>
                <w:rFonts w:ascii="Arial" w:hAnsi="Arial" w:cs="Arial"/>
                <w:noProof/>
              </w:rPr>
              <w:t>12.0</w:t>
            </w:r>
            <w:r w:rsidR="006D769D">
              <w:rPr>
                <w:rFonts w:eastAsiaTheme="minorEastAsia"/>
                <w:noProof/>
                <w:lang w:eastAsia="en-GB"/>
              </w:rPr>
              <w:tab/>
            </w:r>
            <w:r w:rsidR="006D769D" w:rsidRPr="00C4578D">
              <w:rPr>
                <w:rStyle w:val="Hyperlink"/>
                <w:rFonts w:ascii="Arial" w:hAnsi="Arial" w:cs="Arial"/>
                <w:noProof/>
              </w:rPr>
              <w:t>Cancer Awareness Measure (CAM) Survey in South West London 2010</w:t>
            </w:r>
            <w:r w:rsidR="006D769D">
              <w:rPr>
                <w:noProof/>
                <w:webHidden/>
              </w:rPr>
              <w:tab/>
            </w:r>
            <w:r>
              <w:rPr>
                <w:noProof/>
                <w:webHidden/>
              </w:rPr>
              <w:fldChar w:fldCharType="begin"/>
            </w:r>
            <w:r w:rsidR="006D769D">
              <w:rPr>
                <w:noProof/>
                <w:webHidden/>
              </w:rPr>
              <w:instrText xml:space="preserve"> PAGEREF _Toc276037871 \h </w:instrText>
            </w:r>
            <w:r>
              <w:rPr>
                <w:noProof/>
                <w:webHidden/>
              </w:rPr>
            </w:r>
            <w:r>
              <w:rPr>
                <w:noProof/>
                <w:webHidden/>
              </w:rPr>
              <w:fldChar w:fldCharType="separate"/>
            </w:r>
            <w:r w:rsidR="004E6A50">
              <w:rPr>
                <w:noProof/>
                <w:webHidden/>
              </w:rPr>
              <w:t>41</w:t>
            </w:r>
            <w:r>
              <w:rPr>
                <w:noProof/>
                <w:webHidden/>
              </w:rPr>
              <w:fldChar w:fldCharType="end"/>
            </w:r>
          </w:hyperlink>
        </w:p>
        <w:p w:rsidR="006D769D" w:rsidRDefault="00AF55AD">
          <w:pPr>
            <w:pStyle w:val="TOC1"/>
            <w:tabs>
              <w:tab w:val="left" w:pos="660"/>
              <w:tab w:val="right" w:leader="dot" w:pos="9016"/>
            </w:tabs>
            <w:rPr>
              <w:rFonts w:eastAsiaTheme="minorEastAsia"/>
              <w:noProof/>
              <w:lang w:eastAsia="en-GB"/>
            </w:rPr>
          </w:pPr>
          <w:hyperlink w:anchor="_Toc276037872" w:history="1">
            <w:r w:rsidR="006D769D" w:rsidRPr="00C4578D">
              <w:rPr>
                <w:rStyle w:val="Hyperlink"/>
                <w:rFonts w:ascii="Arial" w:hAnsi="Arial" w:cs="Arial"/>
                <w:noProof/>
              </w:rPr>
              <w:t>13.0</w:t>
            </w:r>
            <w:r w:rsidR="006D769D">
              <w:rPr>
                <w:rFonts w:eastAsiaTheme="minorEastAsia"/>
                <w:noProof/>
                <w:lang w:eastAsia="en-GB"/>
              </w:rPr>
              <w:tab/>
            </w:r>
            <w:r w:rsidR="006D769D" w:rsidRPr="00C4578D">
              <w:rPr>
                <w:rStyle w:val="Hyperlink"/>
                <w:rFonts w:ascii="Arial" w:hAnsi="Arial" w:cs="Arial"/>
                <w:noProof/>
              </w:rPr>
              <w:t>Conclusion</w:t>
            </w:r>
            <w:r w:rsidR="006D769D">
              <w:rPr>
                <w:noProof/>
                <w:webHidden/>
              </w:rPr>
              <w:tab/>
            </w:r>
            <w:r>
              <w:rPr>
                <w:noProof/>
                <w:webHidden/>
              </w:rPr>
              <w:fldChar w:fldCharType="begin"/>
            </w:r>
            <w:r w:rsidR="006D769D">
              <w:rPr>
                <w:noProof/>
                <w:webHidden/>
              </w:rPr>
              <w:instrText xml:space="preserve"> PAGEREF _Toc276037872 \h </w:instrText>
            </w:r>
            <w:r>
              <w:rPr>
                <w:noProof/>
                <w:webHidden/>
              </w:rPr>
            </w:r>
            <w:r>
              <w:rPr>
                <w:noProof/>
                <w:webHidden/>
              </w:rPr>
              <w:fldChar w:fldCharType="separate"/>
            </w:r>
            <w:r w:rsidR="004E6A50">
              <w:rPr>
                <w:noProof/>
                <w:webHidden/>
              </w:rPr>
              <w:t>43</w:t>
            </w:r>
            <w:r>
              <w:rPr>
                <w:noProof/>
                <w:webHidden/>
              </w:rPr>
              <w:fldChar w:fldCharType="end"/>
            </w:r>
          </w:hyperlink>
        </w:p>
        <w:p w:rsidR="006D769D" w:rsidRDefault="00AF55AD">
          <w:pPr>
            <w:pStyle w:val="TOC2"/>
            <w:tabs>
              <w:tab w:val="left" w:pos="880"/>
              <w:tab w:val="right" w:leader="dot" w:pos="9016"/>
            </w:tabs>
            <w:rPr>
              <w:rFonts w:eastAsiaTheme="minorEastAsia"/>
              <w:noProof/>
              <w:lang w:eastAsia="en-GB"/>
            </w:rPr>
          </w:pPr>
          <w:hyperlink w:anchor="_Toc276037873" w:history="1">
            <w:r w:rsidR="006D769D" w:rsidRPr="00C4578D">
              <w:rPr>
                <w:rStyle w:val="Hyperlink"/>
                <w:rFonts w:ascii="Arial" w:hAnsi="Arial" w:cs="Arial"/>
                <w:noProof/>
              </w:rPr>
              <w:t>13.1</w:t>
            </w:r>
            <w:r w:rsidR="006D769D">
              <w:rPr>
                <w:rFonts w:eastAsiaTheme="minorEastAsia"/>
                <w:noProof/>
                <w:lang w:eastAsia="en-GB"/>
              </w:rPr>
              <w:tab/>
            </w:r>
            <w:r w:rsidR="006D769D" w:rsidRPr="00C4578D">
              <w:rPr>
                <w:rStyle w:val="Hyperlink"/>
                <w:rFonts w:ascii="Arial" w:hAnsi="Arial" w:cs="Arial"/>
                <w:noProof/>
              </w:rPr>
              <w:t>GP practice summaries</w:t>
            </w:r>
            <w:r w:rsidR="006D769D">
              <w:rPr>
                <w:noProof/>
                <w:webHidden/>
              </w:rPr>
              <w:tab/>
            </w:r>
            <w:r>
              <w:rPr>
                <w:noProof/>
                <w:webHidden/>
              </w:rPr>
              <w:fldChar w:fldCharType="begin"/>
            </w:r>
            <w:r w:rsidR="006D769D">
              <w:rPr>
                <w:noProof/>
                <w:webHidden/>
              </w:rPr>
              <w:instrText xml:space="preserve"> PAGEREF _Toc276037873 \h </w:instrText>
            </w:r>
            <w:r>
              <w:rPr>
                <w:noProof/>
                <w:webHidden/>
              </w:rPr>
            </w:r>
            <w:r>
              <w:rPr>
                <w:noProof/>
                <w:webHidden/>
              </w:rPr>
              <w:fldChar w:fldCharType="separate"/>
            </w:r>
            <w:r w:rsidR="004E6A50">
              <w:rPr>
                <w:noProof/>
                <w:webHidden/>
              </w:rPr>
              <w:t>43</w:t>
            </w:r>
            <w:r>
              <w:rPr>
                <w:noProof/>
                <w:webHidden/>
              </w:rPr>
              <w:fldChar w:fldCharType="end"/>
            </w:r>
          </w:hyperlink>
        </w:p>
        <w:p w:rsidR="006D769D" w:rsidRDefault="00AF55AD">
          <w:pPr>
            <w:pStyle w:val="TOC2"/>
            <w:tabs>
              <w:tab w:val="left" w:pos="880"/>
              <w:tab w:val="right" w:leader="dot" w:pos="9016"/>
            </w:tabs>
            <w:rPr>
              <w:rFonts w:eastAsiaTheme="minorEastAsia"/>
              <w:noProof/>
              <w:lang w:eastAsia="en-GB"/>
            </w:rPr>
          </w:pPr>
          <w:hyperlink w:anchor="_Toc276037874" w:history="1">
            <w:r w:rsidR="006D769D" w:rsidRPr="00C4578D">
              <w:rPr>
                <w:rStyle w:val="Hyperlink"/>
                <w:rFonts w:ascii="Arial" w:hAnsi="Arial" w:cs="Arial"/>
                <w:noProof/>
              </w:rPr>
              <w:t>13.2</w:t>
            </w:r>
            <w:r w:rsidR="006D769D">
              <w:rPr>
                <w:rFonts w:eastAsiaTheme="minorEastAsia"/>
                <w:noProof/>
                <w:lang w:eastAsia="en-GB"/>
              </w:rPr>
              <w:tab/>
            </w:r>
            <w:r w:rsidR="006D769D" w:rsidRPr="00C4578D">
              <w:rPr>
                <w:rStyle w:val="Hyperlink"/>
                <w:rFonts w:ascii="Arial" w:hAnsi="Arial" w:cs="Arial"/>
                <w:noProof/>
              </w:rPr>
              <w:t>PCT summaries</w:t>
            </w:r>
            <w:r w:rsidR="006D769D">
              <w:rPr>
                <w:noProof/>
                <w:webHidden/>
              </w:rPr>
              <w:tab/>
            </w:r>
            <w:r>
              <w:rPr>
                <w:noProof/>
                <w:webHidden/>
              </w:rPr>
              <w:fldChar w:fldCharType="begin"/>
            </w:r>
            <w:r w:rsidR="006D769D">
              <w:rPr>
                <w:noProof/>
                <w:webHidden/>
              </w:rPr>
              <w:instrText xml:space="preserve"> PAGEREF _Toc276037874 \h </w:instrText>
            </w:r>
            <w:r>
              <w:rPr>
                <w:noProof/>
                <w:webHidden/>
              </w:rPr>
            </w:r>
            <w:r>
              <w:rPr>
                <w:noProof/>
                <w:webHidden/>
              </w:rPr>
              <w:fldChar w:fldCharType="separate"/>
            </w:r>
            <w:r w:rsidR="004E6A50">
              <w:rPr>
                <w:noProof/>
                <w:webHidden/>
              </w:rPr>
              <w:t>44</w:t>
            </w:r>
            <w:r>
              <w:rPr>
                <w:noProof/>
                <w:webHidden/>
              </w:rPr>
              <w:fldChar w:fldCharType="end"/>
            </w:r>
          </w:hyperlink>
        </w:p>
        <w:p w:rsidR="006D769D" w:rsidRDefault="00AF55AD">
          <w:pPr>
            <w:pStyle w:val="TOC2"/>
            <w:tabs>
              <w:tab w:val="left" w:pos="880"/>
              <w:tab w:val="right" w:leader="dot" w:pos="9016"/>
            </w:tabs>
            <w:rPr>
              <w:rFonts w:eastAsiaTheme="minorEastAsia"/>
              <w:noProof/>
              <w:lang w:eastAsia="en-GB"/>
            </w:rPr>
          </w:pPr>
          <w:hyperlink w:anchor="_Toc276037875" w:history="1">
            <w:r w:rsidR="006D769D" w:rsidRPr="00C4578D">
              <w:rPr>
                <w:rStyle w:val="Hyperlink"/>
                <w:rFonts w:ascii="Arial" w:hAnsi="Arial" w:cs="Arial"/>
                <w:noProof/>
              </w:rPr>
              <w:t>13.3</w:t>
            </w:r>
            <w:r w:rsidR="006D769D">
              <w:rPr>
                <w:rFonts w:eastAsiaTheme="minorEastAsia"/>
                <w:noProof/>
                <w:lang w:eastAsia="en-GB"/>
              </w:rPr>
              <w:tab/>
            </w:r>
            <w:r w:rsidR="006D769D" w:rsidRPr="00C4578D">
              <w:rPr>
                <w:rStyle w:val="Hyperlink"/>
                <w:rFonts w:ascii="Arial" w:hAnsi="Arial" w:cs="Arial"/>
                <w:noProof/>
              </w:rPr>
              <w:t>South West London Cancer Network</w:t>
            </w:r>
            <w:r w:rsidR="006D769D">
              <w:rPr>
                <w:noProof/>
                <w:webHidden/>
              </w:rPr>
              <w:tab/>
            </w:r>
            <w:r>
              <w:rPr>
                <w:noProof/>
                <w:webHidden/>
              </w:rPr>
              <w:fldChar w:fldCharType="begin"/>
            </w:r>
            <w:r w:rsidR="006D769D">
              <w:rPr>
                <w:noProof/>
                <w:webHidden/>
              </w:rPr>
              <w:instrText xml:space="preserve"> PAGEREF _Toc276037875 \h </w:instrText>
            </w:r>
            <w:r>
              <w:rPr>
                <w:noProof/>
                <w:webHidden/>
              </w:rPr>
            </w:r>
            <w:r>
              <w:rPr>
                <w:noProof/>
                <w:webHidden/>
              </w:rPr>
              <w:fldChar w:fldCharType="separate"/>
            </w:r>
            <w:r w:rsidR="004E6A50">
              <w:rPr>
                <w:noProof/>
                <w:webHidden/>
              </w:rPr>
              <w:t>48</w:t>
            </w:r>
            <w:r>
              <w:rPr>
                <w:noProof/>
                <w:webHidden/>
              </w:rPr>
              <w:fldChar w:fldCharType="end"/>
            </w:r>
          </w:hyperlink>
        </w:p>
        <w:p w:rsidR="006D769D" w:rsidRDefault="00AF55AD">
          <w:pPr>
            <w:pStyle w:val="TOC2"/>
            <w:tabs>
              <w:tab w:val="left" w:pos="880"/>
              <w:tab w:val="right" w:leader="dot" w:pos="9016"/>
            </w:tabs>
            <w:rPr>
              <w:rFonts w:eastAsiaTheme="minorEastAsia"/>
              <w:noProof/>
              <w:lang w:eastAsia="en-GB"/>
            </w:rPr>
          </w:pPr>
          <w:hyperlink w:anchor="_Toc276037876" w:history="1">
            <w:r w:rsidR="006D769D" w:rsidRPr="00C4578D">
              <w:rPr>
                <w:rStyle w:val="Hyperlink"/>
                <w:rFonts w:ascii="Arial" w:hAnsi="Arial" w:cs="Arial"/>
                <w:noProof/>
              </w:rPr>
              <w:t>13.4</w:t>
            </w:r>
            <w:r w:rsidR="006D769D">
              <w:rPr>
                <w:rFonts w:eastAsiaTheme="minorEastAsia"/>
                <w:noProof/>
                <w:lang w:eastAsia="en-GB"/>
              </w:rPr>
              <w:tab/>
            </w:r>
            <w:r w:rsidR="006D769D" w:rsidRPr="00C4578D">
              <w:rPr>
                <w:rStyle w:val="Hyperlink"/>
                <w:rFonts w:ascii="Arial" w:hAnsi="Arial" w:cs="Arial"/>
                <w:noProof/>
              </w:rPr>
              <w:t>Recommendations</w:t>
            </w:r>
            <w:r w:rsidR="006D769D">
              <w:rPr>
                <w:noProof/>
                <w:webHidden/>
              </w:rPr>
              <w:tab/>
            </w:r>
            <w:r>
              <w:rPr>
                <w:noProof/>
                <w:webHidden/>
              </w:rPr>
              <w:fldChar w:fldCharType="begin"/>
            </w:r>
            <w:r w:rsidR="006D769D">
              <w:rPr>
                <w:noProof/>
                <w:webHidden/>
              </w:rPr>
              <w:instrText xml:space="preserve"> PAGEREF _Toc276037876 \h </w:instrText>
            </w:r>
            <w:r>
              <w:rPr>
                <w:noProof/>
                <w:webHidden/>
              </w:rPr>
            </w:r>
            <w:r>
              <w:rPr>
                <w:noProof/>
                <w:webHidden/>
              </w:rPr>
              <w:fldChar w:fldCharType="separate"/>
            </w:r>
            <w:r w:rsidR="004E6A50">
              <w:rPr>
                <w:noProof/>
                <w:webHidden/>
              </w:rPr>
              <w:t>48</w:t>
            </w:r>
            <w:r>
              <w:rPr>
                <w:noProof/>
                <w:webHidden/>
              </w:rPr>
              <w:fldChar w:fldCharType="end"/>
            </w:r>
          </w:hyperlink>
        </w:p>
        <w:p w:rsidR="006D769D" w:rsidRDefault="00AF55AD">
          <w:pPr>
            <w:pStyle w:val="TOC1"/>
            <w:tabs>
              <w:tab w:val="right" w:leader="dot" w:pos="9016"/>
            </w:tabs>
            <w:rPr>
              <w:rFonts w:eastAsiaTheme="minorEastAsia"/>
              <w:noProof/>
              <w:lang w:eastAsia="en-GB"/>
            </w:rPr>
          </w:pPr>
          <w:hyperlink w:anchor="_Toc276037877" w:history="1">
            <w:r w:rsidR="006D769D" w:rsidRPr="00C4578D">
              <w:rPr>
                <w:rStyle w:val="Hyperlink"/>
                <w:rFonts w:ascii="Arial" w:hAnsi="Arial" w:cs="Arial"/>
                <w:noProof/>
              </w:rPr>
              <w:t>References</w:t>
            </w:r>
            <w:r w:rsidR="006D769D">
              <w:rPr>
                <w:noProof/>
                <w:webHidden/>
              </w:rPr>
              <w:tab/>
            </w:r>
            <w:r>
              <w:rPr>
                <w:noProof/>
                <w:webHidden/>
              </w:rPr>
              <w:fldChar w:fldCharType="begin"/>
            </w:r>
            <w:r w:rsidR="006D769D">
              <w:rPr>
                <w:noProof/>
                <w:webHidden/>
              </w:rPr>
              <w:instrText xml:space="preserve"> PAGEREF _Toc276037877 \h </w:instrText>
            </w:r>
            <w:r>
              <w:rPr>
                <w:noProof/>
                <w:webHidden/>
              </w:rPr>
            </w:r>
            <w:r>
              <w:rPr>
                <w:noProof/>
                <w:webHidden/>
              </w:rPr>
              <w:fldChar w:fldCharType="separate"/>
            </w:r>
            <w:r w:rsidR="004E6A50">
              <w:rPr>
                <w:noProof/>
                <w:webHidden/>
              </w:rPr>
              <w:t>50</w:t>
            </w:r>
            <w:r>
              <w:rPr>
                <w:noProof/>
                <w:webHidden/>
              </w:rPr>
              <w:fldChar w:fldCharType="end"/>
            </w:r>
          </w:hyperlink>
        </w:p>
        <w:p w:rsidR="006D769D" w:rsidRDefault="00AF55AD">
          <w:pPr>
            <w:pStyle w:val="TOC1"/>
            <w:tabs>
              <w:tab w:val="right" w:leader="dot" w:pos="9016"/>
            </w:tabs>
            <w:rPr>
              <w:rFonts w:eastAsiaTheme="minorEastAsia"/>
              <w:noProof/>
              <w:lang w:eastAsia="en-GB"/>
            </w:rPr>
          </w:pPr>
          <w:hyperlink w:anchor="_Toc276037878" w:history="1">
            <w:r w:rsidR="006D769D" w:rsidRPr="00C4578D">
              <w:rPr>
                <w:rStyle w:val="Hyperlink"/>
                <w:rFonts w:ascii="Arial" w:hAnsi="Arial" w:cs="Arial"/>
                <w:noProof/>
              </w:rPr>
              <w:t>Appendix 1: South West London GLA Projected population by ethnicity, 2010.</w:t>
            </w:r>
            <w:r w:rsidR="006D769D">
              <w:rPr>
                <w:noProof/>
                <w:webHidden/>
              </w:rPr>
              <w:tab/>
            </w:r>
            <w:r>
              <w:rPr>
                <w:noProof/>
                <w:webHidden/>
              </w:rPr>
              <w:fldChar w:fldCharType="begin"/>
            </w:r>
            <w:r w:rsidR="006D769D">
              <w:rPr>
                <w:noProof/>
                <w:webHidden/>
              </w:rPr>
              <w:instrText xml:space="preserve"> PAGEREF _Toc276037878 \h </w:instrText>
            </w:r>
            <w:r>
              <w:rPr>
                <w:noProof/>
                <w:webHidden/>
              </w:rPr>
            </w:r>
            <w:r>
              <w:rPr>
                <w:noProof/>
                <w:webHidden/>
              </w:rPr>
              <w:fldChar w:fldCharType="separate"/>
            </w:r>
            <w:r w:rsidR="004E6A50">
              <w:rPr>
                <w:noProof/>
                <w:webHidden/>
              </w:rPr>
              <w:t>53</w:t>
            </w:r>
            <w:r>
              <w:rPr>
                <w:noProof/>
                <w:webHidden/>
              </w:rPr>
              <w:fldChar w:fldCharType="end"/>
            </w:r>
          </w:hyperlink>
        </w:p>
        <w:p w:rsidR="00FC6A39" w:rsidRDefault="00AF55AD" w:rsidP="00663043">
          <w:pPr>
            <w:pStyle w:val="TOC1"/>
            <w:tabs>
              <w:tab w:val="right" w:leader="dot" w:pos="9016"/>
            </w:tabs>
          </w:pPr>
          <w:r>
            <w:fldChar w:fldCharType="end"/>
          </w:r>
        </w:p>
      </w:sdtContent>
    </w:sdt>
    <w:p w:rsidR="005760F1" w:rsidRDefault="005760F1" w:rsidP="00107F18">
      <w:pPr>
        <w:pStyle w:val="Heading1"/>
        <w:spacing w:before="0" w:after="240"/>
        <w:rPr>
          <w:rFonts w:ascii="Arial" w:hAnsi="Arial" w:cs="Arial"/>
          <w:color w:val="auto"/>
        </w:rPr>
      </w:pPr>
      <w:bookmarkStart w:id="0" w:name="_Toc272418218"/>
      <w:bookmarkStart w:id="1" w:name="_Toc276037822"/>
    </w:p>
    <w:p w:rsidR="00107F18" w:rsidRPr="007536CC" w:rsidRDefault="00EE4A7D" w:rsidP="00107F18">
      <w:pPr>
        <w:pStyle w:val="Heading1"/>
        <w:spacing w:before="0" w:after="240"/>
        <w:rPr>
          <w:rFonts w:ascii="Arial" w:hAnsi="Arial" w:cs="Arial"/>
          <w:color w:val="auto"/>
        </w:rPr>
      </w:pPr>
      <w:r>
        <w:rPr>
          <w:rFonts w:ascii="Arial" w:hAnsi="Arial" w:cs="Arial"/>
          <w:color w:val="auto"/>
        </w:rPr>
        <w:t>A</w:t>
      </w:r>
      <w:r w:rsidR="00107F18">
        <w:rPr>
          <w:rFonts w:ascii="Arial" w:hAnsi="Arial" w:cs="Arial"/>
          <w:color w:val="auto"/>
        </w:rPr>
        <w:t>cknowledgements</w:t>
      </w:r>
      <w:bookmarkEnd w:id="0"/>
      <w:bookmarkEnd w:id="1"/>
    </w:p>
    <w:p w:rsidR="00107F18" w:rsidRDefault="004E6A50" w:rsidP="00107F18">
      <w:pPr>
        <w:rPr>
          <w:rFonts w:ascii="Arial" w:hAnsi="Arial" w:cs="Arial"/>
          <w:sz w:val="20"/>
        </w:rPr>
      </w:pPr>
      <w:r>
        <w:rPr>
          <w:rFonts w:ascii="Arial" w:hAnsi="Arial" w:cs="Arial"/>
          <w:sz w:val="20"/>
        </w:rPr>
        <w:t xml:space="preserve">NHS Wandsworth and </w:t>
      </w:r>
      <w:r w:rsidR="00107F18" w:rsidRPr="00E66CA9">
        <w:rPr>
          <w:rFonts w:ascii="Arial" w:hAnsi="Arial" w:cs="Arial"/>
          <w:sz w:val="20"/>
        </w:rPr>
        <w:t xml:space="preserve">The South West London Cancer Network acknowledges the contribution </w:t>
      </w:r>
      <w:r w:rsidR="00B677CE">
        <w:rPr>
          <w:rFonts w:ascii="Arial" w:hAnsi="Arial" w:cs="Arial"/>
          <w:sz w:val="20"/>
        </w:rPr>
        <w:t xml:space="preserve">of </w:t>
      </w:r>
      <w:r w:rsidR="00107F18" w:rsidRPr="00E66CA9">
        <w:rPr>
          <w:rFonts w:ascii="Arial" w:hAnsi="Arial" w:cs="Arial"/>
          <w:sz w:val="20"/>
        </w:rPr>
        <w:t xml:space="preserve">the following people and organisations in the provision of information for this document: Martin </w:t>
      </w:r>
      <w:proofErr w:type="spellStart"/>
      <w:r w:rsidR="00107F18" w:rsidRPr="00E66CA9">
        <w:rPr>
          <w:rFonts w:ascii="Arial" w:hAnsi="Arial" w:cs="Arial"/>
          <w:sz w:val="20"/>
        </w:rPr>
        <w:t>Brealey</w:t>
      </w:r>
      <w:proofErr w:type="spellEnd"/>
      <w:r w:rsidR="00107F18" w:rsidRPr="00E66CA9">
        <w:rPr>
          <w:rFonts w:ascii="Arial" w:hAnsi="Arial" w:cs="Arial"/>
          <w:sz w:val="20"/>
        </w:rPr>
        <w:t>, SWL Breast Screening Unit</w:t>
      </w:r>
      <w:r w:rsidR="00107F18">
        <w:rPr>
          <w:rFonts w:ascii="Arial" w:hAnsi="Arial" w:cs="Arial"/>
          <w:sz w:val="20"/>
        </w:rPr>
        <w:t>;</w:t>
      </w:r>
      <w:r w:rsidR="00107F18">
        <w:rPr>
          <w:rFonts w:ascii="Arial" w:eastAsia="Times New Roman" w:hAnsi="Arial" w:cs="Arial"/>
          <w:sz w:val="20"/>
          <w:szCs w:val="20"/>
        </w:rPr>
        <w:t xml:space="preserve"> Helena Cooper, </w:t>
      </w:r>
      <w:r w:rsidR="00107F18" w:rsidRPr="00E66CA9">
        <w:rPr>
          <w:rFonts w:ascii="Arial" w:hAnsi="Arial" w:cs="Arial"/>
          <w:bCs/>
          <w:color w:val="000000" w:themeColor="text1"/>
          <w:sz w:val="20"/>
        </w:rPr>
        <w:t xml:space="preserve">Primary Care Support Service; </w:t>
      </w:r>
      <w:r w:rsidR="00107F18">
        <w:rPr>
          <w:rFonts w:ascii="Arial" w:hAnsi="Arial" w:cs="Arial"/>
          <w:bCs/>
          <w:color w:val="000000" w:themeColor="text1"/>
          <w:sz w:val="20"/>
        </w:rPr>
        <w:t xml:space="preserve">Karen Grey, Public Health NHS Wandsworth; Dee </w:t>
      </w:r>
      <w:proofErr w:type="spellStart"/>
      <w:r w:rsidR="00107F18">
        <w:rPr>
          <w:rFonts w:ascii="Arial" w:hAnsi="Arial" w:cs="Arial"/>
          <w:bCs/>
          <w:color w:val="000000" w:themeColor="text1"/>
          <w:sz w:val="20"/>
        </w:rPr>
        <w:t>Lychnos</w:t>
      </w:r>
      <w:proofErr w:type="spellEnd"/>
      <w:r w:rsidR="00107F18">
        <w:rPr>
          <w:rFonts w:ascii="Arial" w:hAnsi="Arial" w:cs="Arial"/>
          <w:bCs/>
          <w:color w:val="000000" w:themeColor="text1"/>
          <w:sz w:val="20"/>
        </w:rPr>
        <w:t xml:space="preserve">, Public Health NHS Wandsworth; </w:t>
      </w:r>
      <w:r w:rsidR="00107F18">
        <w:rPr>
          <w:rFonts w:ascii="Arial" w:hAnsi="Arial" w:cs="Arial"/>
          <w:sz w:val="20"/>
        </w:rPr>
        <w:t xml:space="preserve">Assad Pasha, Public Health NHS Wandsworth; and the </w:t>
      </w:r>
      <w:r w:rsidR="00107F18" w:rsidRPr="00E66CA9">
        <w:rPr>
          <w:rFonts w:ascii="Arial" w:hAnsi="Arial" w:cs="Arial"/>
          <w:sz w:val="20"/>
        </w:rPr>
        <w:t>Thames Cancer Registry</w:t>
      </w:r>
      <w:r w:rsidR="00107F18">
        <w:rPr>
          <w:rFonts w:ascii="Arial" w:hAnsi="Arial" w:cs="Arial"/>
          <w:sz w:val="20"/>
        </w:rPr>
        <w:t>.</w:t>
      </w:r>
    </w:p>
    <w:p w:rsidR="003C7D76" w:rsidRDefault="003C7D76" w:rsidP="003C7D76">
      <w:pPr>
        <w:pStyle w:val="Heading1"/>
        <w:spacing w:after="240"/>
        <w:rPr>
          <w:rFonts w:ascii="Arial" w:hAnsi="Arial" w:cs="Arial"/>
          <w:color w:val="auto"/>
        </w:rPr>
      </w:pPr>
      <w:bookmarkStart w:id="2" w:name="_Toc271547976"/>
      <w:bookmarkStart w:id="3" w:name="_Toc276037823"/>
      <w:r>
        <w:rPr>
          <w:rFonts w:ascii="Arial" w:hAnsi="Arial" w:cs="Arial"/>
          <w:color w:val="auto"/>
        </w:rPr>
        <w:t>Executive Summary</w:t>
      </w:r>
      <w:bookmarkEnd w:id="2"/>
      <w:bookmarkEnd w:id="3"/>
    </w:p>
    <w:p w:rsidR="003C7D76" w:rsidRDefault="00F90641" w:rsidP="00F90641">
      <w:pPr>
        <w:rPr>
          <w:rFonts w:ascii="Arial" w:hAnsi="Arial" w:cs="Arial"/>
          <w:sz w:val="20"/>
          <w:szCs w:val="24"/>
        </w:rPr>
      </w:pPr>
      <w:r w:rsidRPr="00FD5115">
        <w:rPr>
          <w:rFonts w:ascii="Arial" w:eastAsia="Calibri" w:hAnsi="Arial" w:cs="Arial"/>
          <w:sz w:val="20"/>
        </w:rPr>
        <w:t>Late diagnosis is a major factor contributing to poor survival rates in this country, and while survival rates in South West London are good in comparison to other networks in England, when benchmarked against counterparts in Europe it is clear that there is much more to be done.</w:t>
      </w:r>
      <w:r>
        <w:rPr>
          <w:rFonts w:ascii="Arial" w:eastAsia="Calibri" w:hAnsi="Arial" w:cs="Arial"/>
          <w:sz w:val="20"/>
        </w:rPr>
        <w:t xml:space="preserve"> </w:t>
      </w:r>
      <w:r w:rsidRPr="00FD5115">
        <w:rPr>
          <w:rFonts w:ascii="Arial" w:eastAsia="Calibri" w:hAnsi="Arial" w:cs="Arial"/>
          <w:sz w:val="20"/>
          <w:szCs w:val="24"/>
        </w:rPr>
        <w:t xml:space="preserve">Last year the </w:t>
      </w:r>
      <w:r>
        <w:rPr>
          <w:rFonts w:ascii="Arial" w:eastAsia="Calibri" w:hAnsi="Arial" w:cs="Arial"/>
          <w:sz w:val="20"/>
          <w:szCs w:val="24"/>
        </w:rPr>
        <w:t xml:space="preserve">SWL cancer </w:t>
      </w:r>
      <w:r w:rsidRPr="00FD5115">
        <w:rPr>
          <w:rFonts w:ascii="Arial" w:eastAsia="Calibri" w:hAnsi="Arial" w:cs="Arial"/>
          <w:sz w:val="20"/>
          <w:szCs w:val="24"/>
        </w:rPr>
        <w:t xml:space="preserve">network successfully bid for funding </w:t>
      </w:r>
      <w:r>
        <w:rPr>
          <w:rFonts w:ascii="Arial" w:eastAsia="Calibri" w:hAnsi="Arial" w:cs="Arial"/>
          <w:sz w:val="20"/>
          <w:szCs w:val="24"/>
        </w:rPr>
        <w:t xml:space="preserve">for </w:t>
      </w:r>
      <w:r w:rsidRPr="00FD5115">
        <w:rPr>
          <w:rFonts w:ascii="Arial" w:eastAsia="Calibri" w:hAnsi="Arial" w:cs="Arial"/>
          <w:sz w:val="20"/>
          <w:szCs w:val="24"/>
        </w:rPr>
        <w:t xml:space="preserve">a range of initiatives to support local preventative work within </w:t>
      </w:r>
      <w:r>
        <w:rPr>
          <w:rFonts w:ascii="Arial" w:eastAsia="Calibri" w:hAnsi="Arial" w:cs="Arial"/>
          <w:sz w:val="20"/>
          <w:szCs w:val="24"/>
        </w:rPr>
        <w:t xml:space="preserve">the </w:t>
      </w:r>
      <w:r w:rsidRPr="00FD5115">
        <w:rPr>
          <w:rFonts w:ascii="Arial" w:eastAsia="Calibri" w:hAnsi="Arial" w:cs="Arial"/>
          <w:sz w:val="20"/>
        </w:rPr>
        <w:t xml:space="preserve">National Awareness and Earlier Diagnosis Initiative </w:t>
      </w:r>
      <w:r>
        <w:rPr>
          <w:rFonts w:ascii="Arial" w:eastAsia="Calibri" w:hAnsi="Arial" w:cs="Arial"/>
          <w:sz w:val="20"/>
        </w:rPr>
        <w:t>(</w:t>
      </w:r>
      <w:r w:rsidRPr="00FD5115">
        <w:rPr>
          <w:rFonts w:ascii="Arial" w:hAnsi="Arial" w:cs="Arial"/>
          <w:sz w:val="20"/>
          <w:szCs w:val="24"/>
        </w:rPr>
        <w:t>NAEDI</w:t>
      </w:r>
      <w:r>
        <w:rPr>
          <w:rFonts w:ascii="Arial" w:hAnsi="Arial" w:cs="Arial"/>
          <w:sz w:val="20"/>
          <w:szCs w:val="24"/>
        </w:rPr>
        <w:t>)</w:t>
      </w:r>
      <w:r w:rsidRPr="00FD5115">
        <w:rPr>
          <w:rFonts w:ascii="Arial" w:eastAsia="Calibri" w:hAnsi="Arial" w:cs="Arial"/>
          <w:sz w:val="20"/>
          <w:szCs w:val="24"/>
        </w:rPr>
        <w:t xml:space="preserve"> to increase awareness and promote earlier diagnosis in</w:t>
      </w:r>
      <w:r>
        <w:rPr>
          <w:rFonts w:ascii="Arial" w:eastAsia="Calibri" w:hAnsi="Arial" w:cs="Arial"/>
          <w:sz w:val="20"/>
          <w:szCs w:val="24"/>
        </w:rPr>
        <w:t xml:space="preserve"> communities and primary care. </w:t>
      </w:r>
      <w:r w:rsidR="00504613">
        <w:rPr>
          <w:rFonts w:ascii="Arial" w:eastAsia="Calibri" w:hAnsi="Arial" w:cs="Arial"/>
          <w:sz w:val="20"/>
          <w:szCs w:val="24"/>
        </w:rPr>
        <w:t xml:space="preserve">One of these initiatives that </w:t>
      </w:r>
      <w:proofErr w:type="gramStart"/>
      <w:r w:rsidR="00504613">
        <w:rPr>
          <w:rFonts w:ascii="Arial" w:eastAsia="Calibri" w:hAnsi="Arial" w:cs="Arial"/>
          <w:sz w:val="20"/>
          <w:szCs w:val="24"/>
        </w:rPr>
        <w:t>was</w:t>
      </w:r>
      <w:proofErr w:type="gramEnd"/>
      <w:r w:rsidR="00504613">
        <w:rPr>
          <w:rFonts w:ascii="Arial" w:eastAsia="Calibri" w:hAnsi="Arial" w:cs="Arial"/>
          <w:sz w:val="20"/>
          <w:szCs w:val="24"/>
        </w:rPr>
        <w:t xml:space="preserve"> funded was the development of this Baseline Assessment.</w:t>
      </w:r>
      <w:r w:rsidR="00504613">
        <w:rPr>
          <w:rFonts w:ascii="Arial" w:hAnsi="Arial" w:cs="Arial"/>
          <w:sz w:val="20"/>
          <w:szCs w:val="24"/>
        </w:rPr>
        <w:t xml:space="preserve"> The key findings are set out below. On pages 6 and 7 two matrice</w:t>
      </w:r>
      <w:r w:rsidR="00504613" w:rsidRPr="00504613">
        <w:rPr>
          <w:rFonts w:ascii="Arial" w:hAnsi="Arial" w:cs="Arial"/>
          <w:sz w:val="20"/>
          <w:szCs w:val="20"/>
        </w:rPr>
        <w:t>s (</w:t>
      </w:r>
      <w:fldSimple w:instr=" REF _Ref275261629 \h  \* MERGEFORMAT ">
        <w:r w:rsidR="004E6A50" w:rsidRPr="004E6A50">
          <w:rPr>
            <w:rFonts w:ascii="Arial" w:hAnsi="Arial" w:cs="Arial"/>
            <w:sz w:val="20"/>
            <w:szCs w:val="20"/>
          </w:rPr>
          <w:t xml:space="preserve">Figure </w:t>
        </w:r>
        <w:r w:rsidR="004E6A50" w:rsidRPr="004E6A50">
          <w:rPr>
            <w:rFonts w:ascii="Arial" w:hAnsi="Arial" w:cs="Arial"/>
            <w:noProof/>
            <w:sz w:val="20"/>
            <w:szCs w:val="20"/>
          </w:rPr>
          <w:t>1</w:t>
        </w:r>
      </w:fldSimple>
      <w:r w:rsidR="00504613">
        <w:rPr>
          <w:rFonts w:ascii="Arial" w:hAnsi="Arial" w:cs="Arial"/>
          <w:sz w:val="20"/>
          <w:szCs w:val="20"/>
        </w:rPr>
        <w:t xml:space="preserve"> and </w:t>
      </w:r>
      <w:fldSimple w:instr=" REF _Ref275261631 \h  \* MERGEFORMAT ">
        <w:r w:rsidR="004E6A50" w:rsidRPr="004E6A50">
          <w:rPr>
            <w:rFonts w:ascii="Arial" w:hAnsi="Arial" w:cs="Arial"/>
            <w:sz w:val="20"/>
            <w:szCs w:val="20"/>
          </w:rPr>
          <w:t xml:space="preserve">Figure </w:t>
        </w:r>
        <w:r w:rsidR="004E6A50" w:rsidRPr="004E6A50">
          <w:rPr>
            <w:rFonts w:ascii="Arial" w:hAnsi="Arial" w:cs="Arial"/>
            <w:noProof/>
            <w:sz w:val="20"/>
            <w:szCs w:val="20"/>
          </w:rPr>
          <w:t>2</w:t>
        </w:r>
      </w:fldSimple>
      <w:r w:rsidR="00504613">
        <w:rPr>
          <w:rFonts w:ascii="Arial" w:hAnsi="Arial" w:cs="Arial"/>
          <w:sz w:val="20"/>
          <w:szCs w:val="24"/>
        </w:rPr>
        <w:t xml:space="preserve">) outline the </w:t>
      </w:r>
      <w:r w:rsidR="00504613" w:rsidRPr="00007393">
        <w:rPr>
          <w:rFonts w:ascii="Arial" w:hAnsi="Arial" w:cs="Arial"/>
          <w:sz w:val="20"/>
        </w:rPr>
        <w:t>figures of each PCT</w:t>
      </w:r>
      <w:r w:rsidR="00504613">
        <w:rPr>
          <w:rFonts w:ascii="Arial" w:hAnsi="Arial" w:cs="Arial"/>
          <w:sz w:val="20"/>
        </w:rPr>
        <w:t xml:space="preserve"> and the overall SWLCN figures.</w:t>
      </w:r>
    </w:p>
    <w:p w:rsidR="00F90641" w:rsidRPr="00BE77B3" w:rsidRDefault="00F90641" w:rsidP="00F90641">
      <w:pPr>
        <w:rPr>
          <w:rFonts w:ascii="Arial" w:hAnsi="Arial" w:cs="Arial"/>
          <w:b/>
          <w:sz w:val="20"/>
          <w:szCs w:val="20"/>
        </w:rPr>
      </w:pPr>
      <w:r w:rsidRPr="00BE77B3">
        <w:rPr>
          <w:rFonts w:ascii="Arial" w:hAnsi="Arial" w:cs="Arial"/>
          <w:b/>
          <w:sz w:val="20"/>
          <w:szCs w:val="20"/>
        </w:rPr>
        <w:t>Croydon</w:t>
      </w:r>
    </w:p>
    <w:p w:rsidR="00F90641" w:rsidRDefault="00F90641" w:rsidP="00F90641">
      <w:pPr>
        <w:rPr>
          <w:rFonts w:ascii="Arial" w:hAnsi="Arial" w:cs="Arial"/>
          <w:sz w:val="20"/>
          <w:szCs w:val="20"/>
        </w:rPr>
      </w:pPr>
      <w:r>
        <w:rPr>
          <w:rFonts w:ascii="Arial" w:hAnsi="Arial" w:cs="Arial"/>
          <w:sz w:val="20"/>
          <w:szCs w:val="20"/>
        </w:rPr>
        <w:t>After Sutton, Croydon has the highest projected proportion of people aged 65 and over. Croydon has the second lowest bowel screening uptake rate. Croydon has the highest male incidence of colorectal cancer in SWL. Contrastingly, female incidence is the lowest in SWL and is significantly lower than the national average. Croydon has the highest one-year survival rate while the male mortality rate is one of the highest in SWL and female mortality is one of the lowest in SWL. The reduction in mortality since 1993</w:t>
      </w:r>
      <w:r w:rsidR="00E875F9">
        <w:rPr>
          <w:rFonts w:ascii="Arial" w:hAnsi="Arial" w:cs="Arial"/>
          <w:sz w:val="20"/>
          <w:szCs w:val="20"/>
        </w:rPr>
        <w:t>-95</w:t>
      </w:r>
      <w:r>
        <w:rPr>
          <w:rFonts w:ascii="Arial" w:hAnsi="Arial" w:cs="Arial"/>
          <w:sz w:val="20"/>
          <w:szCs w:val="20"/>
        </w:rPr>
        <w:t xml:space="preserve"> has been nearly 20% for males and 27% for females. Following the overall trend in SWL Croydon has an emergency bed day rate that is ab</w:t>
      </w:r>
      <w:r w:rsidR="00C7761A">
        <w:rPr>
          <w:rFonts w:ascii="Arial" w:hAnsi="Arial" w:cs="Arial"/>
          <w:sz w:val="20"/>
          <w:szCs w:val="20"/>
        </w:rPr>
        <w:t>ove the national average by 10%.</w:t>
      </w:r>
      <w:r>
        <w:rPr>
          <w:rFonts w:ascii="Arial" w:hAnsi="Arial" w:cs="Arial"/>
          <w:sz w:val="20"/>
          <w:szCs w:val="20"/>
        </w:rPr>
        <w:t xml:space="preserve"> </w:t>
      </w:r>
      <w:r w:rsidR="00C7761A">
        <w:rPr>
          <w:rFonts w:ascii="Arial" w:hAnsi="Arial" w:cs="Arial"/>
          <w:sz w:val="20"/>
          <w:szCs w:val="20"/>
        </w:rPr>
        <w:t xml:space="preserve">There were 52.8% of diagnosed cases that were considered to be non-urgent, a rate above the national average. </w:t>
      </w:r>
      <w:r w:rsidR="00297D6A" w:rsidRPr="00846C1D">
        <w:rPr>
          <w:rFonts w:ascii="Arial" w:hAnsi="Arial" w:cs="Arial"/>
          <w:sz w:val="20"/>
        </w:rPr>
        <w:t xml:space="preserve">The average 2WW crude referral rate </w:t>
      </w:r>
      <w:r w:rsidR="00297D6A">
        <w:rPr>
          <w:rFonts w:ascii="Arial" w:hAnsi="Arial" w:cs="Arial"/>
          <w:sz w:val="20"/>
        </w:rPr>
        <w:t xml:space="preserve">for suspected lower GI cancer </w:t>
      </w:r>
      <w:r w:rsidR="00297D6A" w:rsidRPr="00846C1D">
        <w:rPr>
          <w:rFonts w:ascii="Arial" w:hAnsi="Arial" w:cs="Arial"/>
          <w:sz w:val="20"/>
        </w:rPr>
        <w:t xml:space="preserve">in Croydon for 2009 was </w:t>
      </w:r>
      <w:r w:rsidR="00297D6A">
        <w:rPr>
          <w:rFonts w:ascii="Arial" w:hAnsi="Arial" w:cs="Arial"/>
          <w:sz w:val="20"/>
        </w:rPr>
        <w:t xml:space="preserve">137.60 per 100,000 </w:t>
      </w:r>
      <w:proofErr w:type="gramStart"/>
      <w:r w:rsidR="00297D6A">
        <w:rPr>
          <w:rFonts w:ascii="Arial" w:hAnsi="Arial" w:cs="Arial"/>
          <w:sz w:val="20"/>
        </w:rPr>
        <w:t>population</w:t>
      </w:r>
      <w:proofErr w:type="gramEnd"/>
      <w:r w:rsidR="00297D6A">
        <w:rPr>
          <w:rFonts w:ascii="Arial" w:hAnsi="Arial" w:cs="Arial"/>
          <w:sz w:val="20"/>
        </w:rPr>
        <w:t>.</w:t>
      </w:r>
      <w:r w:rsidR="00297D6A">
        <w:rPr>
          <w:rFonts w:ascii="Arial" w:hAnsi="Arial" w:cs="Arial"/>
          <w:sz w:val="20"/>
          <w:szCs w:val="20"/>
        </w:rPr>
        <w:t xml:space="preserve"> </w:t>
      </w:r>
      <w:r>
        <w:rPr>
          <w:rFonts w:ascii="Arial" w:hAnsi="Arial" w:cs="Arial"/>
          <w:sz w:val="20"/>
          <w:szCs w:val="20"/>
        </w:rPr>
        <w:t>However 11.1% of urgent referrals result in a colorectal cancer diagnosis, a higher rate than the national average.</w:t>
      </w:r>
    </w:p>
    <w:p w:rsidR="00F90641" w:rsidRPr="00BE77B3" w:rsidRDefault="00F90641" w:rsidP="00F90641">
      <w:pPr>
        <w:rPr>
          <w:rFonts w:ascii="Arial" w:hAnsi="Arial" w:cs="Arial"/>
          <w:b/>
          <w:sz w:val="20"/>
          <w:szCs w:val="20"/>
        </w:rPr>
      </w:pPr>
      <w:r>
        <w:rPr>
          <w:rFonts w:ascii="Arial" w:hAnsi="Arial" w:cs="Arial"/>
          <w:b/>
          <w:sz w:val="20"/>
          <w:szCs w:val="20"/>
        </w:rPr>
        <w:t>Kingston</w:t>
      </w:r>
    </w:p>
    <w:p w:rsidR="00F90641" w:rsidRDefault="00F90641" w:rsidP="00F90641">
      <w:pPr>
        <w:rPr>
          <w:rFonts w:ascii="Arial" w:hAnsi="Arial" w:cs="Arial"/>
          <w:sz w:val="20"/>
          <w:szCs w:val="20"/>
        </w:rPr>
      </w:pPr>
      <w:r>
        <w:rPr>
          <w:rFonts w:ascii="Arial" w:hAnsi="Arial" w:cs="Arial"/>
          <w:sz w:val="20"/>
          <w:szCs w:val="20"/>
        </w:rPr>
        <w:t>The population aged 65 and over is at 12.0%, comparable to the other PCTs (except Wandsworth) in SWL. Also similar to the other PCTs in the sector</w:t>
      </w:r>
      <w:r w:rsidR="00817420">
        <w:rPr>
          <w:rFonts w:ascii="Arial" w:hAnsi="Arial" w:cs="Arial"/>
          <w:sz w:val="20"/>
          <w:szCs w:val="20"/>
        </w:rPr>
        <w:t>,</w:t>
      </w:r>
      <w:r>
        <w:rPr>
          <w:rFonts w:ascii="Arial" w:hAnsi="Arial" w:cs="Arial"/>
          <w:sz w:val="20"/>
          <w:szCs w:val="20"/>
        </w:rPr>
        <w:t xml:space="preserve"> Kingston’s bowel screening uptake rate is below the national average and well below the 60% target. Male incidence is the lowest in SWL, while female incidence is mid-ranged. The one-year survival rate is one of the highest in SWL at 73.8%, while the male and female mortality rate is the lowest in SWL. However since 1993</w:t>
      </w:r>
      <w:r w:rsidR="00E875F9">
        <w:rPr>
          <w:rFonts w:ascii="Arial" w:hAnsi="Arial" w:cs="Arial"/>
          <w:sz w:val="20"/>
          <w:szCs w:val="20"/>
        </w:rPr>
        <w:t>-95</w:t>
      </w:r>
      <w:r>
        <w:rPr>
          <w:rFonts w:ascii="Arial" w:hAnsi="Arial" w:cs="Arial"/>
          <w:sz w:val="20"/>
          <w:szCs w:val="20"/>
        </w:rPr>
        <w:t xml:space="preserve"> Kingston has achieved the lowest reduction in male (all ages) mortality at 13.8%, while female all age mortality has decreased by 32.0%, the highest reduction in SWL. Kingston also</w:t>
      </w:r>
      <w:r w:rsidR="00E875F9">
        <w:rPr>
          <w:rFonts w:ascii="Arial" w:hAnsi="Arial" w:cs="Arial"/>
          <w:sz w:val="20"/>
          <w:szCs w:val="20"/>
        </w:rPr>
        <w:t xml:space="preserve"> has</w:t>
      </w:r>
      <w:r>
        <w:rPr>
          <w:rFonts w:ascii="Arial" w:hAnsi="Arial" w:cs="Arial"/>
          <w:sz w:val="20"/>
          <w:szCs w:val="20"/>
        </w:rPr>
        <w:t xml:space="preserve"> the lowest emergency bed day rate at 383 per 100,000 but is still higher than the national average. </w:t>
      </w:r>
      <w:r w:rsidR="00422E87">
        <w:rPr>
          <w:rFonts w:ascii="Arial" w:hAnsi="Arial" w:cs="Arial"/>
          <w:sz w:val="20"/>
          <w:szCs w:val="20"/>
        </w:rPr>
        <w:t>Kingston had the lowest proportion of diagnosed cases through non-urgent referrals in SWL at 40.7%</w:t>
      </w:r>
      <w:r w:rsidR="00297D6A">
        <w:rPr>
          <w:rFonts w:ascii="Arial" w:hAnsi="Arial" w:cs="Arial"/>
          <w:sz w:val="20"/>
          <w:szCs w:val="20"/>
        </w:rPr>
        <w:t>.</w:t>
      </w:r>
      <w:r w:rsidR="00422E87">
        <w:rPr>
          <w:rFonts w:ascii="Arial" w:hAnsi="Arial" w:cs="Arial"/>
          <w:sz w:val="20"/>
          <w:szCs w:val="20"/>
        </w:rPr>
        <w:t xml:space="preserve"> </w:t>
      </w:r>
      <w:r w:rsidR="00297D6A">
        <w:rPr>
          <w:rFonts w:ascii="Arial" w:hAnsi="Arial" w:cs="Arial"/>
          <w:sz w:val="20"/>
        </w:rPr>
        <w:t xml:space="preserve">The PCT average urgent 2WW suspected lower GI referral rate is 206.90 per 100,000 </w:t>
      </w:r>
      <w:proofErr w:type="gramStart"/>
      <w:r w:rsidR="00297D6A">
        <w:rPr>
          <w:rFonts w:ascii="Arial" w:hAnsi="Arial" w:cs="Arial"/>
          <w:sz w:val="20"/>
        </w:rPr>
        <w:t>population</w:t>
      </w:r>
      <w:proofErr w:type="gramEnd"/>
      <w:r w:rsidR="00297D6A">
        <w:rPr>
          <w:rFonts w:ascii="Arial" w:hAnsi="Arial" w:cs="Arial"/>
          <w:sz w:val="20"/>
        </w:rPr>
        <w:t xml:space="preserve">. </w:t>
      </w:r>
      <w:r w:rsidR="00422E87">
        <w:rPr>
          <w:rFonts w:ascii="Arial" w:hAnsi="Arial" w:cs="Arial"/>
          <w:sz w:val="20"/>
          <w:szCs w:val="20"/>
        </w:rPr>
        <w:t>Nearly 10% of urgent referrals result in a cancer diagnosis, a proportion above the national average.</w:t>
      </w:r>
    </w:p>
    <w:p w:rsidR="00F90641" w:rsidRDefault="00F90641" w:rsidP="00F90641">
      <w:pPr>
        <w:rPr>
          <w:rFonts w:ascii="Arial" w:hAnsi="Arial" w:cs="Arial"/>
          <w:b/>
          <w:sz w:val="20"/>
          <w:szCs w:val="20"/>
        </w:rPr>
      </w:pPr>
      <w:r>
        <w:rPr>
          <w:rFonts w:ascii="Arial" w:hAnsi="Arial" w:cs="Arial"/>
          <w:b/>
          <w:sz w:val="20"/>
          <w:szCs w:val="20"/>
        </w:rPr>
        <w:t>Richmond &amp; Twickenham</w:t>
      </w:r>
    </w:p>
    <w:p w:rsidR="00F90641" w:rsidRDefault="00F90641" w:rsidP="00F90641">
      <w:pPr>
        <w:rPr>
          <w:rFonts w:ascii="Arial" w:hAnsi="Arial" w:cs="Arial"/>
          <w:sz w:val="20"/>
          <w:szCs w:val="20"/>
        </w:rPr>
      </w:pPr>
      <w:r>
        <w:rPr>
          <w:rFonts w:ascii="Arial" w:hAnsi="Arial" w:cs="Arial"/>
          <w:sz w:val="20"/>
          <w:szCs w:val="20"/>
        </w:rPr>
        <w:t xml:space="preserve">Besides Wandsworth (which has a relatively young population) Richmond &amp; Twickenham is projected to experience the least increase in the 65 and over population. Richmond &amp; Twickenham record the highest bowel screening uptake in SWL but is still below the national average and target uptake. Male and female </w:t>
      </w:r>
      <w:r w:rsidR="00817420">
        <w:rPr>
          <w:rFonts w:ascii="Arial" w:hAnsi="Arial" w:cs="Arial"/>
          <w:sz w:val="20"/>
          <w:szCs w:val="20"/>
        </w:rPr>
        <w:t>incidences are</w:t>
      </w:r>
      <w:r>
        <w:rPr>
          <w:rFonts w:ascii="Arial" w:hAnsi="Arial" w:cs="Arial"/>
          <w:sz w:val="20"/>
          <w:szCs w:val="20"/>
        </w:rPr>
        <w:t xml:space="preserve"> the highest in SWL. One-year survival is at 73.3%, mid-ranked in S</w:t>
      </w:r>
      <w:r w:rsidR="00817420">
        <w:rPr>
          <w:rFonts w:ascii="Arial" w:hAnsi="Arial" w:cs="Arial"/>
          <w:sz w:val="20"/>
          <w:szCs w:val="20"/>
        </w:rPr>
        <w:t>WL as is m</w:t>
      </w:r>
      <w:r>
        <w:rPr>
          <w:rFonts w:ascii="Arial" w:hAnsi="Arial" w:cs="Arial"/>
          <w:sz w:val="20"/>
          <w:szCs w:val="20"/>
        </w:rPr>
        <w:t xml:space="preserve">ale and female mortality. </w:t>
      </w:r>
      <w:r w:rsidR="00E875F9">
        <w:rPr>
          <w:rFonts w:ascii="Arial" w:hAnsi="Arial" w:cs="Arial"/>
          <w:sz w:val="20"/>
          <w:szCs w:val="20"/>
        </w:rPr>
        <w:t xml:space="preserve">The male mortality rate has decreased by 29.4% between 1993-95 and 2006-08 while female mortality has decreased by 19.5% for the same period. </w:t>
      </w:r>
      <w:r>
        <w:rPr>
          <w:rFonts w:ascii="Arial" w:hAnsi="Arial" w:cs="Arial"/>
          <w:sz w:val="20"/>
          <w:szCs w:val="20"/>
        </w:rPr>
        <w:t>Analogous to the other PCTs in SWL</w:t>
      </w:r>
      <w:r w:rsidR="002334E1">
        <w:rPr>
          <w:rFonts w:ascii="Arial" w:hAnsi="Arial" w:cs="Arial"/>
          <w:sz w:val="20"/>
          <w:szCs w:val="20"/>
        </w:rPr>
        <w:t>,</w:t>
      </w:r>
      <w:r>
        <w:rPr>
          <w:rFonts w:ascii="Arial" w:hAnsi="Arial" w:cs="Arial"/>
          <w:sz w:val="20"/>
          <w:szCs w:val="20"/>
        </w:rPr>
        <w:t xml:space="preserve"> Richmond &amp; Twickenham record</w:t>
      </w:r>
      <w:r w:rsidR="00817420">
        <w:rPr>
          <w:rFonts w:ascii="Arial" w:hAnsi="Arial" w:cs="Arial"/>
          <w:sz w:val="20"/>
          <w:szCs w:val="20"/>
        </w:rPr>
        <w:t>s</w:t>
      </w:r>
      <w:r>
        <w:rPr>
          <w:rFonts w:ascii="Arial" w:hAnsi="Arial" w:cs="Arial"/>
          <w:sz w:val="20"/>
          <w:szCs w:val="20"/>
        </w:rPr>
        <w:t xml:space="preserve"> an emergency bed day rate that is higher than the national average</w:t>
      </w:r>
      <w:r w:rsidR="00817420">
        <w:rPr>
          <w:rFonts w:ascii="Arial" w:hAnsi="Arial" w:cs="Arial"/>
          <w:sz w:val="20"/>
          <w:szCs w:val="20"/>
        </w:rPr>
        <w:t xml:space="preserve"> at 393 per 100,000</w:t>
      </w:r>
      <w:r>
        <w:rPr>
          <w:rFonts w:ascii="Arial" w:hAnsi="Arial" w:cs="Arial"/>
          <w:sz w:val="20"/>
          <w:szCs w:val="20"/>
        </w:rPr>
        <w:t xml:space="preserve">. </w:t>
      </w:r>
      <w:r w:rsidR="00C7761A">
        <w:rPr>
          <w:rFonts w:ascii="Arial" w:hAnsi="Arial" w:cs="Arial"/>
          <w:sz w:val="20"/>
          <w:szCs w:val="20"/>
        </w:rPr>
        <w:t xml:space="preserve">Fifty-seven percent of diagnosed cases were non-urgent referrals. </w:t>
      </w:r>
      <w:r w:rsidR="00297D6A">
        <w:rPr>
          <w:rFonts w:ascii="Arial" w:hAnsi="Arial" w:cs="Arial"/>
          <w:sz w:val="20"/>
        </w:rPr>
        <w:t xml:space="preserve">The average urgent 2WW crude referral rate in Richmond &amp; Twickenham for suspected lower GI cancer for 2009 was 205.55 per 100,000 </w:t>
      </w:r>
      <w:proofErr w:type="gramStart"/>
      <w:r w:rsidR="00297D6A">
        <w:rPr>
          <w:rFonts w:ascii="Arial" w:hAnsi="Arial" w:cs="Arial"/>
          <w:sz w:val="20"/>
        </w:rPr>
        <w:t>population</w:t>
      </w:r>
      <w:proofErr w:type="gramEnd"/>
      <w:r w:rsidR="00297D6A">
        <w:rPr>
          <w:rFonts w:ascii="Arial" w:hAnsi="Arial" w:cs="Arial"/>
          <w:sz w:val="20"/>
        </w:rPr>
        <w:t xml:space="preserve">. </w:t>
      </w:r>
      <w:r w:rsidR="00C7761A">
        <w:rPr>
          <w:rFonts w:ascii="Arial" w:hAnsi="Arial" w:cs="Arial"/>
          <w:sz w:val="20"/>
          <w:szCs w:val="20"/>
        </w:rPr>
        <w:t>On</w:t>
      </w:r>
      <w:r>
        <w:rPr>
          <w:rFonts w:ascii="Arial" w:hAnsi="Arial" w:cs="Arial"/>
          <w:sz w:val="20"/>
          <w:szCs w:val="20"/>
        </w:rPr>
        <w:t>ly 7.6% of</w:t>
      </w:r>
      <w:r w:rsidR="00C7761A">
        <w:rPr>
          <w:rFonts w:ascii="Arial" w:hAnsi="Arial" w:cs="Arial"/>
          <w:sz w:val="20"/>
          <w:szCs w:val="20"/>
        </w:rPr>
        <w:t xml:space="preserve"> urgent</w:t>
      </w:r>
      <w:r>
        <w:rPr>
          <w:rFonts w:ascii="Arial" w:hAnsi="Arial" w:cs="Arial"/>
          <w:sz w:val="20"/>
          <w:szCs w:val="20"/>
        </w:rPr>
        <w:t xml:space="preserve"> referrals result in a cancer diagnosis below the </w:t>
      </w:r>
      <w:r w:rsidR="002334E1">
        <w:rPr>
          <w:rFonts w:ascii="Arial" w:hAnsi="Arial" w:cs="Arial"/>
          <w:sz w:val="20"/>
          <w:szCs w:val="20"/>
        </w:rPr>
        <w:t xml:space="preserve">national </w:t>
      </w:r>
      <w:r>
        <w:rPr>
          <w:rFonts w:ascii="Arial" w:hAnsi="Arial" w:cs="Arial"/>
          <w:sz w:val="20"/>
          <w:szCs w:val="20"/>
        </w:rPr>
        <w:t xml:space="preserve">average of 8.8%. </w:t>
      </w:r>
    </w:p>
    <w:p w:rsidR="00F90641" w:rsidRDefault="00F90641" w:rsidP="00F90641">
      <w:pPr>
        <w:rPr>
          <w:rFonts w:ascii="Arial" w:hAnsi="Arial" w:cs="Arial"/>
          <w:b/>
          <w:sz w:val="20"/>
          <w:szCs w:val="20"/>
        </w:rPr>
      </w:pPr>
      <w:r>
        <w:rPr>
          <w:rFonts w:ascii="Arial" w:hAnsi="Arial" w:cs="Arial"/>
          <w:b/>
          <w:sz w:val="20"/>
          <w:szCs w:val="20"/>
        </w:rPr>
        <w:t>Sutton &amp; Merton</w:t>
      </w:r>
    </w:p>
    <w:p w:rsidR="00F90641" w:rsidRDefault="00F90641" w:rsidP="00F90641">
      <w:pPr>
        <w:rPr>
          <w:rFonts w:ascii="Arial" w:hAnsi="Arial" w:cs="Arial"/>
          <w:sz w:val="20"/>
          <w:szCs w:val="20"/>
        </w:rPr>
      </w:pPr>
      <w:r>
        <w:rPr>
          <w:rFonts w:ascii="Arial" w:hAnsi="Arial" w:cs="Arial"/>
          <w:sz w:val="20"/>
          <w:szCs w:val="20"/>
        </w:rPr>
        <w:t xml:space="preserve">The 65 and over population is comparable to the other PCTs (except Wandsworth) at around 13% of the total population. As with all PCTs in SWL the uptake of bowel screening is below the national average as well as the target of 60%. </w:t>
      </w:r>
      <w:r w:rsidR="00115413">
        <w:rPr>
          <w:rFonts w:ascii="Arial" w:hAnsi="Arial" w:cs="Arial"/>
          <w:sz w:val="20"/>
          <w:szCs w:val="20"/>
        </w:rPr>
        <w:t xml:space="preserve">Male and female incidence is comparable with the other PCTs. </w:t>
      </w:r>
      <w:r>
        <w:rPr>
          <w:rFonts w:ascii="Arial" w:hAnsi="Arial" w:cs="Arial"/>
          <w:sz w:val="20"/>
          <w:szCs w:val="20"/>
        </w:rPr>
        <w:t xml:space="preserve">Sutton &amp; Merton has the lowest one-year survival rate in SWL at 71.4%. Both male and female mortality rates are comparable to the other PCTs and the national average. </w:t>
      </w:r>
      <w:r w:rsidR="00F9242B">
        <w:rPr>
          <w:rFonts w:ascii="Arial" w:hAnsi="Arial" w:cs="Arial"/>
          <w:sz w:val="20"/>
          <w:szCs w:val="20"/>
        </w:rPr>
        <w:t xml:space="preserve">Male mortality from colorectal cancer has decreased by 26.6%, and by 14.3% for female mortality since 1993-95. </w:t>
      </w:r>
      <w:r>
        <w:rPr>
          <w:rFonts w:ascii="Arial" w:hAnsi="Arial" w:cs="Arial"/>
          <w:sz w:val="20"/>
          <w:szCs w:val="20"/>
        </w:rPr>
        <w:t xml:space="preserve">Sutton &amp; Merton record the highest rate for emergency bed days for colorectal cancer at 448 per 100,000. </w:t>
      </w:r>
      <w:r w:rsidR="00D73BFA">
        <w:rPr>
          <w:rFonts w:ascii="Arial" w:hAnsi="Arial" w:cs="Arial"/>
          <w:sz w:val="20"/>
          <w:szCs w:val="20"/>
        </w:rPr>
        <w:t>Fifty-seven percent of diagnosed cases were non-urgent referrals</w:t>
      </w:r>
      <w:r w:rsidR="00297D6A">
        <w:rPr>
          <w:rFonts w:ascii="Arial" w:hAnsi="Arial" w:cs="Arial"/>
          <w:sz w:val="20"/>
          <w:szCs w:val="20"/>
        </w:rPr>
        <w:t>.</w:t>
      </w:r>
      <w:r w:rsidR="00D73BFA">
        <w:rPr>
          <w:rFonts w:ascii="Arial" w:hAnsi="Arial" w:cs="Arial"/>
          <w:sz w:val="20"/>
          <w:szCs w:val="20"/>
        </w:rPr>
        <w:t xml:space="preserve"> </w:t>
      </w:r>
      <w:r w:rsidR="00297D6A" w:rsidRPr="00846C1D">
        <w:rPr>
          <w:rFonts w:ascii="Arial" w:hAnsi="Arial" w:cs="Arial"/>
          <w:sz w:val="20"/>
        </w:rPr>
        <w:t xml:space="preserve">The average 2WW crude referral rate </w:t>
      </w:r>
      <w:r w:rsidR="00297D6A">
        <w:rPr>
          <w:rFonts w:ascii="Arial" w:hAnsi="Arial" w:cs="Arial"/>
          <w:sz w:val="20"/>
        </w:rPr>
        <w:t xml:space="preserve">for suspected lower GI cancer </w:t>
      </w:r>
      <w:r w:rsidR="00297D6A" w:rsidRPr="00846C1D">
        <w:rPr>
          <w:rFonts w:ascii="Arial" w:hAnsi="Arial" w:cs="Arial"/>
          <w:sz w:val="20"/>
        </w:rPr>
        <w:t xml:space="preserve">in </w:t>
      </w:r>
      <w:r w:rsidR="00297D6A">
        <w:rPr>
          <w:rFonts w:ascii="Arial" w:hAnsi="Arial" w:cs="Arial"/>
          <w:sz w:val="20"/>
        </w:rPr>
        <w:t>Sutton &amp; Merton</w:t>
      </w:r>
      <w:r w:rsidR="00297D6A" w:rsidRPr="00846C1D">
        <w:rPr>
          <w:rFonts w:ascii="Arial" w:hAnsi="Arial" w:cs="Arial"/>
          <w:sz w:val="20"/>
        </w:rPr>
        <w:t xml:space="preserve"> for 2009 was </w:t>
      </w:r>
      <w:r w:rsidR="00297D6A">
        <w:rPr>
          <w:rFonts w:ascii="Arial" w:hAnsi="Arial" w:cs="Arial"/>
          <w:sz w:val="20"/>
        </w:rPr>
        <w:t>162.77</w:t>
      </w:r>
      <w:r w:rsidR="00297D6A" w:rsidRPr="00846C1D">
        <w:rPr>
          <w:rFonts w:ascii="Arial" w:hAnsi="Arial" w:cs="Arial"/>
          <w:sz w:val="20"/>
        </w:rPr>
        <w:t xml:space="preserve"> per 100,000 </w:t>
      </w:r>
      <w:proofErr w:type="gramStart"/>
      <w:r w:rsidR="00297D6A" w:rsidRPr="00846C1D">
        <w:rPr>
          <w:rFonts w:ascii="Arial" w:hAnsi="Arial" w:cs="Arial"/>
          <w:sz w:val="20"/>
        </w:rPr>
        <w:t>population</w:t>
      </w:r>
      <w:proofErr w:type="gramEnd"/>
      <w:r w:rsidR="00297D6A">
        <w:rPr>
          <w:rFonts w:ascii="Arial" w:hAnsi="Arial" w:cs="Arial"/>
          <w:sz w:val="20"/>
        </w:rPr>
        <w:t xml:space="preserve">. </w:t>
      </w:r>
      <w:r w:rsidR="00D73BFA">
        <w:rPr>
          <w:rFonts w:ascii="Arial" w:hAnsi="Arial" w:cs="Arial"/>
          <w:sz w:val="20"/>
          <w:szCs w:val="20"/>
        </w:rPr>
        <w:t>The proportion of urgent referrals resulting in a cancer diagnosis was above the national rate at 9.2%.</w:t>
      </w:r>
    </w:p>
    <w:p w:rsidR="00F90641" w:rsidRDefault="00F90641" w:rsidP="00F90641">
      <w:pPr>
        <w:rPr>
          <w:rFonts w:ascii="Arial" w:hAnsi="Arial" w:cs="Arial"/>
          <w:b/>
          <w:sz w:val="20"/>
          <w:szCs w:val="20"/>
        </w:rPr>
      </w:pPr>
      <w:r>
        <w:rPr>
          <w:rFonts w:ascii="Arial" w:hAnsi="Arial" w:cs="Arial"/>
          <w:b/>
          <w:sz w:val="20"/>
          <w:szCs w:val="20"/>
        </w:rPr>
        <w:t>Wandsworth</w:t>
      </w:r>
    </w:p>
    <w:p w:rsidR="00F90641" w:rsidRDefault="00F90641" w:rsidP="00F90641">
      <w:pPr>
        <w:rPr>
          <w:rFonts w:ascii="Arial" w:hAnsi="Arial" w:cs="Arial"/>
          <w:sz w:val="20"/>
          <w:szCs w:val="20"/>
        </w:rPr>
      </w:pPr>
      <w:r>
        <w:rPr>
          <w:rFonts w:ascii="Arial" w:hAnsi="Arial" w:cs="Arial"/>
          <w:sz w:val="20"/>
          <w:szCs w:val="20"/>
        </w:rPr>
        <w:t xml:space="preserve">Wandsworth is characterised by a young population and as such only 8.2% of the population </w:t>
      </w:r>
      <w:r w:rsidR="003E4BC2">
        <w:rPr>
          <w:rFonts w:ascii="Arial" w:hAnsi="Arial" w:cs="Arial"/>
          <w:sz w:val="20"/>
          <w:szCs w:val="20"/>
        </w:rPr>
        <w:t>is</w:t>
      </w:r>
      <w:r>
        <w:rPr>
          <w:rFonts w:ascii="Arial" w:hAnsi="Arial" w:cs="Arial"/>
          <w:sz w:val="20"/>
          <w:szCs w:val="20"/>
        </w:rPr>
        <w:t xml:space="preserve"> currently projected to be aged 65 or over. The uptake of bowel screening in the PCT is low and is the lowest in the sector at 38.6%, over 20% lower than the </w:t>
      </w:r>
      <w:r w:rsidR="003E4BC2">
        <w:rPr>
          <w:rFonts w:ascii="Arial" w:hAnsi="Arial" w:cs="Arial"/>
          <w:sz w:val="20"/>
          <w:szCs w:val="20"/>
        </w:rPr>
        <w:t xml:space="preserve">national </w:t>
      </w:r>
      <w:r>
        <w:rPr>
          <w:rFonts w:ascii="Arial" w:hAnsi="Arial" w:cs="Arial"/>
          <w:sz w:val="20"/>
          <w:szCs w:val="20"/>
        </w:rPr>
        <w:t>target of 60%. Male and female incidence is comparable to other PCTs in the sector. The o</w:t>
      </w:r>
      <w:r w:rsidR="00E875F9">
        <w:rPr>
          <w:rFonts w:ascii="Arial" w:hAnsi="Arial" w:cs="Arial"/>
          <w:sz w:val="20"/>
          <w:szCs w:val="20"/>
        </w:rPr>
        <w:t>ne-year survival rate is 72.5%</w:t>
      </w:r>
      <w:r>
        <w:rPr>
          <w:rFonts w:ascii="Arial" w:hAnsi="Arial" w:cs="Arial"/>
          <w:sz w:val="20"/>
          <w:szCs w:val="20"/>
        </w:rPr>
        <w:t>, while male and female mortality is the highest in SWL. The decrease in the mortality rate between 1993</w:t>
      </w:r>
      <w:r w:rsidR="00E875F9">
        <w:rPr>
          <w:rFonts w:ascii="Arial" w:hAnsi="Arial" w:cs="Arial"/>
          <w:sz w:val="20"/>
          <w:szCs w:val="20"/>
        </w:rPr>
        <w:t>-95</w:t>
      </w:r>
      <w:r>
        <w:rPr>
          <w:rFonts w:ascii="Arial" w:hAnsi="Arial" w:cs="Arial"/>
          <w:sz w:val="20"/>
          <w:szCs w:val="20"/>
        </w:rPr>
        <w:t xml:space="preserve"> and 20</w:t>
      </w:r>
      <w:r w:rsidR="00E875F9">
        <w:rPr>
          <w:rFonts w:ascii="Arial" w:hAnsi="Arial" w:cs="Arial"/>
          <w:sz w:val="20"/>
          <w:szCs w:val="20"/>
        </w:rPr>
        <w:t>06-</w:t>
      </w:r>
      <w:r>
        <w:rPr>
          <w:rFonts w:ascii="Arial" w:hAnsi="Arial" w:cs="Arial"/>
          <w:sz w:val="20"/>
          <w:szCs w:val="20"/>
        </w:rPr>
        <w:t xml:space="preserve">08 is comparable to the other PCTs, at 20.1% for males and 23.9% for females. Again, </w:t>
      </w:r>
      <w:proofErr w:type="spellStart"/>
      <w:r>
        <w:rPr>
          <w:rFonts w:ascii="Arial" w:hAnsi="Arial" w:cs="Arial"/>
          <w:sz w:val="20"/>
          <w:szCs w:val="20"/>
        </w:rPr>
        <w:t>Wandsworth’s</w:t>
      </w:r>
      <w:proofErr w:type="spellEnd"/>
      <w:r>
        <w:rPr>
          <w:rFonts w:ascii="Arial" w:hAnsi="Arial" w:cs="Arial"/>
          <w:sz w:val="20"/>
          <w:szCs w:val="20"/>
        </w:rPr>
        <w:t xml:space="preserve"> emergency bed day rate is higher than the national average at 415 per 100,000. </w:t>
      </w:r>
      <w:r w:rsidR="00537338">
        <w:rPr>
          <w:rFonts w:ascii="Arial" w:hAnsi="Arial" w:cs="Arial"/>
          <w:sz w:val="20"/>
          <w:szCs w:val="20"/>
        </w:rPr>
        <w:t xml:space="preserve">Wandsworth had a high proportion of diagnosed cases, 61.7%, </w:t>
      </w:r>
      <w:proofErr w:type="gramStart"/>
      <w:r w:rsidR="00537338">
        <w:rPr>
          <w:rFonts w:ascii="Arial" w:hAnsi="Arial" w:cs="Arial"/>
          <w:sz w:val="20"/>
          <w:szCs w:val="20"/>
        </w:rPr>
        <w:t>come</w:t>
      </w:r>
      <w:proofErr w:type="gramEnd"/>
      <w:r w:rsidR="00537338">
        <w:rPr>
          <w:rFonts w:ascii="Arial" w:hAnsi="Arial" w:cs="Arial"/>
          <w:sz w:val="20"/>
          <w:szCs w:val="20"/>
        </w:rPr>
        <w:t xml:space="preserve"> through the non-urgent referral route</w:t>
      </w:r>
      <w:r w:rsidR="004E3030">
        <w:rPr>
          <w:rFonts w:ascii="Arial" w:hAnsi="Arial" w:cs="Arial"/>
          <w:sz w:val="20"/>
          <w:szCs w:val="20"/>
        </w:rPr>
        <w:t>.</w:t>
      </w:r>
      <w:r w:rsidR="00D73BFA">
        <w:rPr>
          <w:rFonts w:ascii="Arial" w:hAnsi="Arial" w:cs="Arial"/>
          <w:sz w:val="20"/>
          <w:szCs w:val="20"/>
        </w:rPr>
        <w:t xml:space="preserve"> </w:t>
      </w:r>
      <w:r w:rsidR="004E3030">
        <w:rPr>
          <w:rFonts w:ascii="Arial" w:hAnsi="Arial" w:cs="Arial"/>
          <w:sz w:val="20"/>
        </w:rPr>
        <w:t xml:space="preserve">The PCT average for urgent 2WW referrals for suspected lower GI cancer is 142.48 per 100,000 </w:t>
      </w:r>
      <w:proofErr w:type="gramStart"/>
      <w:r w:rsidR="004E3030">
        <w:rPr>
          <w:rFonts w:ascii="Arial" w:hAnsi="Arial" w:cs="Arial"/>
          <w:sz w:val="20"/>
        </w:rPr>
        <w:t>population</w:t>
      </w:r>
      <w:proofErr w:type="gramEnd"/>
      <w:r w:rsidR="004E3030">
        <w:rPr>
          <w:rFonts w:ascii="Arial" w:hAnsi="Arial" w:cs="Arial"/>
          <w:sz w:val="20"/>
        </w:rPr>
        <w:t xml:space="preserve">. </w:t>
      </w:r>
      <w:r w:rsidR="00537338">
        <w:rPr>
          <w:rFonts w:ascii="Arial" w:hAnsi="Arial" w:cs="Arial"/>
          <w:sz w:val="20"/>
          <w:szCs w:val="20"/>
        </w:rPr>
        <w:t>O</w:t>
      </w:r>
      <w:r>
        <w:rPr>
          <w:rFonts w:ascii="Arial" w:hAnsi="Arial" w:cs="Arial"/>
          <w:sz w:val="20"/>
          <w:szCs w:val="20"/>
        </w:rPr>
        <w:t xml:space="preserve">nly 6.1% of referrals result in a cancer diagnosis, a proportion below the national average. </w:t>
      </w:r>
    </w:p>
    <w:p w:rsidR="00F90641" w:rsidRPr="00F90641" w:rsidRDefault="00F90641" w:rsidP="00F90641">
      <w:pPr>
        <w:rPr>
          <w:rFonts w:ascii="Arial" w:hAnsi="Arial" w:cs="Arial"/>
          <w:b/>
          <w:sz w:val="20"/>
          <w:szCs w:val="20"/>
        </w:rPr>
      </w:pPr>
      <w:r w:rsidRPr="00F90641">
        <w:rPr>
          <w:rFonts w:ascii="Arial" w:hAnsi="Arial" w:cs="Arial"/>
          <w:b/>
          <w:sz w:val="20"/>
          <w:szCs w:val="20"/>
        </w:rPr>
        <w:t>South West London Cancer Network</w:t>
      </w:r>
    </w:p>
    <w:p w:rsidR="00F90641" w:rsidRPr="00A70BDB" w:rsidRDefault="00F90641" w:rsidP="00F90641">
      <w:r w:rsidRPr="007811AF">
        <w:rPr>
          <w:rFonts w:ascii="Arial" w:hAnsi="Arial" w:cs="Arial"/>
          <w:sz w:val="20"/>
          <w:szCs w:val="20"/>
        </w:rPr>
        <w:t>Overall the SWLCN performs well ag</w:t>
      </w:r>
      <w:r>
        <w:rPr>
          <w:rFonts w:ascii="Arial" w:hAnsi="Arial" w:cs="Arial"/>
          <w:sz w:val="20"/>
          <w:szCs w:val="20"/>
        </w:rPr>
        <w:t>a</w:t>
      </w:r>
      <w:r w:rsidRPr="007811AF">
        <w:rPr>
          <w:rFonts w:ascii="Arial" w:hAnsi="Arial" w:cs="Arial"/>
          <w:sz w:val="20"/>
          <w:szCs w:val="20"/>
        </w:rPr>
        <w:t xml:space="preserve">inst </w:t>
      </w:r>
      <w:r>
        <w:rPr>
          <w:rFonts w:ascii="Arial" w:hAnsi="Arial" w:cs="Arial"/>
          <w:sz w:val="20"/>
          <w:szCs w:val="20"/>
        </w:rPr>
        <w:t xml:space="preserve">all other networks in London, coming out best 4 out of 5 times on cancer network specific indicators. However, one indicator, the rate of emergency bed days, is the highest in London, reflecting the high rates in all the PCTs of SWL, particularly Wandsworth, Sutton &amp; Merton and Croydon. One year survival rate </w:t>
      </w:r>
      <w:r w:rsidR="00100A41">
        <w:rPr>
          <w:rFonts w:ascii="Arial" w:hAnsi="Arial" w:cs="Arial"/>
          <w:sz w:val="20"/>
          <w:szCs w:val="20"/>
        </w:rPr>
        <w:t xml:space="preserve">(76.9%) </w:t>
      </w:r>
      <w:r>
        <w:rPr>
          <w:rFonts w:ascii="Arial" w:hAnsi="Arial" w:cs="Arial"/>
          <w:sz w:val="20"/>
          <w:szCs w:val="20"/>
        </w:rPr>
        <w:t xml:space="preserve">for males is significantly higher than the national average and is comparable to the male rate in Norway, Finland and Sweden in the EUROCARE-4 study. The female one-year survival rate is considerably lower at 71.2%. The five-year survival rate (persons) is higher than the national average. </w:t>
      </w:r>
      <w:r w:rsidR="00537338">
        <w:rPr>
          <w:rFonts w:ascii="Arial" w:hAnsi="Arial" w:cs="Arial"/>
          <w:sz w:val="20"/>
          <w:szCs w:val="20"/>
        </w:rPr>
        <w:t xml:space="preserve">The SWLCN has one of the highest proportions of diagnosed cases resulting from non-urgent referrals in the country at 54.3%. </w:t>
      </w:r>
      <w:r>
        <w:rPr>
          <w:rFonts w:ascii="Arial" w:hAnsi="Arial" w:cs="Arial"/>
          <w:sz w:val="20"/>
          <w:szCs w:val="20"/>
        </w:rPr>
        <w:t>The percentage of urgent 2 week wait referrals resulting in a colorectal cancer diagnosis is just above the national average reflecting the mixed rates across the PCTs of SWL.</w:t>
      </w:r>
      <w:r w:rsidR="008C4CE4">
        <w:rPr>
          <w:rFonts w:ascii="Arial" w:hAnsi="Arial" w:cs="Arial"/>
          <w:sz w:val="20"/>
          <w:szCs w:val="20"/>
        </w:rPr>
        <w:t xml:space="preserve"> The overall 2WW referral rate per 1,000 </w:t>
      </w:r>
      <w:proofErr w:type="gramStart"/>
      <w:r w:rsidR="008C4CE4">
        <w:rPr>
          <w:rFonts w:ascii="Arial" w:hAnsi="Arial" w:cs="Arial"/>
          <w:sz w:val="20"/>
          <w:szCs w:val="20"/>
        </w:rPr>
        <w:t>population</w:t>
      </w:r>
      <w:proofErr w:type="gramEnd"/>
      <w:r w:rsidR="008C4CE4">
        <w:rPr>
          <w:rFonts w:ascii="Arial" w:hAnsi="Arial" w:cs="Arial"/>
          <w:sz w:val="20"/>
          <w:szCs w:val="20"/>
        </w:rPr>
        <w:t xml:space="preserve"> was 1.66.</w:t>
      </w:r>
    </w:p>
    <w:p w:rsidR="00F90641" w:rsidRDefault="00F90641" w:rsidP="00F90641">
      <w:pPr>
        <w:rPr>
          <w:rFonts w:ascii="Arial" w:hAnsi="Arial" w:cs="Arial"/>
          <w:sz w:val="20"/>
          <w:szCs w:val="20"/>
        </w:rPr>
      </w:pPr>
    </w:p>
    <w:p w:rsidR="00F90641" w:rsidRPr="00F90641" w:rsidRDefault="00F90641" w:rsidP="00F90641">
      <w:pPr>
        <w:rPr>
          <w:rFonts w:ascii="Arial" w:hAnsi="Arial" w:cs="Arial"/>
          <w:sz w:val="20"/>
          <w:szCs w:val="24"/>
        </w:rPr>
      </w:pPr>
    </w:p>
    <w:p w:rsidR="003C7D76" w:rsidRDefault="003C7D76" w:rsidP="003C7D76"/>
    <w:p w:rsidR="003C7D76" w:rsidRDefault="003C7D76" w:rsidP="003C7D76"/>
    <w:p w:rsidR="003C7D76" w:rsidRDefault="003C7D76" w:rsidP="003C7D76"/>
    <w:p w:rsidR="003C7D76" w:rsidRDefault="003C7D76" w:rsidP="003C7D76"/>
    <w:p w:rsidR="003C7D76" w:rsidRDefault="003C7D76" w:rsidP="003C7D76"/>
    <w:p w:rsidR="003C7D76" w:rsidRDefault="003C7D76" w:rsidP="003C7D76"/>
    <w:p w:rsidR="00FB09D5" w:rsidRPr="002A56A8" w:rsidRDefault="00504613" w:rsidP="00FB09D5">
      <w:pPr>
        <w:pStyle w:val="Caption"/>
        <w:spacing w:after="0" w:line="360" w:lineRule="auto"/>
        <w:rPr>
          <w:rFonts w:ascii="Arial" w:hAnsi="Arial" w:cs="Arial"/>
          <w:color w:val="auto"/>
        </w:rPr>
      </w:pPr>
      <w:bookmarkStart w:id="4" w:name="_Ref275261629"/>
      <w:r w:rsidRPr="00504613">
        <w:rPr>
          <w:rFonts w:ascii="Arial" w:hAnsi="Arial" w:cs="Arial"/>
          <w:color w:val="auto"/>
        </w:rPr>
        <w:t xml:space="preserve">Figure </w:t>
      </w:r>
      <w:r w:rsidR="00AF55AD" w:rsidRPr="00504613">
        <w:rPr>
          <w:rFonts w:ascii="Arial" w:hAnsi="Arial" w:cs="Arial"/>
          <w:color w:val="auto"/>
        </w:rPr>
        <w:fldChar w:fldCharType="begin"/>
      </w:r>
      <w:r w:rsidRPr="00504613">
        <w:rPr>
          <w:rFonts w:ascii="Arial" w:hAnsi="Arial" w:cs="Arial"/>
          <w:color w:val="auto"/>
        </w:rPr>
        <w:instrText xml:space="preserve"> SEQ Figure \* ARABIC </w:instrText>
      </w:r>
      <w:r w:rsidR="00AF55AD" w:rsidRPr="00504613">
        <w:rPr>
          <w:rFonts w:ascii="Arial" w:hAnsi="Arial" w:cs="Arial"/>
          <w:color w:val="auto"/>
        </w:rPr>
        <w:fldChar w:fldCharType="separate"/>
      </w:r>
      <w:r w:rsidR="004E6A50">
        <w:rPr>
          <w:rFonts w:ascii="Arial" w:hAnsi="Arial" w:cs="Arial"/>
          <w:noProof/>
          <w:color w:val="auto"/>
        </w:rPr>
        <w:t>1</w:t>
      </w:r>
      <w:r w:rsidR="00AF55AD" w:rsidRPr="00504613">
        <w:rPr>
          <w:rFonts w:ascii="Arial" w:hAnsi="Arial" w:cs="Arial"/>
          <w:color w:val="auto"/>
        </w:rPr>
        <w:fldChar w:fldCharType="end"/>
      </w:r>
      <w:bookmarkEnd w:id="4"/>
      <w:r w:rsidRPr="00504613">
        <w:rPr>
          <w:rFonts w:ascii="Arial" w:hAnsi="Arial" w:cs="Arial"/>
          <w:color w:val="auto"/>
        </w:rPr>
        <w:t>: PCT Matrix of key colorectal cancer figures for South West London.</w:t>
      </w:r>
    </w:p>
    <w:tbl>
      <w:tblPr>
        <w:tblW w:w="10774" w:type="dxa"/>
        <w:tblInd w:w="-88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1900"/>
        <w:gridCol w:w="1361"/>
        <w:gridCol w:w="1276"/>
        <w:gridCol w:w="1263"/>
        <w:gridCol w:w="808"/>
        <w:gridCol w:w="747"/>
        <w:gridCol w:w="1293"/>
        <w:gridCol w:w="992"/>
        <w:gridCol w:w="1134"/>
      </w:tblGrid>
      <w:tr w:rsidR="00FB09D5" w:rsidRPr="002A56A8" w:rsidTr="00846C1D">
        <w:trPr>
          <w:trHeight w:val="315"/>
        </w:trPr>
        <w:tc>
          <w:tcPr>
            <w:tcW w:w="1900" w:type="dxa"/>
            <w:shd w:val="clear" w:color="auto" w:fill="auto"/>
            <w:noWrap/>
            <w:vAlign w:val="bottom"/>
            <w:hideMark/>
          </w:tcPr>
          <w:p w:rsidR="00FB09D5" w:rsidRPr="002A56A8" w:rsidRDefault="00FB09D5" w:rsidP="00846C1D">
            <w:pPr>
              <w:spacing w:after="0" w:line="240" w:lineRule="auto"/>
              <w:rPr>
                <w:rFonts w:ascii="Calibri" w:eastAsia="Times New Roman" w:hAnsi="Calibri" w:cs="Times New Roman"/>
                <w:color w:val="000000"/>
                <w:sz w:val="16"/>
                <w:szCs w:val="16"/>
                <w:lang w:eastAsia="en-GB"/>
              </w:rPr>
            </w:pPr>
          </w:p>
        </w:tc>
        <w:tc>
          <w:tcPr>
            <w:tcW w:w="1361" w:type="dxa"/>
            <w:shd w:val="clear" w:color="auto" w:fill="auto"/>
            <w:noWrap/>
            <w:vAlign w:val="bottom"/>
            <w:hideMark/>
          </w:tcPr>
          <w:p w:rsidR="00FB09D5" w:rsidRPr="002A56A8" w:rsidRDefault="00FB09D5" w:rsidP="00846C1D">
            <w:pPr>
              <w:spacing w:after="0" w:line="240" w:lineRule="auto"/>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Croydon</w:t>
            </w:r>
          </w:p>
        </w:tc>
        <w:tc>
          <w:tcPr>
            <w:tcW w:w="1276" w:type="dxa"/>
            <w:shd w:val="clear" w:color="auto" w:fill="auto"/>
            <w:noWrap/>
            <w:vAlign w:val="bottom"/>
            <w:hideMark/>
          </w:tcPr>
          <w:p w:rsidR="00FB09D5" w:rsidRPr="002A56A8" w:rsidRDefault="00FB09D5" w:rsidP="00846C1D">
            <w:pPr>
              <w:spacing w:after="0" w:line="240" w:lineRule="auto"/>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Kingston</w:t>
            </w:r>
          </w:p>
        </w:tc>
        <w:tc>
          <w:tcPr>
            <w:tcW w:w="1263" w:type="dxa"/>
            <w:shd w:val="clear" w:color="auto" w:fill="auto"/>
            <w:noWrap/>
            <w:vAlign w:val="bottom"/>
            <w:hideMark/>
          </w:tcPr>
          <w:p w:rsidR="00FB09D5" w:rsidRPr="002A56A8" w:rsidRDefault="00FB09D5" w:rsidP="00846C1D">
            <w:pPr>
              <w:spacing w:after="0" w:line="240" w:lineRule="auto"/>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Richmond &amp; Twickenham</w:t>
            </w:r>
          </w:p>
        </w:tc>
        <w:tc>
          <w:tcPr>
            <w:tcW w:w="1555" w:type="dxa"/>
            <w:gridSpan w:val="2"/>
            <w:shd w:val="clear" w:color="auto" w:fill="auto"/>
            <w:noWrap/>
            <w:vAlign w:val="bottom"/>
            <w:hideMark/>
          </w:tcPr>
          <w:p w:rsidR="00FB09D5" w:rsidRPr="002A56A8" w:rsidRDefault="00FB09D5" w:rsidP="00846C1D">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Sutton &amp; Merton</w:t>
            </w:r>
          </w:p>
        </w:tc>
        <w:tc>
          <w:tcPr>
            <w:tcW w:w="1293" w:type="dxa"/>
            <w:shd w:val="clear" w:color="auto" w:fill="auto"/>
            <w:noWrap/>
            <w:vAlign w:val="bottom"/>
            <w:hideMark/>
          </w:tcPr>
          <w:p w:rsidR="00FB09D5" w:rsidRPr="002A56A8" w:rsidRDefault="00FB09D5" w:rsidP="00846C1D">
            <w:pPr>
              <w:spacing w:after="0" w:line="240" w:lineRule="auto"/>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Wandsworth</w:t>
            </w:r>
          </w:p>
        </w:tc>
        <w:tc>
          <w:tcPr>
            <w:tcW w:w="2126" w:type="dxa"/>
            <w:gridSpan w:val="2"/>
            <w:shd w:val="clear" w:color="auto" w:fill="auto"/>
            <w:noWrap/>
            <w:vAlign w:val="bottom"/>
            <w:hideMark/>
          </w:tcPr>
          <w:p w:rsidR="00FB09D5" w:rsidRPr="002A56A8" w:rsidRDefault="00FB09D5" w:rsidP="00846C1D">
            <w:pPr>
              <w:spacing w:after="0" w:line="240" w:lineRule="auto"/>
              <w:jc w:val="center"/>
              <w:rPr>
                <w:rFonts w:ascii="Calibri" w:eastAsia="Times New Roman" w:hAnsi="Calibri" w:cs="Times New Roman"/>
                <w:color w:val="000000"/>
                <w:lang w:eastAsia="en-GB"/>
              </w:rPr>
            </w:pPr>
            <w:r w:rsidRPr="002A56A8">
              <w:rPr>
                <w:rFonts w:ascii="Calibri" w:eastAsia="Times New Roman" w:hAnsi="Calibri" w:cs="Times New Roman"/>
                <w:color w:val="000000"/>
                <w:lang w:eastAsia="en-GB"/>
              </w:rPr>
              <w:t> </w:t>
            </w:r>
          </w:p>
        </w:tc>
      </w:tr>
      <w:tr w:rsidR="00FB09D5" w:rsidRPr="002A56A8" w:rsidTr="00846C1D">
        <w:trPr>
          <w:trHeight w:val="375"/>
        </w:trPr>
        <w:tc>
          <w:tcPr>
            <w:tcW w:w="1900" w:type="dxa"/>
            <w:shd w:val="clear" w:color="auto" w:fill="auto"/>
            <w:vAlign w:val="bottom"/>
            <w:hideMark/>
          </w:tcPr>
          <w:p w:rsidR="00FB09D5" w:rsidRPr="002A56A8" w:rsidRDefault="00FB09D5" w:rsidP="00846C1D">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 xml:space="preserve">Estimated fruit &amp; </w:t>
            </w:r>
            <w:proofErr w:type="spellStart"/>
            <w:r>
              <w:rPr>
                <w:rFonts w:ascii="Calibri" w:eastAsia="Times New Roman" w:hAnsi="Calibri" w:cs="Times New Roman"/>
                <w:color w:val="000000"/>
                <w:sz w:val="16"/>
                <w:szCs w:val="16"/>
                <w:lang w:eastAsia="en-GB"/>
              </w:rPr>
              <w:t>veg</w:t>
            </w:r>
            <w:proofErr w:type="spellEnd"/>
            <w:r w:rsidRPr="002A56A8">
              <w:rPr>
                <w:rFonts w:ascii="Calibri" w:eastAsia="Times New Roman" w:hAnsi="Calibri" w:cs="Times New Roman"/>
                <w:color w:val="000000"/>
                <w:sz w:val="16"/>
                <w:szCs w:val="16"/>
                <w:lang w:eastAsia="en-GB"/>
              </w:rPr>
              <w:t xml:space="preserve"> consumption</w:t>
            </w:r>
            <w:r>
              <w:rPr>
                <w:rFonts w:ascii="Calibri" w:eastAsia="Times New Roman" w:hAnsi="Calibri" w:cs="Times New Roman"/>
                <w:color w:val="000000"/>
                <w:sz w:val="16"/>
                <w:szCs w:val="16"/>
                <w:lang w:eastAsia="en-GB"/>
              </w:rPr>
              <w:t xml:space="preserve"> (2003-05)</w:t>
            </w:r>
          </w:p>
        </w:tc>
        <w:tc>
          <w:tcPr>
            <w:tcW w:w="1361" w:type="dxa"/>
            <w:shd w:val="clear" w:color="auto" w:fill="FF0000"/>
            <w:noWrap/>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27.8%</w:t>
            </w:r>
          </w:p>
        </w:tc>
        <w:tc>
          <w:tcPr>
            <w:tcW w:w="1276" w:type="dxa"/>
            <w:shd w:val="clear" w:color="auto" w:fill="auto"/>
            <w:noWrap/>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33.4%</w:t>
            </w:r>
          </w:p>
        </w:tc>
        <w:tc>
          <w:tcPr>
            <w:tcW w:w="1263" w:type="dxa"/>
            <w:shd w:val="clear" w:color="auto" w:fill="00B050"/>
            <w:noWrap/>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37.1%</w:t>
            </w:r>
          </w:p>
        </w:tc>
        <w:tc>
          <w:tcPr>
            <w:tcW w:w="1555" w:type="dxa"/>
            <w:gridSpan w:val="2"/>
            <w:shd w:val="clear" w:color="auto" w:fill="auto"/>
            <w:noWrap/>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30.4%</w:t>
            </w:r>
          </w:p>
        </w:tc>
        <w:tc>
          <w:tcPr>
            <w:tcW w:w="1293" w:type="dxa"/>
            <w:shd w:val="clear" w:color="auto" w:fill="auto"/>
            <w:noWrap/>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31.1%</w:t>
            </w:r>
          </w:p>
        </w:tc>
        <w:tc>
          <w:tcPr>
            <w:tcW w:w="992" w:type="dxa"/>
            <w:shd w:val="clear" w:color="auto" w:fill="auto"/>
            <w:noWrap/>
            <w:vAlign w:val="bottom"/>
            <w:hideMark/>
          </w:tcPr>
          <w:p w:rsidR="00FB09D5" w:rsidRPr="002A56A8" w:rsidRDefault="00FB09D5" w:rsidP="00846C1D">
            <w:pPr>
              <w:spacing w:after="0" w:line="240" w:lineRule="auto"/>
              <w:jc w:val="center"/>
              <w:rPr>
                <w:rFonts w:ascii="Calibri" w:eastAsia="Times New Roman" w:hAnsi="Calibri" w:cs="Times New Roman"/>
                <w:color w:val="000000"/>
                <w:lang w:eastAsia="en-GB"/>
              </w:rPr>
            </w:pPr>
            <w:r w:rsidRPr="002A56A8">
              <w:rPr>
                <w:rFonts w:ascii="Calibri" w:eastAsia="Times New Roman" w:hAnsi="Calibri" w:cs="Times New Roman"/>
                <w:color w:val="000000"/>
                <w:lang w:eastAsia="en-GB"/>
              </w:rPr>
              <w:t> </w:t>
            </w:r>
          </w:p>
        </w:tc>
        <w:tc>
          <w:tcPr>
            <w:tcW w:w="1134" w:type="dxa"/>
            <w:shd w:val="clear" w:color="auto" w:fill="auto"/>
            <w:noWrap/>
            <w:vAlign w:val="bottom"/>
            <w:hideMark/>
          </w:tcPr>
          <w:p w:rsidR="00FB09D5" w:rsidRPr="002A56A8" w:rsidRDefault="00FB09D5" w:rsidP="00846C1D">
            <w:pPr>
              <w:spacing w:after="0" w:line="240" w:lineRule="auto"/>
              <w:jc w:val="center"/>
              <w:rPr>
                <w:rFonts w:ascii="Calibri" w:eastAsia="Times New Roman" w:hAnsi="Calibri" w:cs="Times New Roman"/>
                <w:color w:val="000000"/>
                <w:lang w:eastAsia="en-GB"/>
              </w:rPr>
            </w:pPr>
            <w:r w:rsidRPr="002A56A8">
              <w:rPr>
                <w:rFonts w:ascii="Calibri" w:eastAsia="Times New Roman" w:hAnsi="Calibri" w:cs="Times New Roman"/>
                <w:color w:val="000000"/>
                <w:lang w:eastAsia="en-GB"/>
              </w:rPr>
              <w:t> </w:t>
            </w:r>
          </w:p>
        </w:tc>
      </w:tr>
      <w:tr w:rsidR="00FB09D5" w:rsidRPr="002A56A8" w:rsidTr="00846C1D">
        <w:trPr>
          <w:trHeight w:val="395"/>
        </w:trPr>
        <w:tc>
          <w:tcPr>
            <w:tcW w:w="1900" w:type="dxa"/>
            <w:shd w:val="clear" w:color="auto" w:fill="auto"/>
            <w:vAlign w:val="bottom"/>
            <w:hideMark/>
          </w:tcPr>
          <w:p w:rsidR="00FB09D5" w:rsidRPr="002A56A8" w:rsidRDefault="00FB09D5" w:rsidP="00846C1D">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Estimated prevale</w:t>
            </w:r>
            <w:r w:rsidRPr="002A56A8">
              <w:rPr>
                <w:rFonts w:ascii="Calibri" w:eastAsia="Times New Roman" w:hAnsi="Calibri" w:cs="Times New Roman"/>
                <w:color w:val="000000"/>
                <w:sz w:val="16"/>
                <w:szCs w:val="16"/>
                <w:lang w:eastAsia="en-GB"/>
              </w:rPr>
              <w:t>nce of binge drinking</w:t>
            </w:r>
            <w:r>
              <w:rPr>
                <w:rFonts w:ascii="Calibri" w:eastAsia="Times New Roman" w:hAnsi="Calibri" w:cs="Times New Roman"/>
                <w:color w:val="000000"/>
                <w:sz w:val="16"/>
                <w:szCs w:val="16"/>
                <w:lang w:eastAsia="en-GB"/>
              </w:rPr>
              <w:t xml:space="preserve"> (2003-05)</w:t>
            </w:r>
          </w:p>
        </w:tc>
        <w:tc>
          <w:tcPr>
            <w:tcW w:w="1361" w:type="dxa"/>
            <w:shd w:val="clear" w:color="000000" w:fill="00B050"/>
            <w:noWrap/>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11.0%</w:t>
            </w:r>
          </w:p>
        </w:tc>
        <w:tc>
          <w:tcPr>
            <w:tcW w:w="1276" w:type="dxa"/>
            <w:shd w:val="clear" w:color="000000" w:fill="00B050"/>
            <w:noWrap/>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12.3%</w:t>
            </w:r>
          </w:p>
        </w:tc>
        <w:tc>
          <w:tcPr>
            <w:tcW w:w="1263" w:type="dxa"/>
            <w:shd w:val="clear" w:color="000000" w:fill="00B050"/>
            <w:noWrap/>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12.3%</w:t>
            </w:r>
          </w:p>
        </w:tc>
        <w:tc>
          <w:tcPr>
            <w:tcW w:w="808" w:type="dxa"/>
            <w:shd w:val="clear" w:color="000000" w:fill="00B050"/>
            <w:noWrap/>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11.4%</w:t>
            </w:r>
          </w:p>
        </w:tc>
        <w:tc>
          <w:tcPr>
            <w:tcW w:w="747" w:type="dxa"/>
            <w:shd w:val="clear" w:color="000000" w:fill="00B050"/>
            <w:noWrap/>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12.3%</w:t>
            </w:r>
          </w:p>
        </w:tc>
        <w:tc>
          <w:tcPr>
            <w:tcW w:w="1293" w:type="dxa"/>
            <w:shd w:val="clear" w:color="000000" w:fill="00B050"/>
            <w:noWrap/>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13.9%</w:t>
            </w:r>
          </w:p>
        </w:tc>
        <w:tc>
          <w:tcPr>
            <w:tcW w:w="992" w:type="dxa"/>
            <w:shd w:val="clear" w:color="000000" w:fill="00B050"/>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2"/>
                <w:szCs w:val="12"/>
                <w:lang w:eastAsia="en-GB"/>
              </w:rPr>
            </w:pPr>
            <w:r w:rsidRPr="002A56A8">
              <w:rPr>
                <w:rFonts w:ascii="Calibri" w:eastAsia="Times New Roman" w:hAnsi="Calibri" w:cs="Times New Roman"/>
                <w:color w:val="000000"/>
                <w:sz w:val="12"/>
                <w:szCs w:val="12"/>
                <w:lang w:eastAsia="en-GB"/>
              </w:rPr>
              <w:t>Significantly lower national average</w:t>
            </w:r>
          </w:p>
        </w:tc>
        <w:tc>
          <w:tcPr>
            <w:tcW w:w="1134" w:type="dxa"/>
            <w:shd w:val="clear" w:color="auto" w:fill="auto"/>
            <w:noWrap/>
            <w:vAlign w:val="bottom"/>
            <w:hideMark/>
          </w:tcPr>
          <w:p w:rsidR="00FB09D5" w:rsidRPr="002A56A8" w:rsidRDefault="00FB09D5" w:rsidP="00846C1D">
            <w:pPr>
              <w:spacing w:after="0" w:line="240" w:lineRule="auto"/>
              <w:jc w:val="center"/>
              <w:rPr>
                <w:rFonts w:ascii="Calibri" w:eastAsia="Times New Roman" w:hAnsi="Calibri" w:cs="Times New Roman"/>
                <w:color w:val="000000"/>
                <w:lang w:eastAsia="en-GB"/>
              </w:rPr>
            </w:pPr>
            <w:r w:rsidRPr="002A56A8">
              <w:rPr>
                <w:rFonts w:ascii="Calibri" w:eastAsia="Times New Roman" w:hAnsi="Calibri" w:cs="Times New Roman"/>
                <w:color w:val="000000"/>
                <w:lang w:eastAsia="en-GB"/>
              </w:rPr>
              <w:t> </w:t>
            </w:r>
          </w:p>
        </w:tc>
      </w:tr>
      <w:tr w:rsidR="00FB09D5" w:rsidRPr="002A56A8" w:rsidTr="00846C1D">
        <w:trPr>
          <w:trHeight w:val="315"/>
        </w:trPr>
        <w:tc>
          <w:tcPr>
            <w:tcW w:w="1900" w:type="dxa"/>
            <w:shd w:val="clear" w:color="auto" w:fill="auto"/>
            <w:vAlign w:val="bottom"/>
            <w:hideMark/>
          </w:tcPr>
          <w:p w:rsidR="00FB09D5" w:rsidRPr="002A56A8" w:rsidRDefault="00FB09D5" w:rsidP="00846C1D">
            <w:pPr>
              <w:spacing w:after="0" w:line="240" w:lineRule="auto"/>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Smoking prevalence</w:t>
            </w:r>
            <w:r>
              <w:rPr>
                <w:rFonts w:ascii="Calibri" w:eastAsia="Times New Roman" w:hAnsi="Calibri" w:cs="Times New Roman"/>
                <w:color w:val="000000"/>
                <w:sz w:val="16"/>
                <w:szCs w:val="16"/>
                <w:lang w:eastAsia="en-GB"/>
              </w:rPr>
              <w:t xml:space="preserve"> (2003-05)</w:t>
            </w:r>
          </w:p>
        </w:tc>
        <w:tc>
          <w:tcPr>
            <w:tcW w:w="1361" w:type="dxa"/>
            <w:shd w:val="clear" w:color="auto" w:fill="auto"/>
            <w:noWrap/>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21.0 - 25.7%</w:t>
            </w:r>
          </w:p>
        </w:tc>
        <w:tc>
          <w:tcPr>
            <w:tcW w:w="1276" w:type="dxa"/>
            <w:shd w:val="clear" w:color="auto" w:fill="auto"/>
            <w:noWrap/>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18.7-24.9%</w:t>
            </w:r>
          </w:p>
        </w:tc>
        <w:tc>
          <w:tcPr>
            <w:tcW w:w="1263" w:type="dxa"/>
            <w:shd w:val="clear" w:color="auto" w:fill="auto"/>
            <w:noWrap/>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16.1 - 23.0%</w:t>
            </w:r>
          </w:p>
        </w:tc>
        <w:tc>
          <w:tcPr>
            <w:tcW w:w="1555" w:type="dxa"/>
            <w:gridSpan w:val="2"/>
            <w:shd w:val="clear" w:color="auto" w:fill="auto"/>
            <w:noWrap/>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18.7 - 23.3%</w:t>
            </w:r>
          </w:p>
        </w:tc>
        <w:tc>
          <w:tcPr>
            <w:tcW w:w="1293" w:type="dxa"/>
            <w:shd w:val="clear" w:color="auto" w:fill="auto"/>
            <w:noWrap/>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21.0 - 27.7%</w:t>
            </w:r>
          </w:p>
        </w:tc>
        <w:tc>
          <w:tcPr>
            <w:tcW w:w="992" w:type="dxa"/>
            <w:shd w:val="clear" w:color="auto" w:fill="auto"/>
            <w:noWrap/>
            <w:vAlign w:val="bottom"/>
            <w:hideMark/>
          </w:tcPr>
          <w:p w:rsidR="00FB09D5" w:rsidRPr="002A56A8" w:rsidRDefault="00FB09D5" w:rsidP="00846C1D">
            <w:pPr>
              <w:spacing w:after="0" w:line="240" w:lineRule="auto"/>
              <w:rPr>
                <w:rFonts w:ascii="Calibri" w:eastAsia="Times New Roman" w:hAnsi="Calibri" w:cs="Times New Roman"/>
                <w:color w:val="000000"/>
                <w:lang w:eastAsia="en-GB"/>
              </w:rPr>
            </w:pPr>
            <w:r w:rsidRPr="002A56A8">
              <w:rPr>
                <w:rFonts w:ascii="Calibri" w:eastAsia="Times New Roman" w:hAnsi="Calibri" w:cs="Times New Roman"/>
                <w:color w:val="000000"/>
                <w:lang w:eastAsia="en-GB"/>
              </w:rPr>
              <w:t> </w:t>
            </w:r>
          </w:p>
        </w:tc>
        <w:tc>
          <w:tcPr>
            <w:tcW w:w="1134" w:type="dxa"/>
            <w:shd w:val="clear" w:color="auto" w:fill="auto"/>
            <w:noWrap/>
            <w:vAlign w:val="bottom"/>
            <w:hideMark/>
          </w:tcPr>
          <w:p w:rsidR="00FB09D5" w:rsidRPr="002A56A8" w:rsidRDefault="00FB09D5" w:rsidP="00846C1D">
            <w:pPr>
              <w:spacing w:after="0" w:line="240" w:lineRule="auto"/>
              <w:rPr>
                <w:rFonts w:ascii="Calibri" w:eastAsia="Times New Roman" w:hAnsi="Calibri" w:cs="Times New Roman"/>
                <w:color w:val="000000"/>
                <w:lang w:eastAsia="en-GB"/>
              </w:rPr>
            </w:pPr>
            <w:r w:rsidRPr="002A56A8">
              <w:rPr>
                <w:rFonts w:ascii="Calibri" w:eastAsia="Times New Roman" w:hAnsi="Calibri" w:cs="Times New Roman"/>
                <w:color w:val="000000"/>
                <w:lang w:eastAsia="en-GB"/>
              </w:rPr>
              <w:t> </w:t>
            </w:r>
          </w:p>
        </w:tc>
      </w:tr>
      <w:tr w:rsidR="00FB09D5" w:rsidRPr="002A56A8" w:rsidTr="00846C1D">
        <w:trPr>
          <w:trHeight w:val="455"/>
        </w:trPr>
        <w:tc>
          <w:tcPr>
            <w:tcW w:w="1900" w:type="dxa"/>
            <w:shd w:val="clear" w:color="auto" w:fill="auto"/>
            <w:vAlign w:val="bottom"/>
            <w:hideMark/>
          </w:tcPr>
          <w:p w:rsidR="00FB09D5" w:rsidRPr="002A56A8" w:rsidRDefault="00FB09D5" w:rsidP="00846C1D">
            <w:pPr>
              <w:spacing w:after="0" w:line="240" w:lineRule="auto"/>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 of small areas (LSOA) classed as highest deprivation</w:t>
            </w:r>
            <w:r>
              <w:rPr>
                <w:rFonts w:ascii="Calibri" w:eastAsia="Times New Roman" w:hAnsi="Calibri" w:cs="Times New Roman"/>
                <w:color w:val="000000"/>
                <w:sz w:val="16"/>
                <w:szCs w:val="16"/>
                <w:lang w:eastAsia="en-GB"/>
              </w:rPr>
              <w:t xml:space="preserve"> (2007)</w:t>
            </w:r>
          </w:p>
        </w:tc>
        <w:tc>
          <w:tcPr>
            <w:tcW w:w="1361" w:type="dxa"/>
            <w:shd w:val="clear" w:color="auto" w:fill="FF0000"/>
            <w:noWrap/>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33%</w:t>
            </w:r>
          </w:p>
        </w:tc>
        <w:tc>
          <w:tcPr>
            <w:tcW w:w="1276" w:type="dxa"/>
            <w:shd w:val="clear" w:color="auto" w:fill="auto"/>
            <w:noWrap/>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5%</w:t>
            </w:r>
          </w:p>
        </w:tc>
        <w:tc>
          <w:tcPr>
            <w:tcW w:w="1263" w:type="dxa"/>
            <w:shd w:val="clear" w:color="auto" w:fill="00B050"/>
            <w:noWrap/>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4%</w:t>
            </w:r>
          </w:p>
        </w:tc>
        <w:tc>
          <w:tcPr>
            <w:tcW w:w="1555" w:type="dxa"/>
            <w:gridSpan w:val="2"/>
            <w:shd w:val="clear" w:color="auto" w:fill="auto"/>
            <w:noWrap/>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15%</w:t>
            </w:r>
          </w:p>
        </w:tc>
        <w:tc>
          <w:tcPr>
            <w:tcW w:w="1293" w:type="dxa"/>
            <w:shd w:val="clear" w:color="auto" w:fill="auto"/>
            <w:noWrap/>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29%</w:t>
            </w:r>
          </w:p>
        </w:tc>
        <w:tc>
          <w:tcPr>
            <w:tcW w:w="992" w:type="dxa"/>
            <w:shd w:val="clear" w:color="auto" w:fill="00B050"/>
            <w:noWrap/>
            <w:vAlign w:val="center"/>
            <w:hideMark/>
          </w:tcPr>
          <w:p w:rsidR="00FB09D5" w:rsidRPr="007A13B0" w:rsidRDefault="00FB09D5" w:rsidP="00846C1D">
            <w:pPr>
              <w:spacing w:after="0" w:line="240" w:lineRule="auto"/>
              <w:jc w:val="center"/>
              <w:rPr>
                <w:rFonts w:ascii="Calibri" w:eastAsia="Times New Roman" w:hAnsi="Calibri" w:cs="Times New Roman"/>
                <w:color w:val="000000"/>
                <w:sz w:val="12"/>
                <w:szCs w:val="12"/>
                <w:lang w:eastAsia="en-GB"/>
              </w:rPr>
            </w:pPr>
            <w:r w:rsidRPr="007A13B0">
              <w:rPr>
                <w:rFonts w:ascii="Calibri" w:eastAsia="Times New Roman" w:hAnsi="Calibri" w:cs="Times New Roman"/>
                <w:color w:val="000000"/>
                <w:sz w:val="12"/>
                <w:szCs w:val="12"/>
                <w:lang w:eastAsia="en-GB"/>
              </w:rPr>
              <w:t>Lowest</w:t>
            </w:r>
          </w:p>
        </w:tc>
        <w:tc>
          <w:tcPr>
            <w:tcW w:w="1134" w:type="dxa"/>
            <w:shd w:val="clear" w:color="auto" w:fill="FF0000"/>
            <w:noWrap/>
            <w:vAlign w:val="center"/>
            <w:hideMark/>
          </w:tcPr>
          <w:p w:rsidR="00FB09D5" w:rsidRPr="007A13B0" w:rsidRDefault="00FB09D5" w:rsidP="00846C1D">
            <w:pPr>
              <w:spacing w:after="0" w:line="240" w:lineRule="auto"/>
              <w:jc w:val="center"/>
              <w:rPr>
                <w:rFonts w:ascii="Calibri" w:eastAsia="Times New Roman" w:hAnsi="Calibri" w:cs="Times New Roman"/>
                <w:color w:val="000000"/>
                <w:sz w:val="12"/>
                <w:szCs w:val="12"/>
                <w:lang w:eastAsia="en-GB"/>
              </w:rPr>
            </w:pPr>
            <w:r w:rsidRPr="007A13B0">
              <w:rPr>
                <w:rFonts w:ascii="Calibri" w:eastAsia="Times New Roman" w:hAnsi="Calibri" w:cs="Times New Roman"/>
                <w:color w:val="000000"/>
                <w:sz w:val="12"/>
                <w:szCs w:val="12"/>
                <w:lang w:eastAsia="en-GB"/>
              </w:rPr>
              <w:t>Highest</w:t>
            </w:r>
          </w:p>
        </w:tc>
      </w:tr>
      <w:tr w:rsidR="00FB09D5" w:rsidRPr="002A56A8" w:rsidTr="00846C1D">
        <w:trPr>
          <w:trHeight w:val="279"/>
        </w:trPr>
        <w:tc>
          <w:tcPr>
            <w:tcW w:w="1900" w:type="dxa"/>
            <w:shd w:val="clear" w:color="auto" w:fill="auto"/>
            <w:vAlign w:val="bottom"/>
            <w:hideMark/>
          </w:tcPr>
          <w:p w:rsidR="00FB09D5" w:rsidRPr="002A56A8" w:rsidRDefault="00FB09D5" w:rsidP="00846C1D">
            <w:pPr>
              <w:spacing w:after="0" w:line="240" w:lineRule="auto"/>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65+ Population as % of PCT population</w:t>
            </w:r>
            <w:r>
              <w:rPr>
                <w:rFonts w:ascii="Calibri" w:eastAsia="Times New Roman" w:hAnsi="Calibri" w:cs="Times New Roman"/>
                <w:color w:val="000000"/>
                <w:sz w:val="16"/>
                <w:szCs w:val="16"/>
                <w:lang w:eastAsia="en-GB"/>
              </w:rPr>
              <w:t xml:space="preserve"> </w:t>
            </w:r>
            <w:r w:rsidRPr="002A56A8">
              <w:rPr>
                <w:rFonts w:ascii="Calibri" w:eastAsia="Times New Roman" w:hAnsi="Calibri" w:cs="Times New Roman"/>
                <w:color w:val="000000"/>
                <w:sz w:val="16"/>
                <w:szCs w:val="16"/>
                <w:lang w:eastAsia="en-GB"/>
              </w:rPr>
              <w:t>(2010)</w:t>
            </w:r>
          </w:p>
        </w:tc>
        <w:tc>
          <w:tcPr>
            <w:tcW w:w="1361" w:type="dxa"/>
            <w:shd w:val="clear" w:color="auto" w:fill="auto"/>
            <w:noWrap/>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12.9%</w:t>
            </w:r>
          </w:p>
        </w:tc>
        <w:tc>
          <w:tcPr>
            <w:tcW w:w="1276" w:type="dxa"/>
            <w:shd w:val="clear" w:color="auto" w:fill="auto"/>
            <w:noWrap/>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12.0%</w:t>
            </w:r>
          </w:p>
        </w:tc>
        <w:tc>
          <w:tcPr>
            <w:tcW w:w="1263" w:type="dxa"/>
            <w:shd w:val="clear" w:color="auto" w:fill="auto"/>
            <w:noWrap/>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12.1%</w:t>
            </w:r>
          </w:p>
        </w:tc>
        <w:tc>
          <w:tcPr>
            <w:tcW w:w="808" w:type="dxa"/>
            <w:shd w:val="clear" w:color="auto" w:fill="auto"/>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12% (Merton)</w:t>
            </w:r>
          </w:p>
        </w:tc>
        <w:tc>
          <w:tcPr>
            <w:tcW w:w="747" w:type="dxa"/>
            <w:shd w:val="clear" w:color="auto" w:fill="auto"/>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13.5% (Sutton)</w:t>
            </w:r>
          </w:p>
        </w:tc>
        <w:tc>
          <w:tcPr>
            <w:tcW w:w="1293" w:type="dxa"/>
            <w:shd w:val="clear" w:color="auto" w:fill="auto"/>
            <w:noWrap/>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8.2%</w:t>
            </w:r>
          </w:p>
        </w:tc>
        <w:tc>
          <w:tcPr>
            <w:tcW w:w="992" w:type="dxa"/>
            <w:shd w:val="clear" w:color="auto" w:fill="auto"/>
            <w:noWrap/>
            <w:vAlign w:val="bottom"/>
            <w:hideMark/>
          </w:tcPr>
          <w:p w:rsidR="00FB09D5" w:rsidRPr="002A56A8" w:rsidRDefault="00FB09D5" w:rsidP="00846C1D">
            <w:pPr>
              <w:spacing w:after="0" w:line="240" w:lineRule="auto"/>
              <w:rPr>
                <w:rFonts w:ascii="Calibri" w:eastAsia="Times New Roman" w:hAnsi="Calibri" w:cs="Times New Roman"/>
                <w:color w:val="000000"/>
                <w:lang w:eastAsia="en-GB"/>
              </w:rPr>
            </w:pPr>
            <w:r w:rsidRPr="002A56A8">
              <w:rPr>
                <w:rFonts w:ascii="Calibri" w:eastAsia="Times New Roman" w:hAnsi="Calibri" w:cs="Times New Roman"/>
                <w:color w:val="000000"/>
                <w:lang w:eastAsia="en-GB"/>
              </w:rPr>
              <w:t> </w:t>
            </w:r>
          </w:p>
        </w:tc>
        <w:tc>
          <w:tcPr>
            <w:tcW w:w="1134" w:type="dxa"/>
            <w:shd w:val="clear" w:color="auto" w:fill="auto"/>
            <w:noWrap/>
            <w:vAlign w:val="bottom"/>
            <w:hideMark/>
          </w:tcPr>
          <w:p w:rsidR="00FB09D5" w:rsidRPr="002A56A8" w:rsidRDefault="00FB09D5" w:rsidP="00846C1D">
            <w:pPr>
              <w:spacing w:after="0" w:line="240" w:lineRule="auto"/>
              <w:rPr>
                <w:rFonts w:ascii="Calibri" w:eastAsia="Times New Roman" w:hAnsi="Calibri" w:cs="Times New Roman"/>
                <w:color w:val="000000"/>
                <w:lang w:eastAsia="en-GB"/>
              </w:rPr>
            </w:pPr>
            <w:r w:rsidRPr="002A56A8">
              <w:rPr>
                <w:rFonts w:ascii="Calibri" w:eastAsia="Times New Roman" w:hAnsi="Calibri" w:cs="Times New Roman"/>
                <w:color w:val="000000"/>
                <w:lang w:eastAsia="en-GB"/>
              </w:rPr>
              <w:t> </w:t>
            </w:r>
          </w:p>
        </w:tc>
      </w:tr>
      <w:tr w:rsidR="00FB09D5" w:rsidRPr="002A56A8" w:rsidTr="00846C1D">
        <w:trPr>
          <w:trHeight w:val="299"/>
        </w:trPr>
        <w:tc>
          <w:tcPr>
            <w:tcW w:w="1900" w:type="dxa"/>
            <w:shd w:val="clear" w:color="auto" w:fill="auto"/>
            <w:vAlign w:val="bottom"/>
            <w:hideMark/>
          </w:tcPr>
          <w:p w:rsidR="00FB09D5" w:rsidRPr="002A56A8" w:rsidRDefault="00FB09D5" w:rsidP="00846C1D">
            <w:pPr>
              <w:spacing w:after="0" w:line="240" w:lineRule="auto"/>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65+ Population increase (2010-2030)</w:t>
            </w:r>
          </w:p>
        </w:tc>
        <w:tc>
          <w:tcPr>
            <w:tcW w:w="1361" w:type="dxa"/>
            <w:shd w:val="clear" w:color="auto" w:fill="auto"/>
            <w:noWrap/>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3.6%</w:t>
            </w:r>
          </w:p>
        </w:tc>
        <w:tc>
          <w:tcPr>
            <w:tcW w:w="1276" w:type="dxa"/>
            <w:shd w:val="clear" w:color="auto" w:fill="auto"/>
            <w:noWrap/>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3.0%</w:t>
            </w:r>
          </w:p>
        </w:tc>
        <w:tc>
          <w:tcPr>
            <w:tcW w:w="1263" w:type="dxa"/>
            <w:shd w:val="clear" w:color="auto" w:fill="auto"/>
            <w:noWrap/>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1.5%</w:t>
            </w:r>
          </w:p>
        </w:tc>
        <w:tc>
          <w:tcPr>
            <w:tcW w:w="808" w:type="dxa"/>
            <w:shd w:val="clear" w:color="auto" w:fill="auto"/>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3.1% (Merton)</w:t>
            </w:r>
          </w:p>
        </w:tc>
        <w:tc>
          <w:tcPr>
            <w:tcW w:w="747" w:type="dxa"/>
            <w:shd w:val="clear" w:color="auto" w:fill="auto"/>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3.9% (Sutton)</w:t>
            </w:r>
          </w:p>
        </w:tc>
        <w:tc>
          <w:tcPr>
            <w:tcW w:w="1293" w:type="dxa"/>
            <w:shd w:val="clear" w:color="auto" w:fill="auto"/>
            <w:noWrap/>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0.4%</w:t>
            </w:r>
          </w:p>
        </w:tc>
        <w:tc>
          <w:tcPr>
            <w:tcW w:w="992" w:type="dxa"/>
            <w:shd w:val="clear" w:color="auto" w:fill="auto"/>
            <w:noWrap/>
            <w:vAlign w:val="bottom"/>
            <w:hideMark/>
          </w:tcPr>
          <w:p w:rsidR="00FB09D5" w:rsidRPr="002A56A8" w:rsidRDefault="00FB09D5" w:rsidP="00846C1D">
            <w:pPr>
              <w:spacing w:after="0" w:line="240" w:lineRule="auto"/>
              <w:rPr>
                <w:rFonts w:ascii="Calibri" w:eastAsia="Times New Roman" w:hAnsi="Calibri" w:cs="Times New Roman"/>
                <w:color w:val="000000"/>
                <w:lang w:eastAsia="en-GB"/>
              </w:rPr>
            </w:pPr>
            <w:r w:rsidRPr="002A56A8">
              <w:rPr>
                <w:rFonts w:ascii="Calibri" w:eastAsia="Times New Roman" w:hAnsi="Calibri" w:cs="Times New Roman"/>
                <w:color w:val="000000"/>
                <w:lang w:eastAsia="en-GB"/>
              </w:rPr>
              <w:t> </w:t>
            </w:r>
          </w:p>
        </w:tc>
        <w:tc>
          <w:tcPr>
            <w:tcW w:w="1134" w:type="dxa"/>
            <w:shd w:val="clear" w:color="auto" w:fill="auto"/>
            <w:noWrap/>
            <w:vAlign w:val="bottom"/>
            <w:hideMark/>
          </w:tcPr>
          <w:p w:rsidR="00FB09D5" w:rsidRPr="002A56A8" w:rsidRDefault="00FB09D5" w:rsidP="00846C1D">
            <w:pPr>
              <w:spacing w:after="0" w:line="240" w:lineRule="auto"/>
              <w:rPr>
                <w:rFonts w:ascii="Calibri" w:eastAsia="Times New Roman" w:hAnsi="Calibri" w:cs="Times New Roman"/>
                <w:color w:val="000000"/>
                <w:lang w:eastAsia="en-GB"/>
              </w:rPr>
            </w:pPr>
            <w:r w:rsidRPr="002A56A8">
              <w:rPr>
                <w:rFonts w:ascii="Calibri" w:eastAsia="Times New Roman" w:hAnsi="Calibri" w:cs="Times New Roman"/>
                <w:color w:val="000000"/>
                <w:lang w:eastAsia="en-GB"/>
              </w:rPr>
              <w:t> </w:t>
            </w:r>
          </w:p>
        </w:tc>
      </w:tr>
      <w:tr w:rsidR="00FB09D5" w:rsidRPr="002A56A8" w:rsidTr="00846C1D">
        <w:trPr>
          <w:trHeight w:val="446"/>
        </w:trPr>
        <w:tc>
          <w:tcPr>
            <w:tcW w:w="1900" w:type="dxa"/>
            <w:shd w:val="clear" w:color="auto" w:fill="auto"/>
            <w:vAlign w:val="bottom"/>
            <w:hideMark/>
          </w:tcPr>
          <w:p w:rsidR="00FB09D5" w:rsidRPr="002A56A8" w:rsidRDefault="00FB09D5" w:rsidP="00846C1D">
            <w:pPr>
              <w:spacing w:after="0" w:line="240" w:lineRule="auto"/>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Estimated Moderate intensity sport &amp; active recreation</w:t>
            </w:r>
            <w:r>
              <w:rPr>
                <w:rFonts w:ascii="Calibri" w:eastAsia="Times New Roman" w:hAnsi="Calibri" w:cs="Times New Roman"/>
                <w:color w:val="000000"/>
                <w:sz w:val="16"/>
                <w:szCs w:val="16"/>
                <w:lang w:eastAsia="en-GB"/>
              </w:rPr>
              <w:t xml:space="preserve">  (2008-09)</w:t>
            </w:r>
          </w:p>
        </w:tc>
        <w:tc>
          <w:tcPr>
            <w:tcW w:w="1361" w:type="dxa"/>
            <w:shd w:val="clear" w:color="auto" w:fill="FF0000"/>
            <w:noWrap/>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17.8%</w:t>
            </w:r>
          </w:p>
        </w:tc>
        <w:tc>
          <w:tcPr>
            <w:tcW w:w="1276" w:type="dxa"/>
            <w:shd w:val="clear" w:color="auto" w:fill="auto"/>
            <w:noWrap/>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27.3%</w:t>
            </w:r>
          </w:p>
        </w:tc>
        <w:tc>
          <w:tcPr>
            <w:tcW w:w="1263" w:type="dxa"/>
            <w:shd w:val="clear" w:color="auto" w:fill="00B050"/>
            <w:noWrap/>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28.5%</w:t>
            </w:r>
          </w:p>
        </w:tc>
        <w:tc>
          <w:tcPr>
            <w:tcW w:w="808" w:type="dxa"/>
            <w:shd w:val="clear" w:color="auto" w:fill="auto"/>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22.7% (Merton)</w:t>
            </w:r>
          </w:p>
        </w:tc>
        <w:tc>
          <w:tcPr>
            <w:tcW w:w="747" w:type="dxa"/>
            <w:shd w:val="clear" w:color="auto" w:fill="auto"/>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21.1% (Sutton)</w:t>
            </w:r>
          </w:p>
        </w:tc>
        <w:tc>
          <w:tcPr>
            <w:tcW w:w="1293" w:type="dxa"/>
            <w:shd w:val="clear" w:color="auto" w:fill="auto"/>
            <w:noWrap/>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27.0%</w:t>
            </w:r>
          </w:p>
        </w:tc>
        <w:tc>
          <w:tcPr>
            <w:tcW w:w="992" w:type="dxa"/>
            <w:shd w:val="clear" w:color="auto" w:fill="00B050"/>
            <w:noWrap/>
            <w:vAlign w:val="center"/>
            <w:hideMark/>
          </w:tcPr>
          <w:p w:rsidR="00FB09D5" w:rsidRPr="007A13B0" w:rsidRDefault="00FB09D5" w:rsidP="00846C1D">
            <w:pPr>
              <w:spacing w:after="0" w:line="240" w:lineRule="auto"/>
              <w:jc w:val="center"/>
              <w:rPr>
                <w:rFonts w:ascii="Calibri" w:eastAsia="Times New Roman" w:hAnsi="Calibri" w:cs="Times New Roman"/>
                <w:color w:val="000000"/>
                <w:sz w:val="12"/>
                <w:szCs w:val="12"/>
                <w:lang w:eastAsia="en-GB"/>
              </w:rPr>
            </w:pPr>
            <w:r w:rsidRPr="007A13B0">
              <w:rPr>
                <w:rFonts w:ascii="Calibri" w:eastAsia="Times New Roman" w:hAnsi="Calibri" w:cs="Times New Roman"/>
                <w:color w:val="000000"/>
                <w:sz w:val="12"/>
                <w:szCs w:val="12"/>
                <w:lang w:eastAsia="en-GB"/>
              </w:rPr>
              <w:t>Lowest</w:t>
            </w:r>
          </w:p>
        </w:tc>
        <w:tc>
          <w:tcPr>
            <w:tcW w:w="1134" w:type="dxa"/>
            <w:shd w:val="clear" w:color="auto" w:fill="FF0000"/>
            <w:noWrap/>
            <w:vAlign w:val="center"/>
            <w:hideMark/>
          </w:tcPr>
          <w:p w:rsidR="00FB09D5" w:rsidRPr="007A13B0" w:rsidRDefault="00FB09D5" w:rsidP="00846C1D">
            <w:pPr>
              <w:spacing w:after="0" w:line="240" w:lineRule="auto"/>
              <w:jc w:val="center"/>
              <w:rPr>
                <w:rFonts w:ascii="Calibri" w:eastAsia="Times New Roman" w:hAnsi="Calibri" w:cs="Times New Roman"/>
                <w:color w:val="000000"/>
                <w:sz w:val="12"/>
                <w:szCs w:val="12"/>
                <w:lang w:eastAsia="en-GB"/>
              </w:rPr>
            </w:pPr>
            <w:r w:rsidRPr="007A13B0">
              <w:rPr>
                <w:rFonts w:ascii="Calibri" w:eastAsia="Times New Roman" w:hAnsi="Calibri" w:cs="Times New Roman"/>
                <w:color w:val="000000"/>
                <w:sz w:val="12"/>
                <w:szCs w:val="12"/>
                <w:lang w:eastAsia="en-GB"/>
              </w:rPr>
              <w:t>Highest</w:t>
            </w:r>
          </w:p>
        </w:tc>
      </w:tr>
      <w:tr w:rsidR="00FB09D5" w:rsidRPr="002A56A8" w:rsidTr="00846C1D">
        <w:trPr>
          <w:trHeight w:val="675"/>
        </w:trPr>
        <w:tc>
          <w:tcPr>
            <w:tcW w:w="1900" w:type="dxa"/>
            <w:shd w:val="clear" w:color="auto" w:fill="auto"/>
            <w:vAlign w:val="bottom"/>
            <w:hideMark/>
          </w:tcPr>
          <w:p w:rsidR="00FB09D5" w:rsidRPr="002A56A8" w:rsidRDefault="00FB09D5" w:rsidP="00846C1D">
            <w:pPr>
              <w:spacing w:after="0" w:line="240" w:lineRule="auto"/>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Bowel screening uptake</w:t>
            </w:r>
            <w:r>
              <w:rPr>
                <w:rFonts w:ascii="Calibri" w:eastAsia="Times New Roman" w:hAnsi="Calibri" w:cs="Times New Roman"/>
                <w:color w:val="000000"/>
                <w:sz w:val="16"/>
                <w:szCs w:val="16"/>
                <w:lang w:eastAsia="en-GB"/>
              </w:rPr>
              <w:t xml:space="preserve"> (up to June 2009)</w:t>
            </w:r>
          </w:p>
        </w:tc>
        <w:tc>
          <w:tcPr>
            <w:tcW w:w="1361" w:type="dxa"/>
            <w:shd w:val="clear" w:color="000000" w:fill="FF0000"/>
            <w:noWrap/>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44.5%</w:t>
            </w:r>
          </w:p>
        </w:tc>
        <w:tc>
          <w:tcPr>
            <w:tcW w:w="1276" w:type="dxa"/>
            <w:shd w:val="clear" w:color="000000" w:fill="FF0000"/>
            <w:noWrap/>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48.3%</w:t>
            </w:r>
          </w:p>
        </w:tc>
        <w:tc>
          <w:tcPr>
            <w:tcW w:w="1263" w:type="dxa"/>
            <w:shd w:val="clear" w:color="000000" w:fill="FF0000"/>
            <w:noWrap/>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49.1%</w:t>
            </w:r>
          </w:p>
        </w:tc>
        <w:tc>
          <w:tcPr>
            <w:tcW w:w="1555" w:type="dxa"/>
            <w:gridSpan w:val="2"/>
            <w:shd w:val="clear" w:color="000000" w:fill="FF0000"/>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46.3%</w:t>
            </w:r>
          </w:p>
        </w:tc>
        <w:tc>
          <w:tcPr>
            <w:tcW w:w="1293" w:type="dxa"/>
            <w:shd w:val="clear" w:color="000000" w:fill="FF0000"/>
            <w:noWrap/>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38.6%</w:t>
            </w:r>
          </w:p>
        </w:tc>
        <w:tc>
          <w:tcPr>
            <w:tcW w:w="992" w:type="dxa"/>
            <w:shd w:val="clear" w:color="auto" w:fill="auto"/>
            <w:noWrap/>
            <w:vAlign w:val="bottom"/>
            <w:hideMark/>
          </w:tcPr>
          <w:p w:rsidR="00FB09D5" w:rsidRPr="002A56A8" w:rsidRDefault="00FB09D5" w:rsidP="00846C1D">
            <w:pPr>
              <w:spacing w:after="0" w:line="240" w:lineRule="auto"/>
              <w:rPr>
                <w:rFonts w:ascii="Calibri" w:eastAsia="Times New Roman" w:hAnsi="Calibri" w:cs="Times New Roman"/>
                <w:color w:val="000000"/>
                <w:lang w:eastAsia="en-GB"/>
              </w:rPr>
            </w:pPr>
            <w:r w:rsidRPr="002A56A8">
              <w:rPr>
                <w:rFonts w:ascii="Calibri" w:eastAsia="Times New Roman" w:hAnsi="Calibri" w:cs="Times New Roman"/>
                <w:color w:val="000000"/>
                <w:lang w:eastAsia="en-GB"/>
              </w:rPr>
              <w:t> </w:t>
            </w:r>
          </w:p>
        </w:tc>
        <w:tc>
          <w:tcPr>
            <w:tcW w:w="1134" w:type="dxa"/>
            <w:shd w:val="clear" w:color="000000" w:fill="FF0000"/>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2"/>
                <w:szCs w:val="12"/>
                <w:lang w:eastAsia="en-GB"/>
              </w:rPr>
            </w:pPr>
            <w:r w:rsidRPr="002A56A8">
              <w:rPr>
                <w:rFonts w:ascii="Calibri" w:eastAsia="Times New Roman" w:hAnsi="Calibri" w:cs="Times New Roman"/>
                <w:color w:val="000000"/>
                <w:sz w:val="12"/>
                <w:szCs w:val="12"/>
                <w:lang w:eastAsia="en-GB"/>
              </w:rPr>
              <w:t>Below national target (60%) and national average (52.5%)</w:t>
            </w:r>
          </w:p>
        </w:tc>
      </w:tr>
      <w:tr w:rsidR="00FB09D5" w:rsidRPr="002A56A8" w:rsidTr="00846C1D">
        <w:trPr>
          <w:trHeight w:val="480"/>
        </w:trPr>
        <w:tc>
          <w:tcPr>
            <w:tcW w:w="1900" w:type="dxa"/>
            <w:shd w:val="clear" w:color="auto" w:fill="auto"/>
            <w:vAlign w:val="bottom"/>
            <w:hideMark/>
          </w:tcPr>
          <w:p w:rsidR="00FB09D5" w:rsidRPr="002A56A8" w:rsidRDefault="00FB09D5" w:rsidP="00846C1D">
            <w:pPr>
              <w:spacing w:after="0" w:line="240" w:lineRule="auto"/>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 xml:space="preserve">Male Under 75 Incidence </w:t>
            </w:r>
            <w:r>
              <w:rPr>
                <w:rFonts w:ascii="Calibri" w:eastAsia="Times New Roman" w:hAnsi="Calibri" w:cs="Times New Roman"/>
                <w:color w:val="000000"/>
                <w:sz w:val="16"/>
                <w:szCs w:val="16"/>
                <w:lang w:eastAsia="en-GB"/>
              </w:rPr>
              <w:t>(</w:t>
            </w:r>
            <w:r w:rsidRPr="002A56A8">
              <w:rPr>
                <w:rFonts w:ascii="Calibri" w:eastAsia="Times New Roman" w:hAnsi="Calibri" w:cs="Times New Roman"/>
                <w:color w:val="000000"/>
                <w:sz w:val="16"/>
                <w:szCs w:val="16"/>
                <w:lang w:eastAsia="en-GB"/>
              </w:rPr>
              <w:t>2004-06</w:t>
            </w:r>
            <w:r>
              <w:rPr>
                <w:rFonts w:ascii="Calibri" w:eastAsia="Times New Roman" w:hAnsi="Calibri" w:cs="Times New Roman"/>
                <w:color w:val="000000"/>
                <w:sz w:val="16"/>
                <w:szCs w:val="16"/>
                <w:lang w:eastAsia="en-GB"/>
              </w:rPr>
              <w:t>)</w:t>
            </w:r>
          </w:p>
        </w:tc>
        <w:tc>
          <w:tcPr>
            <w:tcW w:w="1361" w:type="dxa"/>
            <w:shd w:val="clear" w:color="auto" w:fill="auto"/>
            <w:noWrap/>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40.36</w:t>
            </w:r>
          </w:p>
        </w:tc>
        <w:tc>
          <w:tcPr>
            <w:tcW w:w="1276" w:type="dxa"/>
            <w:shd w:val="clear" w:color="auto" w:fill="auto"/>
            <w:noWrap/>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34.03</w:t>
            </w:r>
          </w:p>
        </w:tc>
        <w:tc>
          <w:tcPr>
            <w:tcW w:w="1263" w:type="dxa"/>
            <w:shd w:val="clear" w:color="auto" w:fill="auto"/>
            <w:noWrap/>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36.71</w:t>
            </w:r>
          </w:p>
        </w:tc>
        <w:tc>
          <w:tcPr>
            <w:tcW w:w="1555" w:type="dxa"/>
            <w:gridSpan w:val="2"/>
            <w:shd w:val="clear" w:color="auto" w:fill="auto"/>
            <w:noWrap/>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36.48</w:t>
            </w:r>
          </w:p>
        </w:tc>
        <w:tc>
          <w:tcPr>
            <w:tcW w:w="1293" w:type="dxa"/>
            <w:shd w:val="clear" w:color="auto" w:fill="auto"/>
            <w:noWrap/>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37.11</w:t>
            </w:r>
          </w:p>
        </w:tc>
        <w:tc>
          <w:tcPr>
            <w:tcW w:w="992" w:type="dxa"/>
            <w:shd w:val="clear" w:color="auto" w:fill="auto"/>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2"/>
                <w:szCs w:val="12"/>
                <w:lang w:eastAsia="en-GB"/>
              </w:rPr>
            </w:pPr>
            <w:r w:rsidRPr="002A56A8">
              <w:rPr>
                <w:rFonts w:ascii="Calibri" w:eastAsia="Times New Roman" w:hAnsi="Calibri" w:cs="Times New Roman"/>
                <w:color w:val="000000"/>
                <w:sz w:val="12"/>
                <w:szCs w:val="12"/>
                <w:lang w:eastAsia="en-GB"/>
              </w:rPr>
              <w:t> </w:t>
            </w:r>
          </w:p>
        </w:tc>
        <w:tc>
          <w:tcPr>
            <w:tcW w:w="1134" w:type="dxa"/>
            <w:shd w:val="clear" w:color="auto" w:fill="auto"/>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2"/>
                <w:szCs w:val="12"/>
                <w:lang w:eastAsia="en-GB"/>
              </w:rPr>
            </w:pPr>
            <w:r w:rsidRPr="002A56A8">
              <w:rPr>
                <w:rFonts w:ascii="Calibri" w:eastAsia="Times New Roman" w:hAnsi="Calibri" w:cs="Times New Roman"/>
                <w:color w:val="000000"/>
                <w:sz w:val="12"/>
                <w:szCs w:val="12"/>
                <w:lang w:eastAsia="en-GB"/>
              </w:rPr>
              <w:t> </w:t>
            </w:r>
          </w:p>
        </w:tc>
      </w:tr>
      <w:tr w:rsidR="00FB09D5" w:rsidRPr="002A56A8" w:rsidTr="00846C1D">
        <w:trPr>
          <w:trHeight w:val="255"/>
        </w:trPr>
        <w:tc>
          <w:tcPr>
            <w:tcW w:w="1900" w:type="dxa"/>
            <w:shd w:val="clear" w:color="auto" w:fill="auto"/>
            <w:vAlign w:val="bottom"/>
            <w:hideMark/>
          </w:tcPr>
          <w:p w:rsidR="00FB09D5" w:rsidRPr="002A56A8" w:rsidRDefault="00FB09D5" w:rsidP="00846C1D">
            <w:pPr>
              <w:spacing w:after="0" w:line="240" w:lineRule="auto"/>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 xml:space="preserve">Female Under 75 Incidence </w:t>
            </w:r>
            <w:r>
              <w:rPr>
                <w:rFonts w:ascii="Calibri" w:eastAsia="Times New Roman" w:hAnsi="Calibri" w:cs="Times New Roman"/>
                <w:color w:val="000000"/>
                <w:sz w:val="16"/>
                <w:szCs w:val="16"/>
                <w:lang w:eastAsia="en-GB"/>
              </w:rPr>
              <w:t>(</w:t>
            </w:r>
            <w:r w:rsidRPr="002A56A8">
              <w:rPr>
                <w:rFonts w:ascii="Calibri" w:eastAsia="Times New Roman" w:hAnsi="Calibri" w:cs="Times New Roman"/>
                <w:color w:val="000000"/>
                <w:sz w:val="16"/>
                <w:szCs w:val="16"/>
                <w:lang w:eastAsia="en-GB"/>
              </w:rPr>
              <w:t>2004-06</w:t>
            </w:r>
            <w:r>
              <w:rPr>
                <w:rFonts w:ascii="Calibri" w:eastAsia="Times New Roman" w:hAnsi="Calibri" w:cs="Times New Roman"/>
                <w:color w:val="000000"/>
                <w:sz w:val="16"/>
                <w:szCs w:val="16"/>
                <w:lang w:eastAsia="en-GB"/>
              </w:rPr>
              <w:t>)</w:t>
            </w:r>
          </w:p>
        </w:tc>
        <w:tc>
          <w:tcPr>
            <w:tcW w:w="1361" w:type="dxa"/>
            <w:shd w:val="clear" w:color="000000" w:fill="00B050"/>
            <w:noWrap/>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20.24</w:t>
            </w:r>
          </w:p>
        </w:tc>
        <w:tc>
          <w:tcPr>
            <w:tcW w:w="1276" w:type="dxa"/>
            <w:shd w:val="clear" w:color="auto" w:fill="auto"/>
            <w:noWrap/>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30.77</w:t>
            </w:r>
          </w:p>
        </w:tc>
        <w:tc>
          <w:tcPr>
            <w:tcW w:w="1263" w:type="dxa"/>
            <w:shd w:val="clear" w:color="auto" w:fill="auto"/>
            <w:noWrap/>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30.91</w:t>
            </w:r>
          </w:p>
        </w:tc>
        <w:tc>
          <w:tcPr>
            <w:tcW w:w="1555" w:type="dxa"/>
            <w:gridSpan w:val="2"/>
            <w:shd w:val="clear" w:color="auto" w:fill="auto"/>
            <w:noWrap/>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25.2</w:t>
            </w:r>
          </w:p>
        </w:tc>
        <w:tc>
          <w:tcPr>
            <w:tcW w:w="1293" w:type="dxa"/>
            <w:shd w:val="clear" w:color="auto" w:fill="auto"/>
            <w:noWrap/>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27.89</w:t>
            </w:r>
          </w:p>
        </w:tc>
        <w:tc>
          <w:tcPr>
            <w:tcW w:w="992" w:type="dxa"/>
            <w:shd w:val="clear" w:color="000000" w:fill="00B050"/>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2"/>
                <w:szCs w:val="12"/>
                <w:lang w:eastAsia="en-GB"/>
              </w:rPr>
            </w:pPr>
            <w:r w:rsidRPr="002A56A8">
              <w:rPr>
                <w:rFonts w:ascii="Calibri" w:eastAsia="Times New Roman" w:hAnsi="Calibri" w:cs="Times New Roman"/>
                <w:color w:val="000000"/>
                <w:sz w:val="12"/>
                <w:szCs w:val="12"/>
                <w:lang w:eastAsia="en-GB"/>
              </w:rPr>
              <w:t>Significantly lower national average</w:t>
            </w:r>
          </w:p>
        </w:tc>
        <w:tc>
          <w:tcPr>
            <w:tcW w:w="1134" w:type="dxa"/>
            <w:shd w:val="clear" w:color="auto" w:fill="auto"/>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2"/>
                <w:szCs w:val="12"/>
                <w:lang w:eastAsia="en-GB"/>
              </w:rPr>
            </w:pPr>
            <w:r w:rsidRPr="002A56A8">
              <w:rPr>
                <w:rFonts w:ascii="Calibri" w:eastAsia="Times New Roman" w:hAnsi="Calibri" w:cs="Times New Roman"/>
                <w:color w:val="000000"/>
                <w:sz w:val="12"/>
                <w:szCs w:val="12"/>
                <w:lang w:eastAsia="en-GB"/>
              </w:rPr>
              <w:t> </w:t>
            </w:r>
          </w:p>
        </w:tc>
      </w:tr>
      <w:tr w:rsidR="00FB09D5" w:rsidRPr="002A56A8" w:rsidTr="00846C1D">
        <w:trPr>
          <w:trHeight w:val="128"/>
        </w:trPr>
        <w:tc>
          <w:tcPr>
            <w:tcW w:w="1900" w:type="dxa"/>
            <w:shd w:val="clear" w:color="auto" w:fill="auto"/>
            <w:vAlign w:val="bottom"/>
            <w:hideMark/>
          </w:tcPr>
          <w:p w:rsidR="00FB09D5" w:rsidRPr="00D06FAA" w:rsidRDefault="00FB09D5" w:rsidP="00846C1D">
            <w:pPr>
              <w:spacing w:after="0" w:line="240" w:lineRule="auto"/>
              <w:rPr>
                <w:rFonts w:ascii="Calibri" w:eastAsia="Times New Roman" w:hAnsi="Calibri" w:cs="Times New Roman"/>
                <w:color w:val="000000"/>
                <w:sz w:val="16"/>
                <w:szCs w:val="16"/>
                <w:lang w:eastAsia="en-GB"/>
              </w:rPr>
            </w:pPr>
            <w:r w:rsidRPr="00D06FAA">
              <w:rPr>
                <w:rFonts w:ascii="Calibri" w:eastAsia="Times New Roman" w:hAnsi="Calibri" w:cs="Times New Roman"/>
                <w:color w:val="000000"/>
                <w:sz w:val="16"/>
                <w:szCs w:val="16"/>
                <w:lang w:eastAsia="en-GB"/>
              </w:rPr>
              <w:t>Male Staging (2003-07)</w:t>
            </w:r>
          </w:p>
        </w:tc>
        <w:tc>
          <w:tcPr>
            <w:tcW w:w="1361" w:type="dxa"/>
            <w:shd w:val="clear" w:color="auto" w:fill="auto"/>
            <w:noWrap/>
            <w:vAlign w:val="center"/>
            <w:hideMark/>
          </w:tcPr>
          <w:p w:rsidR="00FB09D5" w:rsidRPr="00A00017" w:rsidRDefault="00FB09D5" w:rsidP="00846C1D">
            <w:pPr>
              <w:spacing w:after="0" w:line="240" w:lineRule="auto"/>
              <w:jc w:val="center"/>
              <w:rPr>
                <w:rFonts w:ascii="Calibri" w:eastAsia="Times New Roman" w:hAnsi="Calibri" w:cs="Times New Roman"/>
                <w:color w:val="000000"/>
                <w:sz w:val="14"/>
                <w:szCs w:val="14"/>
                <w:lang w:eastAsia="en-GB"/>
              </w:rPr>
            </w:pPr>
            <w:r w:rsidRPr="00A00017">
              <w:rPr>
                <w:rFonts w:ascii="Calibri" w:eastAsia="Times New Roman" w:hAnsi="Calibri" w:cs="Times New Roman"/>
                <w:color w:val="000000"/>
                <w:sz w:val="14"/>
                <w:szCs w:val="14"/>
                <w:lang w:eastAsia="en-GB"/>
              </w:rPr>
              <w:t>Stage 1: 11.7% Stage 2: 13.7% Stage 4: 14.3%         NK:  48.6%</w:t>
            </w:r>
          </w:p>
        </w:tc>
        <w:tc>
          <w:tcPr>
            <w:tcW w:w="1276" w:type="dxa"/>
            <w:shd w:val="clear" w:color="auto" w:fill="auto"/>
            <w:noWrap/>
            <w:vAlign w:val="center"/>
            <w:hideMark/>
          </w:tcPr>
          <w:p w:rsidR="00FB09D5" w:rsidRPr="00A00017" w:rsidRDefault="00FB09D5" w:rsidP="00846C1D">
            <w:pPr>
              <w:spacing w:after="0" w:line="240" w:lineRule="auto"/>
              <w:jc w:val="center"/>
              <w:rPr>
                <w:rFonts w:ascii="Calibri" w:eastAsia="Times New Roman" w:hAnsi="Calibri" w:cs="Times New Roman"/>
                <w:color w:val="000000"/>
                <w:sz w:val="14"/>
                <w:szCs w:val="14"/>
                <w:lang w:eastAsia="en-GB"/>
              </w:rPr>
            </w:pPr>
            <w:r w:rsidRPr="00A00017">
              <w:rPr>
                <w:rFonts w:ascii="Calibri" w:eastAsia="Times New Roman" w:hAnsi="Calibri" w:cs="Times New Roman"/>
                <w:color w:val="000000"/>
                <w:sz w:val="14"/>
                <w:szCs w:val="14"/>
                <w:lang w:eastAsia="en-GB"/>
              </w:rPr>
              <w:t>Stage 1: 18.0% Stage 2: 23.7% Stage 4: 17.5% NK:  23.2%</w:t>
            </w:r>
          </w:p>
        </w:tc>
        <w:tc>
          <w:tcPr>
            <w:tcW w:w="1263" w:type="dxa"/>
            <w:shd w:val="clear" w:color="auto" w:fill="auto"/>
            <w:noWrap/>
            <w:vAlign w:val="center"/>
            <w:hideMark/>
          </w:tcPr>
          <w:p w:rsidR="00FB09D5" w:rsidRPr="00A00017" w:rsidRDefault="00FB09D5" w:rsidP="00846C1D">
            <w:pPr>
              <w:spacing w:after="0" w:line="240" w:lineRule="auto"/>
              <w:jc w:val="center"/>
              <w:rPr>
                <w:rFonts w:ascii="Calibri" w:eastAsia="Times New Roman" w:hAnsi="Calibri" w:cs="Times New Roman"/>
                <w:color w:val="000000"/>
                <w:sz w:val="14"/>
                <w:szCs w:val="14"/>
                <w:lang w:eastAsia="en-GB"/>
              </w:rPr>
            </w:pPr>
            <w:r w:rsidRPr="00A00017">
              <w:rPr>
                <w:rFonts w:ascii="Calibri" w:eastAsia="Times New Roman" w:hAnsi="Calibri" w:cs="Times New Roman"/>
                <w:color w:val="000000"/>
                <w:sz w:val="14"/>
                <w:szCs w:val="14"/>
                <w:lang w:eastAsia="en-GB"/>
              </w:rPr>
              <w:t>Stage 1: 11.7%                     Stage 2: 23.1% Stage 4: 25.1%                     NK:  22.7%</w:t>
            </w:r>
          </w:p>
        </w:tc>
        <w:tc>
          <w:tcPr>
            <w:tcW w:w="1555" w:type="dxa"/>
            <w:gridSpan w:val="2"/>
            <w:shd w:val="clear" w:color="auto" w:fill="auto"/>
            <w:noWrap/>
            <w:vAlign w:val="center"/>
            <w:hideMark/>
          </w:tcPr>
          <w:p w:rsidR="00FB09D5" w:rsidRPr="00A00017" w:rsidRDefault="00FB09D5" w:rsidP="00846C1D">
            <w:pPr>
              <w:spacing w:after="0" w:line="240" w:lineRule="auto"/>
              <w:jc w:val="center"/>
              <w:rPr>
                <w:rFonts w:ascii="Calibri" w:eastAsia="Times New Roman" w:hAnsi="Calibri" w:cs="Times New Roman"/>
                <w:color w:val="000000"/>
                <w:sz w:val="14"/>
                <w:szCs w:val="14"/>
                <w:lang w:eastAsia="en-GB"/>
              </w:rPr>
            </w:pPr>
            <w:r w:rsidRPr="00A00017">
              <w:rPr>
                <w:rFonts w:ascii="Calibri" w:eastAsia="Times New Roman" w:hAnsi="Calibri" w:cs="Times New Roman"/>
                <w:color w:val="000000"/>
                <w:sz w:val="14"/>
                <w:szCs w:val="14"/>
                <w:lang w:eastAsia="en-GB"/>
              </w:rPr>
              <w:t>Stage 1: 15.7%                          Stage 2: 16.9% Stage 4: 22.5%                           NK:  29.1%</w:t>
            </w:r>
          </w:p>
        </w:tc>
        <w:tc>
          <w:tcPr>
            <w:tcW w:w="1293" w:type="dxa"/>
            <w:shd w:val="clear" w:color="auto" w:fill="auto"/>
            <w:noWrap/>
            <w:vAlign w:val="center"/>
            <w:hideMark/>
          </w:tcPr>
          <w:p w:rsidR="00FB09D5" w:rsidRPr="00A00017" w:rsidRDefault="00FB09D5" w:rsidP="00846C1D">
            <w:pPr>
              <w:spacing w:after="0" w:line="240" w:lineRule="auto"/>
              <w:jc w:val="center"/>
              <w:rPr>
                <w:rFonts w:ascii="Calibri" w:eastAsia="Times New Roman" w:hAnsi="Calibri" w:cs="Times New Roman"/>
                <w:color w:val="000000"/>
                <w:sz w:val="14"/>
                <w:szCs w:val="14"/>
                <w:lang w:eastAsia="en-GB"/>
              </w:rPr>
            </w:pPr>
            <w:r w:rsidRPr="00A00017">
              <w:rPr>
                <w:rFonts w:ascii="Calibri" w:eastAsia="Times New Roman" w:hAnsi="Calibri" w:cs="Times New Roman"/>
                <w:color w:val="000000"/>
                <w:sz w:val="14"/>
                <w:szCs w:val="14"/>
                <w:lang w:eastAsia="en-GB"/>
              </w:rPr>
              <w:t>Stage 1: 17.5% Stage 2: 22.7% Stage 4: 18.6% NK:  20.1%</w:t>
            </w:r>
          </w:p>
        </w:tc>
        <w:tc>
          <w:tcPr>
            <w:tcW w:w="992" w:type="dxa"/>
            <w:shd w:val="clear" w:color="auto" w:fill="auto"/>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2"/>
                <w:szCs w:val="12"/>
                <w:lang w:eastAsia="en-GB"/>
              </w:rPr>
            </w:pPr>
          </w:p>
        </w:tc>
        <w:tc>
          <w:tcPr>
            <w:tcW w:w="1134" w:type="dxa"/>
            <w:shd w:val="clear" w:color="auto" w:fill="auto"/>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2"/>
                <w:szCs w:val="12"/>
                <w:lang w:eastAsia="en-GB"/>
              </w:rPr>
            </w:pPr>
          </w:p>
        </w:tc>
      </w:tr>
      <w:tr w:rsidR="00FB09D5" w:rsidRPr="002A56A8" w:rsidTr="00846C1D">
        <w:trPr>
          <w:trHeight w:val="127"/>
        </w:trPr>
        <w:tc>
          <w:tcPr>
            <w:tcW w:w="1900" w:type="dxa"/>
            <w:shd w:val="clear" w:color="auto" w:fill="auto"/>
            <w:vAlign w:val="bottom"/>
            <w:hideMark/>
          </w:tcPr>
          <w:p w:rsidR="00FB09D5" w:rsidRPr="00D06FAA" w:rsidRDefault="00FB09D5" w:rsidP="00846C1D">
            <w:pPr>
              <w:spacing w:after="0" w:line="240" w:lineRule="auto"/>
              <w:rPr>
                <w:rFonts w:ascii="Calibri" w:eastAsia="Times New Roman" w:hAnsi="Calibri" w:cs="Times New Roman"/>
                <w:color w:val="000000"/>
                <w:sz w:val="16"/>
                <w:szCs w:val="16"/>
                <w:lang w:eastAsia="en-GB"/>
              </w:rPr>
            </w:pPr>
            <w:r w:rsidRPr="00D06FAA">
              <w:rPr>
                <w:rFonts w:ascii="Calibri" w:eastAsia="Times New Roman" w:hAnsi="Calibri" w:cs="Times New Roman"/>
                <w:color w:val="000000"/>
                <w:sz w:val="16"/>
                <w:szCs w:val="16"/>
                <w:lang w:eastAsia="en-GB"/>
              </w:rPr>
              <w:t>Female Staging (2003-07)</w:t>
            </w:r>
          </w:p>
        </w:tc>
        <w:tc>
          <w:tcPr>
            <w:tcW w:w="1361" w:type="dxa"/>
            <w:shd w:val="clear" w:color="auto" w:fill="auto"/>
            <w:noWrap/>
            <w:vAlign w:val="center"/>
            <w:hideMark/>
          </w:tcPr>
          <w:p w:rsidR="00FB09D5" w:rsidRPr="00A00017" w:rsidRDefault="00FB09D5" w:rsidP="00846C1D">
            <w:pPr>
              <w:spacing w:after="0" w:line="240" w:lineRule="auto"/>
              <w:jc w:val="center"/>
              <w:rPr>
                <w:rFonts w:ascii="Calibri" w:eastAsia="Times New Roman" w:hAnsi="Calibri" w:cs="Times New Roman"/>
                <w:color w:val="000000"/>
                <w:sz w:val="14"/>
                <w:szCs w:val="14"/>
                <w:lang w:eastAsia="en-GB"/>
              </w:rPr>
            </w:pPr>
            <w:r w:rsidRPr="00A00017">
              <w:rPr>
                <w:rFonts w:ascii="Calibri" w:eastAsia="Times New Roman" w:hAnsi="Calibri" w:cs="Times New Roman"/>
                <w:color w:val="000000"/>
                <w:sz w:val="14"/>
                <w:szCs w:val="14"/>
                <w:lang w:eastAsia="en-GB"/>
              </w:rPr>
              <w:t>Stage 1: 10.9% Stage 2: 11.8% Stage 4: 17.3% NK:  49.1%</w:t>
            </w:r>
          </w:p>
        </w:tc>
        <w:tc>
          <w:tcPr>
            <w:tcW w:w="1276" w:type="dxa"/>
            <w:shd w:val="clear" w:color="auto" w:fill="auto"/>
            <w:noWrap/>
            <w:vAlign w:val="center"/>
            <w:hideMark/>
          </w:tcPr>
          <w:p w:rsidR="00FB09D5" w:rsidRPr="00A00017" w:rsidRDefault="00FB09D5" w:rsidP="00846C1D">
            <w:pPr>
              <w:spacing w:after="0" w:line="240" w:lineRule="auto"/>
              <w:jc w:val="center"/>
              <w:rPr>
                <w:rFonts w:ascii="Calibri" w:eastAsia="Times New Roman" w:hAnsi="Calibri" w:cs="Times New Roman"/>
                <w:color w:val="000000"/>
                <w:sz w:val="14"/>
                <w:szCs w:val="14"/>
                <w:lang w:eastAsia="en-GB"/>
              </w:rPr>
            </w:pPr>
            <w:r w:rsidRPr="00A00017">
              <w:rPr>
                <w:rFonts w:ascii="Calibri" w:eastAsia="Times New Roman" w:hAnsi="Calibri" w:cs="Times New Roman"/>
                <w:color w:val="000000"/>
                <w:sz w:val="14"/>
                <w:szCs w:val="14"/>
                <w:lang w:eastAsia="en-GB"/>
              </w:rPr>
              <w:t>Stage 1: 15.3% Stage 2: 21.1% Stage 4: 18.7% NK:  23.4%</w:t>
            </w:r>
          </w:p>
        </w:tc>
        <w:tc>
          <w:tcPr>
            <w:tcW w:w="1263" w:type="dxa"/>
            <w:shd w:val="clear" w:color="auto" w:fill="auto"/>
            <w:noWrap/>
            <w:vAlign w:val="center"/>
            <w:hideMark/>
          </w:tcPr>
          <w:p w:rsidR="00FB09D5" w:rsidRPr="00A00017" w:rsidRDefault="00FB09D5" w:rsidP="00846C1D">
            <w:pPr>
              <w:spacing w:after="0" w:line="240" w:lineRule="auto"/>
              <w:jc w:val="center"/>
              <w:rPr>
                <w:rFonts w:ascii="Calibri" w:eastAsia="Times New Roman" w:hAnsi="Calibri" w:cs="Times New Roman"/>
                <w:color w:val="000000"/>
                <w:sz w:val="14"/>
                <w:szCs w:val="14"/>
                <w:lang w:eastAsia="en-GB"/>
              </w:rPr>
            </w:pPr>
            <w:r w:rsidRPr="00A00017">
              <w:rPr>
                <w:rFonts w:ascii="Calibri" w:eastAsia="Times New Roman" w:hAnsi="Calibri" w:cs="Times New Roman"/>
                <w:color w:val="000000"/>
                <w:sz w:val="14"/>
                <w:szCs w:val="14"/>
                <w:lang w:eastAsia="en-GB"/>
              </w:rPr>
              <w:t>Stage 1: 19.5%                     Stage 2: 19.4% Stage 4: 22.0%                     NK:  17.5%</w:t>
            </w:r>
          </w:p>
        </w:tc>
        <w:tc>
          <w:tcPr>
            <w:tcW w:w="1555" w:type="dxa"/>
            <w:gridSpan w:val="2"/>
            <w:shd w:val="clear" w:color="auto" w:fill="auto"/>
            <w:noWrap/>
            <w:vAlign w:val="center"/>
            <w:hideMark/>
          </w:tcPr>
          <w:p w:rsidR="00FB09D5" w:rsidRPr="00A00017" w:rsidRDefault="00FB09D5" w:rsidP="00846C1D">
            <w:pPr>
              <w:spacing w:after="0" w:line="240" w:lineRule="auto"/>
              <w:jc w:val="center"/>
              <w:rPr>
                <w:rFonts w:ascii="Calibri" w:eastAsia="Times New Roman" w:hAnsi="Calibri" w:cs="Times New Roman"/>
                <w:color w:val="000000"/>
                <w:sz w:val="14"/>
                <w:szCs w:val="14"/>
                <w:lang w:eastAsia="en-GB"/>
              </w:rPr>
            </w:pPr>
            <w:r w:rsidRPr="00A00017">
              <w:rPr>
                <w:rFonts w:ascii="Calibri" w:eastAsia="Times New Roman" w:hAnsi="Calibri" w:cs="Times New Roman"/>
                <w:color w:val="000000"/>
                <w:sz w:val="14"/>
                <w:szCs w:val="14"/>
                <w:lang w:eastAsia="en-GB"/>
              </w:rPr>
              <w:t>Stage 1: 12.5%                          Stage 2: 18.0% Stage 4: 21.1%                           NK:  33.8%</w:t>
            </w:r>
          </w:p>
        </w:tc>
        <w:tc>
          <w:tcPr>
            <w:tcW w:w="1293" w:type="dxa"/>
            <w:shd w:val="clear" w:color="auto" w:fill="auto"/>
            <w:noWrap/>
            <w:vAlign w:val="center"/>
            <w:hideMark/>
          </w:tcPr>
          <w:p w:rsidR="00FB09D5" w:rsidRPr="00A00017" w:rsidRDefault="00FB09D5" w:rsidP="00846C1D">
            <w:pPr>
              <w:spacing w:after="0" w:line="240" w:lineRule="auto"/>
              <w:jc w:val="center"/>
              <w:rPr>
                <w:rFonts w:ascii="Calibri" w:eastAsia="Times New Roman" w:hAnsi="Calibri" w:cs="Times New Roman"/>
                <w:color w:val="000000"/>
                <w:sz w:val="14"/>
                <w:szCs w:val="14"/>
                <w:lang w:eastAsia="en-GB"/>
              </w:rPr>
            </w:pPr>
            <w:r w:rsidRPr="00A00017">
              <w:rPr>
                <w:rFonts w:ascii="Calibri" w:eastAsia="Times New Roman" w:hAnsi="Calibri" w:cs="Times New Roman"/>
                <w:color w:val="000000"/>
                <w:sz w:val="14"/>
                <w:szCs w:val="14"/>
                <w:lang w:eastAsia="en-GB"/>
              </w:rPr>
              <w:t>Stage 1: 18.1% Stage 2:15.8% Stage 4: 24.8% NK:  25.6%</w:t>
            </w:r>
          </w:p>
        </w:tc>
        <w:tc>
          <w:tcPr>
            <w:tcW w:w="992" w:type="dxa"/>
            <w:shd w:val="clear" w:color="auto" w:fill="auto"/>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2"/>
                <w:szCs w:val="12"/>
                <w:lang w:eastAsia="en-GB"/>
              </w:rPr>
            </w:pPr>
          </w:p>
        </w:tc>
        <w:tc>
          <w:tcPr>
            <w:tcW w:w="1134" w:type="dxa"/>
            <w:shd w:val="clear" w:color="auto" w:fill="auto"/>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2"/>
                <w:szCs w:val="12"/>
                <w:lang w:eastAsia="en-GB"/>
              </w:rPr>
            </w:pPr>
          </w:p>
        </w:tc>
      </w:tr>
      <w:tr w:rsidR="00FB09D5" w:rsidRPr="002A56A8" w:rsidTr="00846C1D">
        <w:trPr>
          <w:trHeight w:val="187"/>
        </w:trPr>
        <w:tc>
          <w:tcPr>
            <w:tcW w:w="1900" w:type="dxa"/>
            <w:shd w:val="clear" w:color="auto" w:fill="auto"/>
            <w:vAlign w:val="bottom"/>
            <w:hideMark/>
          </w:tcPr>
          <w:p w:rsidR="00FB09D5" w:rsidRPr="002A56A8" w:rsidRDefault="00FB09D5" w:rsidP="00846C1D">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w:t>
            </w:r>
            <w:r w:rsidRPr="002A56A8">
              <w:rPr>
                <w:rFonts w:ascii="Calibri" w:eastAsia="Times New Roman" w:hAnsi="Calibri" w:cs="Times New Roman"/>
                <w:color w:val="000000"/>
                <w:sz w:val="16"/>
                <w:szCs w:val="16"/>
                <w:lang w:eastAsia="en-GB"/>
              </w:rPr>
              <w:t>-year survival</w:t>
            </w:r>
            <w:r>
              <w:rPr>
                <w:rFonts w:ascii="Calibri" w:eastAsia="Times New Roman" w:hAnsi="Calibri" w:cs="Times New Roman"/>
                <w:color w:val="000000"/>
                <w:sz w:val="16"/>
                <w:szCs w:val="16"/>
                <w:lang w:eastAsia="en-GB"/>
              </w:rPr>
              <w:t xml:space="preserve"> (2002-07)</w:t>
            </w:r>
          </w:p>
        </w:tc>
        <w:tc>
          <w:tcPr>
            <w:tcW w:w="1361" w:type="dxa"/>
            <w:shd w:val="clear" w:color="auto" w:fill="00B050"/>
            <w:noWrap/>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74.5%</w:t>
            </w:r>
          </w:p>
        </w:tc>
        <w:tc>
          <w:tcPr>
            <w:tcW w:w="1276" w:type="dxa"/>
            <w:shd w:val="clear" w:color="auto" w:fill="auto"/>
            <w:noWrap/>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73.8%</w:t>
            </w:r>
          </w:p>
        </w:tc>
        <w:tc>
          <w:tcPr>
            <w:tcW w:w="1263" w:type="dxa"/>
            <w:shd w:val="clear" w:color="auto" w:fill="auto"/>
            <w:noWrap/>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73.3%</w:t>
            </w:r>
          </w:p>
        </w:tc>
        <w:tc>
          <w:tcPr>
            <w:tcW w:w="1555" w:type="dxa"/>
            <w:gridSpan w:val="2"/>
            <w:shd w:val="clear" w:color="auto" w:fill="auto"/>
            <w:noWrap/>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71.4%</w:t>
            </w:r>
          </w:p>
        </w:tc>
        <w:tc>
          <w:tcPr>
            <w:tcW w:w="1293" w:type="dxa"/>
            <w:shd w:val="clear" w:color="auto" w:fill="auto"/>
            <w:noWrap/>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72.5%</w:t>
            </w:r>
          </w:p>
        </w:tc>
        <w:tc>
          <w:tcPr>
            <w:tcW w:w="992" w:type="dxa"/>
            <w:shd w:val="clear" w:color="auto" w:fill="00B050"/>
            <w:vAlign w:val="center"/>
            <w:hideMark/>
          </w:tcPr>
          <w:p w:rsidR="00FB09D5" w:rsidRPr="001E6AAD" w:rsidRDefault="00FB09D5" w:rsidP="00846C1D">
            <w:pPr>
              <w:spacing w:after="0" w:line="240" w:lineRule="auto"/>
              <w:jc w:val="center"/>
              <w:rPr>
                <w:rFonts w:ascii="Calibri" w:eastAsia="Times New Roman" w:hAnsi="Calibri" w:cs="Times New Roman"/>
                <w:color w:val="000000"/>
                <w:lang w:eastAsia="en-GB"/>
              </w:rPr>
            </w:pPr>
            <w:r w:rsidRPr="007A13B0">
              <w:rPr>
                <w:rFonts w:ascii="Calibri" w:eastAsia="Times New Roman" w:hAnsi="Calibri" w:cs="Times New Roman"/>
                <w:color w:val="000000"/>
                <w:sz w:val="12"/>
                <w:szCs w:val="12"/>
                <w:lang w:eastAsia="en-GB"/>
              </w:rPr>
              <w:t>Highest</w:t>
            </w:r>
          </w:p>
        </w:tc>
        <w:tc>
          <w:tcPr>
            <w:tcW w:w="1134" w:type="dxa"/>
            <w:shd w:val="clear" w:color="auto" w:fill="FF0000"/>
            <w:vAlign w:val="center"/>
            <w:hideMark/>
          </w:tcPr>
          <w:p w:rsidR="00FB09D5" w:rsidRPr="001E6AAD" w:rsidRDefault="00FB09D5" w:rsidP="00846C1D">
            <w:pPr>
              <w:spacing w:after="0" w:line="240" w:lineRule="auto"/>
              <w:jc w:val="center"/>
              <w:rPr>
                <w:rFonts w:ascii="Calibri" w:eastAsia="Times New Roman" w:hAnsi="Calibri" w:cs="Times New Roman"/>
                <w:color w:val="000000"/>
                <w:sz w:val="12"/>
                <w:szCs w:val="12"/>
                <w:lang w:eastAsia="en-GB"/>
              </w:rPr>
            </w:pPr>
            <w:r w:rsidRPr="007A13B0">
              <w:rPr>
                <w:rFonts w:ascii="Calibri" w:eastAsia="Times New Roman" w:hAnsi="Calibri" w:cs="Times New Roman"/>
                <w:color w:val="000000"/>
                <w:sz w:val="12"/>
                <w:szCs w:val="12"/>
                <w:lang w:eastAsia="en-GB"/>
              </w:rPr>
              <w:t>Lowest</w:t>
            </w:r>
          </w:p>
        </w:tc>
      </w:tr>
      <w:tr w:rsidR="00FB09D5" w:rsidRPr="002A56A8" w:rsidTr="00846C1D">
        <w:trPr>
          <w:trHeight w:val="105"/>
        </w:trPr>
        <w:tc>
          <w:tcPr>
            <w:tcW w:w="1900" w:type="dxa"/>
            <w:shd w:val="clear" w:color="auto" w:fill="auto"/>
            <w:vAlign w:val="bottom"/>
            <w:hideMark/>
          </w:tcPr>
          <w:p w:rsidR="00FB09D5" w:rsidRPr="002A56A8" w:rsidRDefault="00FB09D5" w:rsidP="00846C1D">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5</w:t>
            </w:r>
            <w:r w:rsidRPr="002A56A8">
              <w:rPr>
                <w:rFonts w:ascii="Calibri" w:eastAsia="Times New Roman" w:hAnsi="Calibri" w:cs="Times New Roman"/>
                <w:color w:val="000000"/>
                <w:sz w:val="16"/>
                <w:szCs w:val="16"/>
                <w:lang w:eastAsia="en-GB"/>
              </w:rPr>
              <w:t>-year survival</w:t>
            </w:r>
            <w:r>
              <w:rPr>
                <w:rFonts w:ascii="Calibri" w:eastAsia="Times New Roman" w:hAnsi="Calibri" w:cs="Times New Roman"/>
                <w:color w:val="000000"/>
                <w:sz w:val="16"/>
                <w:szCs w:val="16"/>
                <w:lang w:eastAsia="en-GB"/>
              </w:rPr>
              <w:t xml:space="preserve"> (1998-02)</w:t>
            </w:r>
          </w:p>
        </w:tc>
        <w:tc>
          <w:tcPr>
            <w:tcW w:w="1361" w:type="dxa"/>
            <w:shd w:val="clear" w:color="auto" w:fill="auto"/>
            <w:noWrap/>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53.3%</w:t>
            </w:r>
          </w:p>
        </w:tc>
        <w:tc>
          <w:tcPr>
            <w:tcW w:w="1276" w:type="dxa"/>
            <w:shd w:val="clear" w:color="auto" w:fill="auto"/>
            <w:noWrap/>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52.1%</w:t>
            </w:r>
          </w:p>
        </w:tc>
        <w:tc>
          <w:tcPr>
            <w:tcW w:w="1263" w:type="dxa"/>
            <w:shd w:val="clear" w:color="auto" w:fill="auto"/>
            <w:noWrap/>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50.1%</w:t>
            </w:r>
          </w:p>
        </w:tc>
        <w:tc>
          <w:tcPr>
            <w:tcW w:w="1555" w:type="dxa"/>
            <w:gridSpan w:val="2"/>
            <w:shd w:val="clear" w:color="auto" w:fill="00B050"/>
            <w:noWrap/>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56.0%</w:t>
            </w:r>
          </w:p>
        </w:tc>
        <w:tc>
          <w:tcPr>
            <w:tcW w:w="1293" w:type="dxa"/>
            <w:shd w:val="clear" w:color="auto" w:fill="auto"/>
            <w:noWrap/>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44.0%</w:t>
            </w:r>
          </w:p>
        </w:tc>
        <w:tc>
          <w:tcPr>
            <w:tcW w:w="992" w:type="dxa"/>
            <w:shd w:val="clear" w:color="auto" w:fill="00B050"/>
            <w:noWrap/>
            <w:vAlign w:val="center"/>
            <w:hideMark/>
          </w:tcPr>
          <w:p w:rsidR="00FB09D5" w:rsidRPr="008F497D" w:rsidRDefault="00FB09D5" w:rsidP="00846C1D">
            <w:pPr>
              <w:spacing w:after="0" w:line="240" w:lineRule="auto"/>
              <w:jc w:val="center"/>
              <w:rPr>
                <w:rFonts w:ascii="Calibri" w:eastAsia="Times New Roman" w:hAnsi="Calibri" w:cs="Times New Roman"/>
                <w:color w:val="000000"/>
                <w:sz w:val="12"/>
                <w:szCs w:val="12"/>
                <w:lang w:eastAsia="en-GB"/>
              </w:rPr>
            </w:pPr>
            <w:r w:rsidRPr="007A13B0">
              <w:rPr>
                <w:rFonts w:ascii="Calibri" w:eastAsia="Times New Roman" w:hAnsi="Calibri" w:cs="Times New Roman"/>
                <w:color w:val="000000"/>
                <w:sz w:val="12"/>
                <w:szCs w:val="12"/>
                <w:lang w:eastAsia="en-GB"/>
              </w:rPr>
              <w:t>Highest</w:t>
            </w:r>
          </w:p>
        </w:tc>
        <w:tc>
          <w:tcPr>
            <w:tcW w:w="1134" w:type="dxa"/>
            <w:shd w:val="clear" w:color="auto" w:fill="FF0000"/>
            <w:noWrap/>
            <w:vAlign w:val="center"/>
            <w:hideMark/>
          </w:tcPr>
          <w:p w:rsidR="00FB09D5" w:rsidRPr="001E6AAD" w:rsidRDefault="00FB09D5" w:rsidP="00846C1D">
            <w:pPr>
              <w:spacing w:after="0" w:line="240" w:lineRule="auto"/>
              <w:jc w:val="center"/>
              <w:rPr>
                <w:rFonts w:ascii="Calibri" w:eastAsia="Times New Roman" w:hAnsi="Calibri" w:cs="Times New Roman"/>
                <w:color w:val="000000"/>
                <w:sz w:val="12"/>
                <w:szCs w:val="12"/>
                <w:lang w:eastAsia="en-GB"/>
              </w:rPr>
            </w:pPr>
            <w:r w:rsidRPr="007A13B0">
              <w:rPr>
                <w:rFonts w:ascii="Calibri" w:eastAsia="Times New Roman" w:hAnsi="Calibri" w:cs="Times New Roman"/>
                <w:color w:val="000000"/>
                <w:sz w:val="12"/>
                <w:szCs w:val="12"/>
                <w:lang w:eastAsia="en-GB"/>
              </w:rPr>
              <w:t>Lowest</w:t>
            </w:r>
          </w:p>
        </w:tc>
      </w:tr>
      <w:tr w:rsidR="00FB09D5" w:rsidRPr="002A56A8" w:rsidTr="00846C1D">
        <w:trPr>
          <w:trHeight w:val="321"/>
        </w:trPr>
        <w:tc>
          <w:tcPr>
            <w:tcW w:w="1900" w:type="dxa"/>
            <w:shd w:val="clear" w:color="auto" w:fill="auto"/>
            <w:vAlign w:val="bottom"/>
            <w:hideMark/>
          </w:tcPr>
          <w:p w:rsidR="00FB09D5" w:rsidRPr="002A56A8" w:rsidRDefault="00FB09D5" w:rsidP="00846C1D">
            <w:pPr>
              <w:spacing w:after="0" w:line="240" w:lineRule="auto"/>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 xml:space="preserve">Male Under 75 mortality </w:t>
            </w:r>
            <w:r>
              <w:rPr>
                <w:rFonts w:ascii="Calibri" w:eastAsia="Times New Roman" w:hAnsi="Calibri" w:cs="Times New Roman"/>
                <w:color w:val="000000"/>
                <w:sz w:val="16"/>
                <w:szCs w:val="16"/>
                <w:lang w:eastAsia="en-GB"/>
              </w:rPr>
              <w:t>(</w:t>
            </w:r>
            <w:r w:rsidRPr="002A56A8">
              <w:rPr>
                <w:rFonts w:ascii="Calibri" w:eastAsia="Times New Roman" w:hAnsi="Calibri" w:cs="Times New Roman"/>
                <w:color w:val="000000"/>
                <w:sz w:val="16"/>
                <w:szCs w:val="16"/>
                <w:lang w:eastAsia="en-GB"/>
              </w:rPr>
              <w:t>2006-08</w:t>
            </w:r>
            <w:r>
              <w:rPr>
                <w:rFonts w:ascii="Calibri" w:eastAsia="Times New Roman" w:hAnsi="Calibri" w:cs="Times New Roman"/>
                <w:color w:val="000000"/>
                <w:sz w:val="16"/>
                <w:szCs w:val="16"/>
                <w:lang w:eastAsia="en-GB"/>
              </w:rPr>
              <w:t>)</w:t>
            </w:r>
          </w:p>
        </w:tc>
        <w:tc>
          <w:tcPr>
            <w:tcW w:w="1361" w:type="dxa"/>
            <w:shd w:val="clear" w:color="auto" w:fill="auto"/>
            <w:noWrap/>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12.51</w:t>
            </w:r>
          </w:p>
        </w:tc>
        <w:tc>
          <w:tcPr>
            <w:tcW w:w="1276" w:type="dxa"/>
            <w:shd w:val="clear" w:color="auto" w:fill="auto"/>
            <w:noWrap/>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10.14</w:t>
            </w:r>
          </w:p>
        </w:tc>
        <w:tc>
          <w:tcPr>
            <w:tcW w:w="1263" w:type="dxa"/>
            <w:shd w:val="clear" w:color="auto" w:fill="auto"/>
            <w:noWrap/>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11.75</w:t>
            </w:r>
          </w:p>
        </w:tc>
        <w:tc>
          <w:tcPr>
            <w:tcW w:w="1555" w:type="dxa"/>
            <w:gridSpan w:val="2"/>
            <w:shd w:val="clear" w:color="auto" w:fill="auto"/>
            <w:noWrap/>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11.93</w:t>
            </w:r>
          </w:p>
        </w:tc>
        <w:tc>
          <w:tcPr>
            <w:tcW w:w="1293" w:type="dxa"/>
            <w:shd w:val="clear" w:color="auto" w:fill="auto"/>
            <w:noWrap/>
            <w:vAlign w:val="center"/>
            <w:hideMark/>
          </w:tcPr>
          <w:p w:rsidR="00FB09D5" w:rsidRPr="002A56A8" w:rsidRDefault="00FB09D5" w:rsidP="00846C1D">
            <w:pPr>
              <w:spacing w:after="0" w:line="240" w:lineRule="auto"/>
              <w:jc w:val="center"/>
              <w:rPr>
                <w:rFonts w:ascii="Calibri" w:eastAsia="Times New Roman" w:hAnsi="Calibri" w:cs="Times New Roman"/>
                <w:sz w:val="16"/>
                <w:szCs w:val="16"/>
                <w:lang w:eastAsia="en-GB"/>
              </w:rPr>
            </w:pPr>
            <w:r w:rsidRPr="002A56A8">
              <w:rPr>
                <w:rFonts w:ascii="Calibri" w:eastAsia="Times New Roman" w:hAnsi="Calibri" w:cs="Times New Roman"/>
                <w:sz w:val="16"/>
                <w:szCs w:val="16"/>
                <w:lang w:eastAsia="en-GB"/>
              </w:rPr>
              <w:t>13.57</w:t>
            </w:r>
          </w:p>
        </w:tc>
        <w:tc>
          <w:tcPr>
            <w:tcW w:w="992" w:type="dxa"/>
            <w:shd w:val="clear" w:color="auto" w:fill="auto"/>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2"/>
                <w:szCs w:val="12"/>
                <w:lang w:eastAsia="en-GB"/>
              </w:rPr>
            </w:pPr>
            <w:r w:rsidRPr="002A56A8">
              <w:rPr>
                <w:rFonts w:ascii="Calibri" w:eastAsia="Times New Roman" w:hAnsi="Calibri" w:cs="Times New Roman"/>
                <w:color w:val="000000"/>
                <w:sz w:val="12"/>
                <w:szCs w:val="12"/>
                <w:lang w:eastAsia="en-GB"/>
              </w:rPr>
              <w:t> </w:t>
            </w:r>
          </w:p>
        </w:tc>
        <w:tc>
          <w:tcPr>
            <w:tcW w:w="1134" w:type="dxa"/>
            <w:shd w:val="clear" w:color="auto" w:fill="auto"/>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2"/>
                <w:szCs w:val="12"/>
                <w:lang w:eastAsia="en-GB"/>
              </w:rPr>
            </w:pPr>
            <w:r w:rsidRPr="002A56A8">
              <w:rPr>
                <w:rFonts w:ascii="Calibri" w:eastAsia="Times New Roman" w:hAnsi="Calibri" w:cs="Times New Roman"/>
                <w:color w:val="000000"/>
                <w:sz w:val="12"/>
                <w:szCs w:val="12"/>
                <w:lang w:eastAsia="en-GB"/>
              </w:rPr>
              <w:t> </w:t>
            </w:r>
          </w:p>
        </w:tc>
      </w:tr>
      <w:tr w:rsidR="00FB09D5" w:rsidRPr="002A56A8" w:rsidTr="00846C1D">
        <w:trPr>
          <w:trHeight w:val="341"/>
        </w:trPr>
        <w:tc>
          <w:tcPr>
            <w:tcW w:w="1900" w:type="dxa"/>
            <w:shd w:val="clear" w:color="auto" w:fill="auto"/>
            <w:vAlign w:val="bottom"/>
            <w:hideMark/>
          </w:tcPr>
          <w:p w:rsidR="00FB09D5" w:rsidRPr="002A56A8" w:rsidRDefault="00FB09D5" w:rsidP="00846C1D">
            <w:pPr>
              <w:spacing w:after="0" w:line="240" w:lineRule="auto"/>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 xml:space="preserve">Female Under 75 mortality </w:t>
            </w:r>
            <w:r>
              <w:rPr>
                <w:rFonts w:ascii="Calibri" w:eastAsia="Times New Roman" w:hAnsi="Calibri" w:cs="Times New Roman"/>
                <w:color w:val="000000"/>
                <w:sz w:val="16"/>
                <w:szCs w:val="16"/>
                <w:lang w:eastAsia="en-GB"/>
              </w:rPr>
              <w:t>(</w:t>
            </w:r>
            <w:r w:rsidRPr="002A56A8">
              <w:rPr>
                <w:rFonts w:ascii="Calibri" w:eastAsia="Times New Roman" w:hAnsi="Calibri" w:cs="Times New Roman"/>
                <w:color w:val="000000"/>
                <w:sz w:val="16"/>
                <w:szCs w:val="16"/>
                <w:lang w:eastAsia="en-GB"/>
              </w:rPr>
              <w:t xml:space="preserve">2006-08 </w:t>
            </w:r>
            <w:r>
              <w:rPr>
                <w:rFonts w:ascii="Calibri" w:eastAsia="Times New Roman" w:hAnsi="Calibri" w:cs="Times New Roman"/>
                <w:color w:val="000000"/>
                <w:sz w:val="16"/>
                <w:szCs w:val="16"/>
                <w:lang w:eastAsia="en-GB"/>
              </w:rPr>
              <w:t>)</w:t>
            </w:r>
          </w:p>
        </w:tc>
        <w:tc>
          <w:tcPr>
            <w:tcW w:w="1361" w:type="dxa"/>
            <w:shd w:val="clear" w:color="auto" w:fill="auto"/>
            <w:noWrap/>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8.19</w:t>
            </w:r>
          </w:p>
        </w:tc>
        <w:tc>
          <w:tcPr>
            <w:tcW w:w="1276" w:type="dxa"/>
            <w:shd w:val="clear" w:color="auto" w:fill="auto"/>
            <w:noWrap/>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6.60</w:t>
            </w:r>
          </w:p>
        </w:tc>
        <w:tc>
          <w:tcPr>
            <w:tcW w:w="1263" w:type="dxa"/>
            <w:shd w:val="clear" w:color="auto" w:fill="auto"/>
            <w:noWrap/>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8.25</w:t>
            </w:r>
          </w:p>
        </w:tc>
        <w:tc>
          <w:tcPr>
            <w:tcW w:w="1555" w:type="dxa"/>
            <w:gridSpan w:val="2"/>
            <w:shd w:val="clear" w:color="auto" w:fill="auto"/>
            <w:noWrap/>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8.54</w:t>
            </w:r>
          </w:p>
        </w:tc>
        <w:tc>
          <w:tcPr>
            <w:tcW w:w="1293" w:type="dxa"/>
            <w:shd w:val="clear" w:color="auto" w:fill="auto"/>
            <w:noWrap/>
            <w:vAlign w:val="center"/>
            <w:hideMark/>
          </w:tcPr>
          <w:p w:rsidR="00FB09D5" w:rsidRPr="002A56A8" w:rsidRDefault="00FB09D5" w:rsidP="00846C1D">
            <w:pPr>
              <w:spacing w:after="0" w:line="240" w:lineRule="auto"/>
              <w:jc w:val="center"/>
              <w:rPr>
                <w:rFonts w:ascii="Calibri" w:eastAsia="Times New Roman" w:hAnsi="Calibri" w:cs="Times New Roman"/>
                <w:sz w:val="16"/>
                <w:szCs w:val="16"/>
                <w:lang w:eastAsia="en-GB"/>
              </w:rPr>
            </w:pPr>
            <w:r w:rsidRPr="002A56A8">
              <w:rPr>
                <w:rFonts w:ascii="Calibri" w:eastAsia="Times New Roman" w:hAnsi="Calibri" w:cs="Times New Roman"/>
                <w:sz w:val="16"/>
                <w:szCs w:val="16"/>
                <w:lang w:eastAsia="en-GB"/>
              </w:rPr>
              <w:t>9.42</w:t>
            </w:r>
          </w:p>
        </w:tc>
        <w:tc>
          <w:tcPr>
            <w:tcW w:w="992" w:type="dxa"/>
            <w:shd w:val="clear" w:color="auto" w:fill="auto"/>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2"/>
                <w:szCs w:val="12"/>
                <w:lang w:eastAsia="en-GB"/>
              </w:rPr>
            </w:pPr>
            <w:r w:rsidRPr="002A56A8">
              <w:rPr>
                <w:rFonts w:ascii="Calibri" w:eastAsia="Times New Roman" w:hAnsi="Calibri" w:cs="Times New Roman"/>
                <w:color w:val="000000"/>
                <w:sz w:val="12"/>
                <w:szCs w:val="12"/>
                <w:lang w:eastAsia="en-GB"/>
              </w:rPr>
              <w:t> </w:t>
            </w:r>
          </w:p>
        </w:tc>
        <w:tc>
          <w:tcPr>
            <w:tcW w:w="1134" w:type="dxa"/>
            <w:shd w:val="clear" w:color="auto" w:fill="auto"/>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2"/>
                <w:szCs w:val="12"/>
                <w:lang w:eastAsia="en-GB"/>
              </w:rPr>
            </w:pPr>
            <w:r w:rsidRPr="002A56A8">
              <w:rPr>
                <w:rFonts w:ascii="Calibri" w:eastAsia="Times New Roman" w:hAnsi="Calibri" w:cs="Times New Roman"/>
                <w:color w:val="000000"/>
                <w:sz w:val="12"/>
                <w:szCs w:val="12"/>
                <w:lang w:eastAsia="en-GB"/>
              </w:rPr>
              <w:t> </w:t>
            </w:r>
          </w:p>
        </w:tc>
      </w:tr>
      <w:tr w:rsidR="00FB09D5" w:rsidRPr="002A56A8" w:rsidTr="00846C1D">
        <w:trPr>
          <w:trHeight w:val="347"/>
        </w:trPr>
        <w:tc>
          <w:tcPr>
            <w:tcW w:w="1900" w:type="dxa"/>
            <w:shd w:val="clear" w:color="auto" w:fill="auto"/>
            <w:vAlign w:val="bottom"/>
            <w:hideMark/>
          </w:tcPr>
          <w:p w:rsidR="00FB09D5" w:rsidRPr="002A56A8" w:rsidRDefault="00FB09D5" w:rsidP="00846C1D">
            <w:pPr>
              <w:spacing w:after="0" w:line="240" w:lineRule="auto"/>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 xml:space="preserve">Male % Decrease U75 mortality </w:t>
            </w:r>
            <w:r>
              <w:rPr>
                <w:rFonts w:ascii="Calibri" w:eastAsia="Times New Roman" w:hAnsi="Calibri" w:cs="Times New Roman"/>
                <w:color w:val="000000"/>
                <w:sz w:val="16"/>
                <w:szCs w:val="16"/>
                <w:lang w:eastAsia="en-GB"/>
              </w:rPr>
              <w:t>(</w:t>
            </w:r>
            <w:r w:rsidRPr="002A56A8">
              <w:rPr>
                <w:rFonts w:ascii="Calibri" w:eastAsia="Times New Roman" w:hAnsi="Calibri" w:cs="Times New Roman"/>
                <w:color w:val="000000"/>
                <w:sz w:val="16"/>
                <w:szCs w:val="16"/>
                <w:lang w:eastAsia="en-GB"/>
              </w:rPr>
              <w:t>1995-2008</w:t>
            </w:r>
            <w:r>
              <w:rPr>
                <w:rFonts w:ascii="Calibri" w:eastAsia="Times New Roman" w:hAnsi="Calibri" w:cs="Times New Roman"/>
                <w:color w:val="000000"/>
                <w:sz w:val="16"/>
                <w:szCs w:val="16"/>
                <w:lang w:eastAsia="en-GB"/>
              </w:rPr>
              <w:t>)</w:t>
            </w:r>
          </w:p>
        </w:tc>
        <w:tc>
          <w:tcPr>
            <w:tcW w:w="1361" w:type="dxa"/>
            <w:shd w:val="clear" w:color="auto" w:fill="auto"/>
            <w:noWrap/>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19.2%</w:t>
            </w:r>
          </w:p>
        </w:tc>
        <w:tc>
          <w:tcPr>
            <w:tcW w:w="1276" w:type="dxa"/>
            <w:shd w:val="clear" w:color="auto" w:fill="FF0000"/>
            <w:noWrap/>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13.8%</w:t>
            </w:r>
          </w:p>
        </w:tc>
        <w:tc>
          <w:tcPr>
            <w:tcW w:w="1263" w:type="dxa"/>
            <w:shd w:val="clear" w:color="auto" w:fill="00B050"/>
            <w:noWrap/>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29.4%</w:t>
            </w:r>
          </w:p>
        </w:tc>
        <w:tc>
          <w:tcPr>
            <w:tcW w:w="1555" w:type="dxa"/>
            <w:gridSpan w:val="2"/>
            <w:shd w:val="clear" w:color="auto" w:fill="auto"/>
            <w:noWrap/>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26.6%</w:t>
            </w:r>
          </w:p>
        </w:tc>
        <w:tc>
          <w:tcPr>
            <w:tcW w:w="1293" w:type="dxa"/>
            <w:shd w:val="clear" w:color="auto" w:fill="auto"/>
            <w:noWrap/>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20.1%</w:t>
            </w:r>
          </w:p>
        </w:tc>
        <w:tc>
          <w:tcPr>
            <w:tcW w:w="992" w:type="dxa"/>
            <w:shd w:val="clear" w:color="auto" w:fill="00B050"/>
            <w:noWrap/>
            <w:vAlign w:val="center"/>
            <w:hideMark/>
          </w:tcPr>
          <w:p w:rsidR="00FB09D5" w:rsidRPr="001E6AAD" w:rsidRDefault="00FB09D5" w:rsidP="00846C1D">
            <w:pPr>
              <w:spacing w:after="0" w:line="240" w:lineRule="auto"/>
              <w:jc w:val="center"/>
              <w:rPr>
                <w:rFonts w:ascii="Calibri" w:eastAsia="Times New Roman" w:hAnsi="Calibri" w:cs="Times New Roman"/>
                <w:color w:val="000000"/>
                <w:lang w:eastAsia="en-GB"/>
              </w:rPr>
            </w:pPr>
            <w:r w:rsidRPr="007A13B0">
              <w:rPr>
                <w:rFonts w:ascii="Calibri" w:eastAsia="Times New Roman" w:hAnsi="Calibri" w:cs="Times New Roman"/>
                <w:color w:val="000000"/>
                <w:sz w:val="12"/>
                <w:szCs w:val="12"/>
                <w:lang w:eastAsia="en-GB"/>
              </w:rPr>
              <w:t>Highest</w:t>
            </w:r>
            <w:r>
              <w:rPr>
                <w:rFonts w:ascii="Calibri" w:eastAsia="Times New Roman" w:hAnsi="Calibri" w:cs="Times New Roman"/>
                <w:color w:val="000000"/>
                <w:sz w:val="12"/>
                <w:szCs w:val="12"/>
                <w:lang w:eastAsia="en-GB"/>
              </w:rPr>
              <w:t xml:space="preserve"> decrease</w:t>
            </w:r>
          </w:p>
        </w:tc>
        <w:tc>
          <w:tcPr>
            <w:tcW w:w="1134" w:type="dxa"/>
            <w:shd w:val="clear" w:color="auto" w:fill="FF0000"/>
            <w:noWrap/>
            <w:vAlign w:val="center"/>
            <w:hideMark/>
          </w:tcPr>
          <w:p w:rsidR="00FB09D5" w:rsidRPr="001E6AAD" w:rsidRDefault="00FB09D5" w:rsidP="00846C1D">
            <w:pPr>
              <w:spacing w:after="0" w:line="240" w:lineRule="auto"/>
              <w:jc w:val="center"/>
              <w:rPr>
                <w:rFonts w:ascii="Calibri" w:eastAsia="Times New Roman" w:hAnsi="Calibri" w:cs="Times New Roman"/>
                <w:color w:val="000000"/>
                <w:lang w:eastAsia="en-GB"/>
              </w:rPr>
            </w:pPr>
            <w:r w:rsidRPr="007A13B0">
              <w:rPr>
                <w:rFonts w:ascii="Calibri" w:eastAsia="Times New Roman" w:hAnsi="Calibri" w:cs="Times New Roman"/>
                <w:color w:val="000000"/>
                <w:sz w:val="12"/>
                <w:szCs w:val="12"/>
                <w:lang w:eastAsia="en-GB"/>
              </w:rPr>
              <w:t>Lowest</w:t>
            </w:r>
            <w:r>
              <w:rPr>
                <w:rFonts w:ascii="Calibri" w:eastAsia="Times New Roman" w:hAnsi="Calibri" w:cs="Times New Roman"/>
                <w:color w:val="000000"/>
                <w:sz w:val="12"/>
                <w:szCs w:val="12"/>
                <w:lang w:eastAsia="en-GB"/>
              </w:rPr>
              <w:t xml:space="preserve"> decrease</w:t>
            </w:r>
          </w:p>
        </w:tc>
      </w:tr>
      <w:tr w:rsidR="00FB09D5" w:rsidRPr="002A56A8" w:rsidTr="00846C1D">
        <w:trPr>
          <w:trHeight w:val="480"/>
        </w:trPr>
        <w:tc>
          <w:tcPr>
            <w:tcW w:w="1900" w:type="dxa"/>
            <w:shd w:val="clear" w:color="auto" w:fill="auto"/>
            <w:vAlign w:val="bottom"/>
            <w:hideMark/>
          </w:tcPr>
          <w:p w:rsidR="00FB09D5" w:rsidRPr="002A56A8" w:rsidRDefault="00FB09D5" w:rsidP="00846C1D">
            <w:pPr>
              <w:spacing w:after="0" w:line="240" w:lineRule="auto"/>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 xml:space="preserve">Female % Decrease </w:t>
            </w:r>
            <w:r>
              <w:rPr>
                <w:rFonts w:ascii="Calibri" w:eastAsia="Times New Roman" w:hAnsi="Calibri" w:cs="Times New Roman"/>
                <w:color w:val="000000"/>
                <w:sz w:val="16"/>
                <w:szCs w:val="16"/>
                <w:lang w:eastAsia="en-GB"/>
              </w:rPr>
              <w:t xml:space="preserve">All age </w:t>
            </w:r>
            <w:r w:rsidRPr="002A56A8">
              <w:rPr>
                <w:rFonts w:ascii="Calibri" w:eastAsia="Times New Roman" w:hAnsi="Calibri" w:cs="Times New Roman"/>
                <w:color w:val="000000"/>
                <w:sz w:val="16"/>
                <w:szCs w:val="16"/>
                <w:lang w:eastAsia="en-GB"/>
              </w:rPr>
              <w:t xml:space="preserve">mortality </w:t>
            </w:r>
            <w:r>
              <w:rPr>
                <w:rFonts w:ascii="Calibri" w:eastAsia="Times New Roman" w:hAnsi="Calibri" w:cs="Times New Roman"/>
                <w:color w:val="000000"/>
                <w:sz w:val="16"/>
                <w:szCs w:val="16"/>
                <w:lang w:eastAsia="en-GB"/>
              </w:rPr>
              <w:t>(</w:t>
            </w:r>
            <w:r w:rsidRPr="002A56A8">
              <w:rPr>
                <w:rFonts w:ascii="Calibri" w:eastAsia="Times New Roman" w:hAnsi="Calibri" w:cs="Times New Roman"/>
                <w:color w:val="000000"/>
                <w:sz w:val="16"/>
                <w:szCs w:val="16"/>
                <w:lang w:eastAsia="en-GB"/>
              </w:rPr>
              <w:t>1995-2008</w:t>
            </w:r>
            <w:r>
              <w:rPr>
                <w:rFonts w:ascii="Calibri" w:eastAsia="Times New Roman" w:hAnsi="Calibri" w:cs="Times New Roman"/>
                <w:color w:val="000000"/>
                <w:sz w:val="16"/>
                <w:szCs w:val="16"/>
                <w:lang w:eastAsia="en-GB"/>
              </w:rPr>
              <w:t>)</w:t>
            </w:r>
          </w:p>
        </w:tc>
        <w:tc>
          <w:tcPr>
            <w:tcW w:w="1361" w:type="dxa"/>
            <w:shd w:val="clear" w:color="auto" w:fill="auto"/>
            <w:noWrap/>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27.2%</w:t>
            </w:r>
          </w:p>
        </w:tc>
        <w:tc>
          <w:tcPr>
            <w:tcW w:w="1276" w:type="dxa"/>
            <w:shd w:val="clear" w:color="auto" w:fill="00B050"/>
            <w:noWrap/>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32.0%</w:t>
            </w:r>
          </w:p>
        </w:tc>
        <w:tc>
          <w:tcPr>
            <w:tcW w:w="1263" w:type="dxa"/>
            <w:shd w:val="clear" w:color="000000" w:fill="FF0000"/>
            <w:noWrap/>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19.5%</w:t>
            </w:r>
          </w:p>
        </w:tc>
        <w:tc>
          <w:tcPr>
            <w:tcW w:w="1555" w:type="dxa"/>
            <w:gridSpan w:val="2"/>
            <w:shd w:val="clear" w:color="auto" w:fill="auto"/>
            <w:noWrap/>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14.3%</w:t>
            </w:r>
          </w:p>
        </w:tc>
        <w:tc>
          <w:tcPr>
            <w:tcW w:w="1293" w:type="dxa"/>
            <w:shd w:val="clear" w:color="auto" w:fill="auto"/>
            <w:noWrap/>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23.9%</w:t>
            </w:r>
          </w:p>
        </w:tc>
        <w:tc>
          <w:tcPr>
            <w:tcW w:w="992" w:type="dxa"/>
            <w:shd w:val="clear" w:color="auto" w:fill="00B050"/>
            <w:noWrap/>
            <w:vAlign w:val="center"/>
            <w:hideMark/>
          </w:tcPr>
          <w:p w:rsidR="00FB09D5" w:rsidRPr="002A56A8" w:rsidRDefault="00FB09D5" w:rsidP="00846C1D">
            <w:pPr>
              <w:spacing w:after="0" w:line="240" w:lineRule="auto"/>
              <w:jc w:val="center"/>
              <w:rPr>
                <w:rFonts w:ascii="Calibri" w:eastAsia="Times New Roman" w:hAnsi="Calibri" w:cs="Times New Roman"/>
                <w:color w:val="000000"/>
                <w:lang w:eastAsia="en-GB"/>
              </w:rPr>
            </w:pPr>
            <w:r w:rsidRPr="007A13B0">
              <w:rPr>
                <w:rFonts w:ascii="Calibri" w:eastAsia="Times New Roman" w:hAnsi="Calibri" w:cs="Times New Roman"/>
                <w:color w:val="000000"/>
                <w:sz w:val="12"/>
                <w:szCs w:val="12"/>
                <w:lang w:eastAsia="en-GB"/>
              </w:rPr>
              <w:t>Highest</w:t>
            </w:r>
            <w:r>
              <w:rPr>
                <w:rFonts w:ascii="Calibri" w:eastAsia="Times New Roman" w:hAnsi="Calibri" w:cs="Times New Roman"/>
                <w:color w:val="000000"/>
                <w:sz w:val="12"/>
                <w:szCs w:val="12"/>
                <w:lang w:eastAsia="en-GB"/>
              </w:rPr>
              <w:t xml:space="preserve"> decrease</w:t>
            </w:r>
          </w:p>
        </w:tc>
        <w:tc>
          <w:tcPr>
            <w:tcW w:w="1134" w:type="dxa"/>
            <w:shd w:val="clear" w:color="000000" w:fill="FF0000"/>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2"/>
                <w:szCs w:val="12"/>
                <w:lang w:eastAsia="en-GB"/>
              </w:rPr>
            </w:pPr>
            <w:r w:rsidRPr="007A13B0">
              <w:rPr>
                <w:rFonts w:ascii="Calibri" w:eastAsia="Times New Roman" w:hAnsi="Calibri" w:cs="Times New Roman"/>
                <w:color w:val="000000"/>
                <w:sz w:val="12"/>
                <w:szCs w:val="12"/>
                <w:lang w:eastAsia="en-GB"/>
              </w:rPr>
              <w:t>Lowest</w:t>
            </w:r>
            <w:r>
              <w:rPr>
                <w:rFonts w:ascii="Calibri" w:eastAsia="Times New Roman" w:hAnsi="Calibri" w:cs="Times New Roman"/>
                <w:color w:val="000000"/>
                <w:sz w:val="12"/>
                <w:szCs w:val="12"/>
                <w:lang w:eastAsia="en-GB"/>
              </w:rPr>
              <w:t xml:space="preserve"> decrease</w:t>
            </w:r>
          </w:p>
        </w:tc>
      </w:tr>
      <w:tr w:rsidR="00FB09D5" w:rsidRPr="002A56A8" w:rsidTr="00846C1D">
        <w:trPr>
          <w:trHeight w:val="191"/>
        </w:trPr>
        <w:tc>
          <w:tcPr>
            <w:tcW w:w="1900" w:type="dxa"/>
            <w:shd w:val="clear" w:color="auto" w:fill="auto"/>
            <w:vAlign w:val="bottom"/>
            <w:hideMark/>
          </w:tcPr>
          <w:p w:rsidR="00FB09D5" w:rsidRPr="002A56A8" w:rsidRDefault="00FB09D5" w:rsidP="00846C1D">
            <w:pPr>
              <w:spacing w:after="0" w:line="240" w:lineRule="auto"/>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Emergency Bed Days per 100,000</w:t>
            </w:r>
            <w:r>
              <w:rPr>
                <w:rFonts w:ascii="Calibri" w:eastAsia="Times New Roman" w:hAnsi="Calibri" w:cs="Times New Roman"/>
                <w:color w:val="000000"/>
                <w:sz w:val="16"/>
                <w:szCs w:val="16"/>
                <w:lang w:eastAsia="en-GB"/>
              </w:rPr>
              <w:t xml:space="preserve"> (2007-08)</w:t>
            </w:r>
          </w:p>
        </w:tc>
        <w:tc>
          <w:tcPr>
            <w:tcW w:w="1361" w:type="dxa"/>
            <w:shd w:val="clear" w:color="000000" w:fill="FF0000"/>
            <w:noWrap/>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410</w:t>
            </w:r>
          </w:p>
        </w:tc>
        <w:tc>
          <w:tcPr>
            <w:tcW w:w="1276" w:type="dxa"/>
            <w:shd w:val="clear" w:color="000000" w:fill="FF0000"/>
            <w:noWrap/>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383</w:t>
            </w:r>
          </w:p>
        </w:tc>
        <w:tc>
          <w:tcPr>
            <w:tcW w:w="1263" w:type="dxa"/>
            <w:shd w:val="clear" w:color="000000" w:fill="FF0000"/>
            <w:noWrap/>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393</w:t>
            </w:r>
          </w:p>
        </w:tc>
        <w:tc>
          <w:tcPr>
            <w:tcW w:w="1555" w:type="dxa"/>
            <w:gridSpan w:val="2"/>
            <w:shd w:val="clear" w:color="000000" w:fill="FF0000"/>
            <w:noWrap/>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448</w:t>
            </w:r>
          </w:p>
        </w:tc>
        <w:tc>
          <w:tcPr>
            <w:tcW w:w="1293" w:type="dxa"/>
            <w:shd w:val="clear" w:color="000000" w:fill="FF0000"/>
            <w:noWrap/>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415</w:t>
            </w:r>
          </w:p>
        </w:tc>
        <w:tc>
          <w:tcPr>
            <w:tcW w:w="992" w:type="dxa"/>
            <w:shd w:val="clear" w:color="auto" w:fill="auto"/>
            <w:noWrap/>
            <w:vAlign w:val="bottom"/>
            <w:hideMark/>
          </w:tcPr>
          <w:p w:rsidR="00FB09D5" w:rsidRPr="002A56A8" w:rsidRDefault="00FB09D5" w:rsidP="00846C1D">
            <w:pPr>
              <w:spacing w:after="0" w:line="240" w:lineRule="auto"/>
              <w:rPr>
                <w:rFonts w:ascii="Calibri" w:eastAsia="Times New Roman" w:hAnsi="Calibri" w:cs="Times New Roman"/>
                <w:color w:val="000000"/>
                <w:lang w:eastAsia="en-GB"/>
              </w:rPr>
            </w:pPr>
            <w:r w:rsidRPr="002A56A8">
              <w:rPr>
                <w:rFonts w:ascii="Calibri" w:eastAsia="Times New Roman" w:hAnsi="Calibri" w:cs="Times New Roman"/>
                <w:color w:val="000000"/>
                <w:lang w:eastAsia="en-GB"/>
              </w:rPr>
              <w:t> </w:t>
            </w:r>
          </w:p>
        </w:tc>
        <w:tc>
          <w:tcPr>
            <w:tcW w:w="1134" w:type="dxa"/>
            <w:shd w:val="clear" w:color="000000" w:fill="FF0000"/>
            <w:vAlign w:val="center"/>
            <w:hideMark/>
          </w:tcPr>
          <w:p w:rsidR="00FB09D5" w:rsidRPr="002A56A8" w:rsidRDefault="00FB09D5" w:rsidP="00846C1D">
            <w:pPr>
              <w:spacing w:after="0" w:line="240" w:lineRule="auto"/>
              <w:jc w:val="center"/>
              <w:rPr>
                <w:rFonts w:ascii="Calibri" w:eastAsia="Times New Roman" w:hAnsi="Calibri" w:cs="Times New Roman"/>
                <w:color w:val="000000"/>
                <w:sz w:val="12"/>
                <w:szCs w:val="12"/>
                <w:lang w:eastAsia="en-GB"/>
              </w:rPr>
            </w:pPr>
            <w:r w:rsidRPr="002A56A8">
              <w:rPr>
                <w:rFonts w:ascii="Calibri" w:eastAsia="Times New Roman" w:hAnsi="Calibri" w:cs="Times New Roman"/>
                <w:color w:val="000000"/>
                <w:sz w:val="12"/>
                <w:szCs w:val="12"/>
                <w:lang w:eastAsia="en-GB"/>
              </w:rPr>
              <w:t>Higher than national average</w:t>
            </w:r>
          </w:p>
        </w:tc>
      </w:tr>
      <w:tr w:rsidR="00FB09D5" w:rsidRPr="002A56A8" w:rsidTr="00846C1D">
        <w:trPr>
          <w:trHeight w:val="308"/>
        </w:trPr>
        <w:tc>
          <w:tcPr>
            <w:tcW w:w="1900" w:type="dxa"/>
            <w:shd w:val="clear" w:color="auto" w:fill="auto"/>
            <w:vAlign w:val="bottom"/>
            <w:hideMark/>
          </w:tcPr>
          <w:p w:rsidR="00FB09D5" w:rsidRPr="001E6AAD" w:rsidRDefault="00FB09D5" w:rsidP="00846C1D">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Average all cancer emergency admission crude rate per 100,000</w:t>
            </w:r>
            <w:r w:rsidR="00D83932">
              <w:rPr>
                <w:rFonts w:ascii="Calibri" w:eastAsia="Times New Roman" w:hAnsi="Calibri" w:cs="Times New Roman"/>
                <w:color w:val="000000"/>
                <w:sz w:val="16"/>
                <w:szCs w:val="16"/>
                <w:lang w:eastAsia="en-GB"/>
              </w:rPr>
              <w:t xml:space="preserve"> (2008-09)</w:t>
            </w:r>
          </w:p>
        </w:tc>
        <w:tc>
          <w:tcPr>
            <w:tcW w:w="1361" w:type="dxa"/>
            <w:shd w:val="clear" w:color="auto" w:fill="auto"/>
            <w:noWrap/>
            <w:vAlign w:val="center"/>
            <w:hideMark/>
          </w:tcPr>
          <w:p w:rsidR="00FB09D5" w:rsidRPr="001E6AAD" w:rsidRDefault="00FB09D5" w:rsidP="00846C1D">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610.41</w:t>
            </w:r>
          </w:p>
        </w:tc>
        <w:tc>
          <w:tcPr>
            <w:tcW w:w="1276" w:type="dxa"/>
            <w:shd w:val="clear" w:color="auto" w:fill="auto"/>
            <w:noWrap/>
            <w:vAlign w:val="center"/>
            <w:hideMark/>
          </w:tcPr>
          <w:p w:rsidR="00FB09D5" w:rsidRPr="001E6AAD" w:rsidRDefault="00FB09D5" w:rsidP="00846C1D">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506.50</w:t>
            </w:r>
          </w:p>
        </w:tc>
        <w:tc>
          <w:tcPr>
            <w:tcW w:w="1263" w:type="dxa"/>
            <w:shd w:val="clear" w:color="auto" w:fill="auto"/>
            <w:noWrap/>
            <w:vAlign w:val="center"/>
            <w:hideMark/>
          </w:tcPr>
          <w:p w:rsidR="00FB09D5" w:rsidRPr="001E6AAD" w:rsidRDefault="00FB09D5" w:rsidP="00846C1D">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536.97</w:t>
            </w:r>
          </w:p>
        </w:tc>
        <w:tc>
          <w:tcPr>
            <w:tcW w:w="1555" w:type="dxa"/>
            <w:gridSpan w:val="2"/>
            <w:shd w:val="clear" w:color="auto" w:fill="auto"/>
            <w:noWrap/>
            <w:vAlign w:val="center"/>
            <w:hideMark/>
          </w:tcPr>
          <w:p w:rsidR="00FB09D5" w:rsidRPr="001E6AAD" w:rsidRDefault="00FB09D5" w:rsidP="00846C1D">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634.87</w:t>
            </w:r>
          </w:p>
        </w:tc>
        <w:tc>
          <w:tcPr>
            <w:tcW w:w="1293" w:type="dxa"/>
            <w:shd w:val="clear" w:color="auto" w:fill="auto"/>
            <w:noWrap/>
            <w:vAlign w:val="center"/>
            <w:hideMark/>
          </w:tcPr>
          <w:p w:rsidR="00FB09D5" w:rsidRPr="001E6AAD" w:rsidRDefault="00FB09D5" w:rsidP="00846C1D">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443.07</w:t>
            </w:r>
          </w:p>
        </w:tc>
        <w:tc>
          <w:tcPr>
            <w:tcW w:w="992" w:type="dxa"/>
            <w:shd w:val="clear" w:color="auto" w:fill="auto"/>
            <w:noWrap/>
            <w:vAlign w:val="center"/>
            <w:hideMark/>
          </w:tcPr>
          <w:p w:rsidR="00FB09D5" w:rsidRPr="001E6AAD" w:rsidRDefault="00FB09D5" w:rsidP="00846C1D">
            <w:pPr>
              <w:spacing w:after="0" w:line="240" w:lineRule="auto"/>
              <w:jc w:val="center"/>
              <w:rPr>
                <w:rFonts w:ascii="Calibri" w:eastAsia="Times New Roman" w:hAnsi="Calibri" w:cs="Times New Roman"/>
                <w:color w:val="000000"/>
                <w:lang w:eastAsia="en-GB"/>
              </w:rPr>
            </w:pPr>
          </w:p>
        </w:tc>
        <w:tc>
          <w:tcPr>
            <w:tcW w:w="1134" w:type="dxa"/>
            <w:shd w:val="clear" w:color="auto" w:fill="auto"/>
            <w:noWrap/>
            <w:vAlign w:val="center"/>
            <w:hideMark/>
          </w:tcPr>
          <w:p w:rsidR="00FB09D5" w:rsidRPr="001E6AAD" w:rsidRDefault="00FB09D5" w:rsidP="00846C1D">
            <w:pPr>
              <w:spacing w:after="0" w:line="240" w:lineRule="auto"/>
              <w:jc w:val="center"/>
              <w:rPr>
                <w:rFonts w:ascii="Calibri" w:eastAsia="Times New Roman" w:hAnsi="Calibri" w:cs="Times New Roman"/>
                <w:color w:val="000000"/>
                <w:sz w:val="12"/>
                <w:szCs w:val="12"/>
                <w:lang w:eastAsia="en-GB"/>
              </w:rPr>
            </w:pPr>
          </w:p>
        </w:tc>
      </w:tr>
      <w:tr w:rsidR="00D83932" w:rsidRPr="002A56A8" w:rsidTr="00846C1D">
        <w:trPr>
          <w:trHeight w:val="358"/>
        </w:trPr>
        <w:tc>
          <w:tcPr>
            <w:tcW w:w="1900" w:type="dxa"/>
            <w:shd w:val="clear" w:color="auto" w:fill="auto"/>
            <w:vAlign w:val="bottom"/>
            <w:hideMark/>
          </w:tcPr>
          <w:p w:rsidR="00D83932" w:rsidRPr="002A56A8" w:rsidRDefault="00891A04" w:rsidP="00EB4AE8">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2WW lower GI cancer referral rate per 100,000 (2009)</w:t>
            </w:r>
          </w:p>
        </w:tc>
        <w:tc>
          <w:tcPr>
            <w:tcW w:w="1361" w:type="dxa"/>
            <w:shd w:val="clear" w:color="auto" w:fill="auto"/>
            <w:noWrap/>
            <w:vAlign w:val="center"/>
            <w:hideMark/>
          </w:tcPr>
          <w:p w:rsidR="00D83932" w:rsidRPr="002A56A8" w:rsidRDefault="00D83932" w:rsidP="00EB4AE8">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137.60</w:t>
            </w:r>
          </w:p>
        </w:tc>
        <w:tc>
          <w:tcPr>
            <w:tcW w:w="1276" w:type="dxa"/>
            <w:shd w:val="clear" w:color="auto" w:fill="auto"/>
            <w:noWrap/>
            <w:vAlign w:val="center"/>
            <w:hideMark/>
          </w:tcPr>
          <w:p w:rsidR="00D83932" w:rsidRPr="002A56A8" w:rsidRDefault="00D83932" w:rsidP="00EB4AE8">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206.90</w:t>
            </w:r>
          </w:p>
        </w:tc>
        <w:tc>
          <w:tcPr>
            <w:tcW w:w="1263" w:type="dxa"/>
            <w:shd w:val="clear" w:color="auto" w:fill="auto"/>
            <w:noWrap/>
            <w:vAlign w:val="center"/>
            <w:hideMark/>
          </w:tcPr>
          <w:p w:rsidR="00D83932" w:rsidRPr="002A56A8" w:rsidRDefault="00D83932" w:rsidP="00EB4AE8">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205.55</w:t>
            </w:r>
          </w:p>
        </w:tc>
        <w:tc>
          <w:tcPr>
            <w:tcW w:w="1555" w:type="dxa"/>
            <w:gridSpan w:val="2"/>
            <w:shd w:val="clear" w:color="auto" w:fill="auto"/>
            <w:noWrap/>
            <w:vAlign w:val="center"/>
            <w:hideMark/>
          </w:tcPr>
          <w:p w:rsidR="00D83932" w:rsidRPr="002A56A8" w:rsidRDefault="00D83932" w:rsidP="00EB4AE8">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162.77</w:t>
            </w:r>
          </w:p>
        </w:tc>
        <w:tc>
          <w:tcPr>
            <w:tcW w:w="1293" w:type="dxa"/>
            <w:shd w:val="clear" w:color="auto" w:fill="auto"/>
            <w:noWrap/>
            <w:vAlign w:val="center"/>
            <w:hideMark/>
          </w:tcPr>
          <w:p w:rsidR="00D83932" w:rsidRPr="002A56A8" w:rsidRDefault="00D83932" w:rsidP="00EB4AE8">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142.48</w:t>
            </w:r>
          </w:p>
        </w:tc>
        <w:tc>
          <w:tcPr>
            <w:tcW w:w="992" w:type="dxa"/>
            <w:shd w:val="clear" w:color="auto" w:fill="auto"/>
            <w:vAlign w:val="center"/>
            <w:hideMark/>
          </w:tcPr>
          <w:p w:rsidR="00D83932" w:rsidRPr="001E6AAD" w:rsidRDefault="00D83932" w:rsidP="00846C1D">
            <w:pPr>
              <w:spacing w:after="0" w:line="240" w:lineRule="auto"/>
              <w:jc w:val="center"/>
              <w:rPr>
                <w:rFonts w:ascii="Calibri" w:eastAsia="Times New Roman" w:hAnsi="Calibri" w:cs="Times New Roman"/>
                <w:color w:val="000000"/>
                <w:lang w:eastAsia="en-GB"/>
              </w:rPr>
            </w:pPr>
          </w:p>
        </w:tc>
        <w:tc>
          <w:tcPr>
            <w:tcW w:w="1134" w:type="dxa"/>
            <w:shd w:val="clear" w:color="auto" w:fill="auto"/>
            <w:noWrap/>
            <w:vAlign w:val="center"/>
            <w:hideMark/>
          </w:tcPr>
          <w:p w:rsidR="00D83932" w:rsidRPr="001E6AAD" w:rsidRDefault="00D83932" w:rsidP="00846C1D">
            <w:pPr>
              <w:spacing w:after="0" w:line="240" w:lineRule="auto"/>
              <w:jc w:val="center"/>
              <w:rPr>
                <w:rFonts w:ascii="Calibri" w:eastAsia="Times New Roman" w:hAnsi="Calibri" w:cs="Times New Roman"/>
                <w:color w:val="000000"/>
                <w:sz w:val="12"/>
                <w:szCs w:val="12"/>
                <w:lang w:eastAsia="en-GB"/>
              </w:rPr>
            </w:pPr>
          </w:p>
        </w:tc>
      </w:tr>
      <w:tr w:rsidR="00FB09D5" w:rsidRPr="002A56A8" w:rsidTr="00846C1D">
        <w:trPr>
          <w:trHeight w:val="548"/>
        </w:trPr>
        <w:tc>
          <w:tcPr>
            <w:tcW w:w="1900" w:type="dxa"/>
            <w:shd w:val="clear" w:color="auto" w:fill="auto"/>
            <w:vAlign w:val="bottom"/>
          </w:tcPr>
          <w:p w:rsidR="00FB09D5" w:rsidRPr="002A56A8" w:rsidRDefault="00FB09D5" w:rsidP="00846C1D">
            <w:pPr>
              <w:spacing w:after="0" w:line="240" w:lineRule="auto"/>
              <w:rPr>
                <w:rFonts w:ascii="Calibri" w:eastAsia="Times New Roman" w:hAnsi="Calibri" w:cs="Times New Roman"/>
                <w:color w:val="000000"/>
                <w:sz w:val="16"/>
                <w:szCs w:val="16"/>
                <w:lang w:eastAsia="en-GB"/>
              </w:rPr>
            </w:pPr>
            <w:r w:rsidRPr="001E6AAD">
              <w:rPr>
                <w:rFonts w:ascii="Calibri" w:eastAsia="Times New Roman" w:hAnsi="Calibri" w:cs="Times New Roman"/>
                <w:color w:val="000000"/>
                <w:sz w:val="16"/>
                <w:szCs w:val="16"/>
                <w:lang w:eastAsia="en-GB"/>
              </w:rPr>
              <w:t xml:space="preserve">% of </w:t>
            </w:r>
            <w:r>
              <w:rPr>
                <w:rFonts w:ascii="Calibri" w:eastAsia="Times New Roman" w:hAnsi="Calibri" w:cs="Times New Roman"/>
                <w:color w:val="000000"/>
                <w:sz w:val="16"/>
                <w:szCs w:val="16"/>
                <w:lang w:eastAsia="en-GB"/>
              </w:rPr>
              <w:t>cases diagnosed through non-</w:t>
            </w:r>
            <w:r w:rsidRPr="001E6AAD">
              <w:rPr>
                <w:rFonts w:ascii="Calibri" w:eastAsia="Times New Roman" w:hAnsi="Calibri" w:cs="Times New Roman"/>
                <w:color w:val="000000"/>
                <w:sz w:val="16"/>
                <w:szCs w:val="16"/>
                <w:lang w:eastAsia="en-GB"/>
              </w:rPr>
              <w:t>urgent</w:t>
            </w:r>
            <w:r>
              <w:rPr>
                <w:rFonts w:ascii="Calibri" w:eastAsia="Times New Roman" w:hAnsi="Calibri" w:cs="Times New Roman"/>
                <w:color w:val="000000"/>
                <w:sz w:val="16"/>
                <w:szCs w:val="16"/>
                <w:lang w:eastAsia="en-GB"/>
              </w:rPr>
              <w:t xml:space="preserve"> referrals (2010)</w:t>
            </w:r>
          </w:p>
        </w:tc>
        <w:tc>
          <w:tcPr>
            <w:tcW w:w="1361" w:type="dxa"/>
            <w:shd w:val="clear" w:color="auto" w:fill="auto"/>
            <w:noWrap/>
            <w:vAlign w:val="center"/>
          </w:tcPr>
          <w:p w:rsidR="00FB09D5" w:rsidRPr="002A56A8" w:rsidRDefault="00FB09D5" w:rsidP="00846C1D">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52.8%</w:t>
            </w:r>
          </w:p>
        </w:tc>
        <w:tc>
          <w:tcPr>
            <w:tcW w:w="1276" w:type="dxa"/>
            <w:shd w:val="clear" w:color="000000" w:fill="00B050"/>
            <w:noWrap/>
            <w:vAlign w:val="center"/>
          </w:tcPr>
          <w:p w:rsidR="00FB09D5" w:rsidRPr="002A56A8" w:rsidRDefault="00FB09D5" w:rsidP="00846C1D">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40.7%</w:t>
            </w:r>
          </w:p>
        </w:tc>
        <w:tc>
          <w:tcPr>
            <w:tcW w:w="1263" w:type="dxa"/>
            <w:shd w:val="clear" w:color="auto" w:fill="auto"/>
            <w:noWrap/>
            <w:vAlign w:val="center"/>
          </w:tcPr>
          <w:p w:rsidR="00FB09D5" w:rsidRPr="002A56A8" w:rsidRDefault="00FB09D5" w:rsidP="00846C1D">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57.1%</w:t>
            </w:r>
          </w:p>
        </w:tc>
        <w:tc>
          <w:tcPr>
            <w:tcW w:w="1555" w:type="dxa"/>
            <w:gridSpan w:val="2"/>
            <w:shd w:val="clear" w:color="auto" w:fill="auto"/>
            <w:noWrap/>
            <w:vAlign w:val="center"/>
          </w:tcPr>
          <w:p w:rsidR="00FB09D5" w:rsidRPr="002A56A8" w:rsidRDefault="00FB09D5" w:rsidP="00846C1D">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57.1%</w:t>
            </w:r>
          </w:p>
        </w:tc>
        <w:tc>
          <w:tcPr>
            <w:tcW w:w="1293" w:type="dxa"/>
            <w:shd w:val="clear" w:color="auto" w:fill="FF0000"/>
            <w:noWrap/>
            <w:vAlign w:val="center"/>
          </w:tcPr>
          <w:p w:rsidR="00FB09D5" w:rsidRPr="002A56A8" w:rsidRDefault="00FB09D5" w:rsidP="00846C1D">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61.9%</w:t>
            </w:r>
          </w:p>
        </w:tc>
        <w:tc>
          <w:tcPr>
            <w:tcW w:w="992" w:type="dxa"/>
            <w:shd w:val="clear" w:color="000000" w:fill="00B050"/>
            <w:vAlign w:val="center"/>
          </w:tcPr>
          <w:p w:rsidR="00FB09D5" w:rsidRPr="001E6AAD" w:rsidRDefault="00FB09D5" w:rsidP="00846C1D">
            <w:pPr>
              <w:spacing w:after="0" w:line="240" w:lineRule="auto"/>
              <w:jc w:val="center"/>
              <w:rPr>
                <w:rFonts w:ascii="Calibri" w:eastAsia="Times New Roman" w:hAnsi="Calibri" w:cs="Times New Roman"/>
                <w:color w:val="000000"/>
                <w:lang w:eastAsia="en-GB"/>
              </w:rPr>
            </w:pPr>
            <w:r w:rsidRPr="007A13B0">
              <w:rPr>
                <w:rFonts w:ascii="Calibri" w:eastAsia="Times New Roman" w:hAnsi="Calibri" w:cs="Times New Roman"/>
                <w:color w:val="000000"/>
                <w:sz w:val="12"/>
                <w:szCs w:val="12"/>
                <w:lang w:eastAsia="en-GB"/>
              </w:rPr>
              <w:t>Lowest</w:t>
            </w:r>
          </w:p>
        </w:tc>
        <w:tc>
          <w:tcPr>
            <w:tcW w:w="1134" w:type="dxa"/>
            <w:shd w:val="clear" w:color="auto" w:fill="FF0000"/>
            <w:noWrap/>
            <w:vAlign w:val="center"/>
          </w:tcPr>
          <w:p w:rsidR="00FB09D5" w:rsidRPr="001E6AAD" w:rsidRDefault="00FB09D5" w:rsidP="00846C1D">
            <w:pPr>
              <w:spacing w:after="0" w:line="240" w:lineRule="auto"/>
              <w:jc w:val="center"/>
              <w:rPr>
                <w:rFonts w:ascii="Calibri" w:eastAsia="Times New Roman" w:hAnsi="Calibri" w:cs="Times New Roman"/>
                <w:color w:val="000000"/>
                <w:sz w:val="12"/>
                <w:szCs w:val="12"/>
                <w:lang w:eastAsia="en-GB"/>
              </w:rPr>
            </w:pPr>
            <w:r w:rsidRPr="007A13B0">
              <w:rPr>
                <w:rFonts w:ascii="Calibri" w:eastAsia="Times New Roman" w:hAnsi="Calibri" w:cs="Times New Roman"/>
                <w:color w:val="000000"/>
                <w:sz w:val="12"/>
                <w:szCs w:val="12"/>
                <w:lang w:eastAsia="en-GB"/>
              </w:rPr>
              <w:t>Highest</w:t>
            </w:r>
          </w:p>
        </w:tc>
      </w:tr>
      <w:tr w:rsidR="00FB09D5" w:rsidRPr="002A56A8" w:rsidTr="00846C1D">
        <w:trPr>
          <w:trHeight w:val="548"/>
        </w:trPr>
        <w:tc>
          <w:tcPr>
            <w:tcW w:w="1900" w:type="dxa"/>
            <w:shd w:val="clear" w:color="auto" w:fill="auto"/>
            <w:vAlign w:val="bottom"/>
          </w:tcPr>
          <w:p w:rsidR="00FB09D5" w:rsidRPr="002A56A8" w:rsidRDefault="00FB09D5" w:rsidP="00846C1D">
            <w:pPr>
              <w:spacing w:after="0" w:line="240" w:lineRule="auto"/>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 urgent 2 week wait referrals resulting in cancer diagnosis</w:t>
            </w:r>
            <w:r>
              <w:rPr>
                <w:rFonts w:ascii="Calibri" w:eastAsia="Times New Roman" w:hAnsi="Calibri" w:cs="Times New Roman"/>
                <w:color w:val="000000"/>
                <w:sz w:val="16"/>
                <w:szCs w:val="16"/>
                <w:lang w:eastAsia="en-GB"/>
              </w:rPr>
              <w:t xml:space="preserve"> (2010)</w:t>
            </w:r>
          </w:p>
        </w:tc>
        <w:tc>
          <w:tcPr>
            <w:tcW w:w="1361" w:type="dxa"/>
            <w:shd w:val="clear" w:color="000000" w:fill="00B050"/>
            <w:noWrap/>
            <w:vAlign w:val="center"/>
          </w:tcPr>
          <w:p w:rsidR="00FB09D5" w:rsidRPr="002A56A8" w:rsidRDefault="00FB09D5" w:rsidP="00846C1D">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11.10%</w:t>
            </w:r>
          </w:p>
        </w:tc>
        <w:tc>
          <w:tcPr>
            <w:tcW w:w="1276" w:type="dxa"/>
            <w:shd w:val="clear" w:color="000000" w:fill="00B050"/>
            <w:noWrap/>
            <w:vAlign w:val="center"/>
          </w:tcPr>
          <w:p w:rsidR="00FB09D5" w:rsidRPr="002A56A8" w:rsidRDefault="00FB09D5" w:rsidP="00846C1D">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9.80%</w:t>
            </w:r>
          </w:p>
        </w:tc>
        <w:tc>
          <w:tcPr>
            <w:tcW w:w="1263" w:type="dxa"/>
            <w:shd w:val="clear" w:color="auto" w:fill="FF0000"/>
            <w:noWrap/>
            <w:vAlign w:val="center"/>
          </w:tcPr>
          <w:p w:rsidR="00FB09D5" w:rsidRPr="002A56A8" w:rsidRDefault="00FB09D5" w:rsidP="00846C1D">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7.60%</w:t>
            </w:r>
          </w:p>
        </w:tc>
        <w:tc>
          <w:tcPr>
            <w:tcW w:w="1555" w:type="dxa"/>
            <w:gridSpan w:val="2"/>
            <w:shd w:val="clear" w:color="000000" w:fill="00B050"/>
            <w:noWrap/>
            <w:vAlign w:val="center"/>
          </w:tcPr>
          <w:p w:rsidR="00FB09D5" w:rsidRPr="002A56A8" w:rsidRDefault="00FB09D5" w:rsidP="00846C1D">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9.20%</w:t>
            </w:r>
          </w:p>
        </w:tc>
        <w:tc>
          <w:tcPr>
            <w:tcW w:w="1293" w:type="dxa"/>
            <w:shd w:val="clear" w:color="auto" w:fill="FF0000"/>
            <w:noWrap/>
            <w:vAlign w:val="center"/>
          </w:tcPr>
          <w:p w:rsidR="00FB09D5" w:rsidRPr="002A56A8" w:rsidRDefault="00FB09D5" w:rsidP="00846C1D">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6.10%</w:t>
            </w:r>
          </w:p>
        </w:tc>
        <w:tc>
          <w:tcPr>
            <w:tcW w:w="992" w:type="dxa"/>
            <w:shd w:val="clear" w:color="000000" w:fill="00B050"/>
            <w:vAlign w:val="center"/>
          </w:tcPr>
          <w:p w:rsidR="00FB09D5" w:rsidRPr="002A56A8" w:rsidRDefault="00FB09D5" w:rsidP="00846C1D">
            <w:pPr>
              <w:spacing w:after="0" w:line="240" w:lineRule="auto"/>
              <w:jc w:val="center"/>
              <w:rPr>
                <w:rFonts w:ascii="Calibri" w:eastAsia="Times New Roman" w:hAnsi="Calibri" w:cs="Times New Roman"/>
                <w:color w:val="000000"/>
                <w:sz w:val="12"/>
                <w:szCs w:val="12"/>
                <w:lang w:eastAsia="en-GB"/>
              </w:rPr>
            </w:pPr>
            <w:r w:rsidRPr="002A56A8">
              <w:rPr>
                <w:rFonts w:ascii="Calibri" w:eastAsia="Times New Roman" w:hAnsi="Calibri" w:cs="Times New Roman"/>
                <w:color w:val="000000"/>
                <w:sz w:val="12"/>
                <w:szCs w:val="12"/>
                <w:lang w:eastAsia="en-GB"/>
              </w:rPr>
              <w:t>Higher than national average</w:t>
            </w:r>
            <w:r>
              <w:rPr>
                <w:rFonts w:ascii="Calibri" w:eastAsia="Times New Roman" w:hAnsi="Calibri" w:cs="Times New Roman"/>
                <w:color w:val="000000"/>
                <w:sz w:val="12"/>
                <w:szCs w:val="12"/>
                <w:lang w:eastAsia="en-GB"/>
              </w:rPr>
              <w:t xml:space="preserve"> (8.8%)</w:t>
            </w:r>
          </w:p>
        </w:tc>
        <w:tc>
          <w:tcPr>
            <w:tcW w:w="1134" w:type="dxa"/>
            <w:shd w:val="clear" w:color="auto" w:fill="FF0000"/>
            <w:noWrap/>
            <w:vAlign w:val="center"/>
          </w:tcPr>
          <w:p w:rsidR="00FB09D5" w:rsidRPr="00580938" w:rsidRDefault="00FB09D5" w:rsidP="00846C1D">
            <w:pPr>
              <w:spacing w:after="0" w:line="240" w:lineRule="auto"/>
              <w:jc w:val="center"/>
              <w:rPr>
                <w:rFonts w:ascii="Calibri" w:eastAsia="Times New Roman" w:hAnsi="Calibri" w:cs="Times New Roman"/>
                <w:color w:val="000000"/>
                <w:sz w:val="12"/>
                <w:szCs w:val="12"/>
                <w:lang w:eastAsia="en-GB"/>
              </w:rPr>
            </w:pPr>
            <w:r w:rsidRPr="00580938">
              <w:rPr>
                <w:rFonts w:ascii="Calibri" w:eastAsia="Times New Roman" w:hAnsi="Calibri" w:cs="Times New Roman"/>
                <w:color w:val="000000"/>
                <w:sz w:val="12"/>
                <w:szCs w:val="12"/>
                <w:lang w:eastAsia="en-GB"/>
              </w:rPr>
              <w:t>In lowest quartile</w:t>
            </w:r>
          </w:p>
        </w:tc>
      </w:tr>
    </w:tbl>
    <w:p w:rsidR="00504613" w:rsidRDefault="00FB09D5" w:rsidP="00FB09D5">
      <w:pPr>
        <w:pStyle w:val="Caption"/>
        <w:spacing w:after="0" w:line="360" w:lineRule="auto"/>
        <w:rPr>
          <w:rFonts w:ascii="Arial" w:hAnsi="Arial" w:cs="Arial"/>
          <w:color w:val="auto"/>
        </w:rPr>
      </w:pPr>
      <w:r>
        <w:rPr>
          <w:rFonts w:ascii="Arial" w:hAnsi="Arial" w:cs="Arial"/>
          <w:color w:val="auto"/>
        </w:rPr>
        <w:t xml:space="preserve"> </w:t>
      </w:r>
    </w:p>
    <w:p w:rsidR="00504613" w:rsidRDefault="00504613" w:rsidP="00504613">
      <w:pPr>
        <w:pStyle w:val="Caption"/>
        <w:rPr>
          <w:rFonts w:ascii="Arial" w:hAnsi="Arial" w:cs="Arial"/>
          <w:color w:val="auto"/>
        </w:rPr>
      </w:pPr>
    </w:p>
    <w:p w:rsidR="00504613" w:rsidRDefault="00504613" w:rsidP="00504613">
      <w:pPr>
        <w:pStyle w:val="Caption"/>
        <w:rPr>
          <w:rFonts w:ascii="Arial" w:hAnsi="Arial" w:cs="Arial"/>
          <w:color w:val="auto"/>
        </w:rPr>
      </w:pPr>
    </w:p>
    <w:p w:rsidR="00504613" w:rsidRDefault="00504613" w:rsidP="00504613">
      <w:pPr>
        <w:pStyle w:val="Caption"/>
        <w:rPr>
          <w:rFonts w:ascii="Arial" w:hAnsi="Arial" w:cs="Arial"/>
          <w:color w:val="auto"/>
        </w:rPr>
      </w:pPr>
      <w:bookmarkStart w:id="5" w:name="_Ref275261631"/>
      <w:r w:rsidRPr="000C49E8">
        <w:rPr>
          <w:rFonts w:ascii="Arial" w:hAnsi="Arial" w:cs="Arial"/>
          <w:color w:val="auto"/>
        </w:rPr>
        <w:t xml:space="preserve">Figure </w:t>
      </w:r>
      <w:r w:rsidR="00AF55AD" w:rsidRPr="000C49E8">
        <w:rPr>
          <w:rFonts w:ascii="Arial" w:hAnsi="Arial" w:cs="Arial"/>
          <w:color w:val="auto"/>
        </w:rPr>
        <w:fldChar w:fldCharType="begin"/>
      </w:r>
      <w:r w:rsidRPr="000C49E8">
        <w:rPr>
          <w:rFonts w:ascii="Arial" w:hAnsi="Arial" w:cs="Arial"/>
          <w:color w:val="auto"/>
        </w:rPr>
        <w:instrText xml:space="preserve"> SEQ Figure \* ARABIC </w:instrText>
      </w:r>
      <w:r w:rsidR="00AF55AD" w:rsidRPr="000C49E8">
        <w:rPr>
          <w:rFonts w:ascii="Arial" w:hAnsi="Arial" w:cs="Arial"/>
          <w:color w:val="auto"/>
        </w:rPr>
        <w:fldChar w:fldCharType="separate"/>
      </w:r>
      <w:r w:rsidR="004E6A50">
        <w:rPr>
          <w:rFonts w:ascii="Arial" w:hAnsi="Arial" w:cs="Arial"/>
          <w:noProof/>
          <w:color w:val="auto"/>
        </w:rPr>
        <w:t>2</w:t>
      </w:r>
      <w:r w:rsidR="00AF55AD" w:rsidRPr="000C49E8">
        <w:rPr>
          <w:rFonts w:ascii="Arial" w:hAnsi="Arial" w:cs="Arial"/>
          <w:color w:val="auto"/>
        </w:rPr>
        <w:fldChar w:fldCharType="end"/>
      </w:r>
      <w:bookmarkEnd w:id="5"/>
      <w:r w:rsidRPr="000C49E8">
        <w:rPr>
          <w:rFonts w:ascii="Arial" w:hAnsi="Arial" w:cs="Arial"/>
          <w:color w:val="auto"/>
        </w:rPr>
        <w:t xml:space="preserve">: Matrix of key </w:t>
      </w:r>
      <w:r>
        <w:rPr>
          <w:rFonts w:ascii="Arial" w:hAnsi="Arial" w:cs="Arial"/>
          <w:color w:val="auto"/>
        </w:rPr>
        <w:t>colorectal</w:t>
      </w:r>
      <w:r w:rsidRPr="000C49E8">
        <w:rPr>
          <w:rFonts w:ascii="Arial" w:hAnsi="Arial" w:cs="Arial"/>
          <w:color w:val="auto"/>
        </w:rPr>
        <w:t xml:space="preserve"> cancer figures for </w:t>
      </w:r>
      <w:r>
        <w:rPr>
          <w:rFonts w:ascii="Arial" w:hAnsi="Arial" w:cs="Arial"/>
          <w:color w:val="auto"/>
        </w:rPr>
        <w:t xml:space="preserve">the </w:t>
      </w:r>
      <w:r w:rsidRPr="000C49E8">
        <w:rPr>
          <w:rFonts w:ascii="Arial" w:hAnsi="Arial" w:cs="Arial"/>
          <w:color w:val="auto"/>
        </w:rPr>
        <w:t>South West London Cancer Network.</w:t>
      </w:r>
    </w:p>
    <w:tbl>
      <w:tblPr>
        <w:tblW w:w="8995" w:type="dxa"/>
        <w:tblInd w:w="93" w:type="dxa"/>
        <w:tblLook w:val="04A0"/>
      </w:tblPr>
      <w:tblGrid>
        <w:gridCol w:w="1880"/>
        <w:gridCol w:w="1254"/>
        <w:gridCol w:w="818"/>
        <w:gridCol w:w="960"/>
        <w:gridCol w:w="1039"/>
        <w:gridCol w:w="960"/>
        <w:gridCol w:w="804"/>
        <w:gridCol w:w="1280"/>
      </w:tblGrid>
      <w:tr w:rsidR="00504613" w:rsidRPr="000C49E8" w:rsidTr="00504613">
        <w:trPr>
          <w:gridAfter w:val="2"/>
          <w:wAfter w:w="2084" w:type="dxa"/>
          <w:trHeight w:val="171"/>
        </w:trPr>
        <w:tc>
          <w:tcPr>
            <w:tcW w:w="188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504613" w:rsidRPr="000C49E8" w:rsidRDefault="00504613" w:rsidP="00504613">
            <w:pPr>
              <w:spacing w:after="0" w:line="240" w:lineRule="auto"/>
              <w:rPr>
                <w:rFonts w:ascii="Calibri" w:eastAsia="Times New Roman" w:hAnsi="Calibri" w:cs="Times New Roman"/>
                <w:color w:val="000000"/>
                <w:sz w:val="16"/>
                <w:szCs w:val="16"/>
                <w:lang w:eastAsia="en-GB"/>
              </w:rPr>
            </w:pPr>
          </w:p>
        </w:tc>
        <w:tc>
          <w:tcPr>
            <w:tcW w:w="125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04613" w:rsidRPr="00A70BDB" w:rsidRDefault="00504613" w:rsidP="00504613">
            <w:pPr>
              <w:spacing w:after="0" w:line="240" w:lineRule="auto"/>
              <w:rPr>
                <w:rFonts w:ascii="Calibri" w:eastAsia="Times New Roman" w:hAnsi="Calibri" w:cs="Times New Roman"/>
                <w:color w:val="000000"/>
                <w:lang w:eastAsia="en-GB"/>
              </w:rPr>
            </w:pPr>
            <w:r w:rsidRPr="00A70BDB">
              <w:rPr>
                <w:rFonts w:ascii="Calibri" w:eastAsia="Times New Roman" w:hAnsi="Calibri" w:cs="Times New Roman"/>
                <w:color w:val="000000"/>
                <w:lang w:eastAsia="en-GB"/>
              </w:rPr>
              <w:t>SWLCN</w:t>
            </w:r>
          </w:p>
        </w:tc>
        <w:tc>
          <w:tcPr>
            <w:tcW w:w="81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04613" w:rsidRPr="00A70BDB" w:rsidRDefault="00504613" w:rsidP="00504613">
            <w:pPr>
              <w:spacing w:after="0" w:line="240" w:lineRule="auto"/>
              <w:rPr>
                <w:rFonts w:ascii="Calibri" w:eastAsia="Times New Roman" w:hAnsi="Calibri" w:cs="Times New Roman"/>
                <w:color w:val="000000"/>
                <w:lang w:eastAsia="en-GB"/>
              </w:rPr>
            </w:pPr>
            <w:r w:rsidRPr="00A70BDB">
              <w:rPr>
                <w:rFonts w:ascii="Calibri" w:eastAsia="Times New Roman" w:hAnsi="Calibri" w:cs="Times New Roman"/>
                <w:color w:val="000000"/>
                <w:lang w:eastAsia="en-GB"/>
              </w:rPr>
              <w:t>NELCN</w:t>
            </w:r>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04613" w:rsidRPr="00A70BDB" w:rsidRDefault="00504613" w:rsidP="00504613">
            <w:pPr>
              <w:spacing w:after="0" w:line="240" w:lineRule="auto"/>
              <w:rPr>
                <w:rFonts w:ascii="Calibri" w:eastAsia="Times New Roman" w:hAnsi="Calibri" w:cs="Times New Roman"/>
                <w:color w:val="000000"/>
                <w:lang w:eastAsia="en-GB"/>
              </w:rPr>
            </w:pPr>
            <w:r w:rsidRPr="00A70BDB">
              <w:rPr>
                <w:rFonts w:ascii="Calibri" w:eastAsia="Times New Roman" w:hAnsi="Calibri" w:cs="Times New Roman"/>
                <w:color w:val="000000"/>
                <w:lang w:eastAsia="en-GB"/>
              </w:rPr>
              <w:t>NLCN</w:t>
            </w:r>
          </w:p>
        </w:tc>
        <w:tc>
          <w:tcPr>
            <w:tcW w:w="103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04613" w:rsidRPr="00A70BDB" w:rsidRDefault="00504613" w:rsidP="00504613">
            <w:pPr>
              <w:spacing w:after="0" w:line="240" w:lineRule="auto"/>
              <w:rPr>
                <w:rFonts w:ascii="Calibri" w:eastAsia="Times New Roman" w:hAnsi="Calibri" w:cs="Times New Roman"/>
                <w:color w:val="000000"/>
                <w:lang w:eastAsia="en-GB"/>
              </w:rPr>
            </w:pPr>
            <w:r w:rsidRPr="00A70BDB">
              <w:rPr>
                <w:rFonts w:ascii="Calibri" w:eastAsia="Times New Roman" w:hAnsi="Calibri" w:cs="Times New Roman"/>
                <w:color w:val="000000"/>
                <w:lang w:eastAsia="en-GB"/>
              </w:rPr>
              <w:t>(N)WLCN</w:t>
            </w:r>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04613" w:rsidRPr="00A70BDB" w:rsidRDefault="00504613" w:rsidP="00504613">
            <w:pPr>
              <w:spacing w:after="0" w:line="240" w:lineRule="auto"/>
              <w:rPr>
                <w:rFonts w:ascii="Calibri" w:eastAsia="Times New Roman" w:hAnsi="Calibri" w:cs="Times New Roman"/>
                <w:color w:val="000000"/>
                <w:lang w:eastAsia="en-GB"/>
              </w:rPr>
            </w:pPr>
            <w:r w:rsidRPr="00A70BDB">
              <w:rPr>
                <w:rFonts w:ascii="Calibri" w:eastAsia="Times New Roman" w:hAnsi="Calibri" w:cs="Times New Roman"/>
                <w:color w:val="000000"/>
                <w:lang w:eastAsia="en-GB"/>
              </w:rPr>
              <w:t>SELCN</w:t>
            </w:r>
          </w:p>
        </w:tc>
      </w:tr>
      <w:tr w:rsidR="00504613" w:rsidRPr="000C49E8" w:rsidTr="00504613">
        <w:trPr>
          <w:trHeight w:val="168"/>
        </w:trPr>
        <w:tc>
          <w:tcPr>
            <w:tcW w:w="1880" w:type="dxa"/>
            <w:tcBorders>
              <w:top w:val="single" w:sz="8" w:space="0" w:color="auto"/>
              <w:left w:val="single" w:sz="8" w:space="0" w:color="auto"/>
              <w:bottom w:val="single" w:sz="8" w:space="0" w:color="auto"/>
              <w:right w:val="single" w:sz="8" w:space="0" w:color="auto"/>
            </w:tcBorders>
            <w:shd w:val="clear" w:color="auto" w:fill="auto"/>
            <w:hideMark/>
          </w:tcPr>
          <w:p w:rsidR="00504613" w:rsidRPr="00B6367E" w:rsidRDefault="00504613" w:rsidP="00504613">
            <w:pPr>
              <w:spacing w:after="0" w:line="240" w:lineRule="auto"/>
              <w:rPr>
                <w:rFonts w:ascii="Calibri" w:eastAsia="Times New Roman" w:hAnsi="Calibri" w:cs="Times New Roman"/>
                <w:color w:val="000000"/>
                <w:sz w:val="16"/>
                <w:szCs w:val="16"/>
                <w:lang w:eastAsia="en-GB"/>
              </w:rPr>
            </w:pPr>
            <w:r w:rsidRPr="00B6367E">
              <w:rPr>
                <w:rFonts w:ascii="Calibri" w:eastAsia="Times New Roman" w:hAnsi="Calibri" w:cs="Times New Roman"/>
                <w:color w:val="000000"/>
                <w:sz w:val="16"/>
                <w:szCs w:val="16"/>
                <w:lang w:eastAsia="en-GB"/>
              </w:rPr>
              <w:t>Male Staging (2003-07)</w:t>
            </w:r>
          </w:p>
        </w:tc>
        <w:tc>
          <w:tcPr>
            <w:tcW w:w="125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04613" w:rsidRPr="00B6367E" w:rsidRDefault="00504613" w:rsidP="00504613">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Stage 1: 16.4</w:t>
            </w:r>
            <w:r w:rsidRPr="00B6367E">
              <w:rPr>
                <w:rFonts w:ascii="Calibri" w:eastAsia="Times New Roman" w:hAnsi="Calibri" w:cs="Times New Roman"/>
                <w:color w:val="000000"/>
                <w:sz w:val="16"/>
                <w:szCs w:val="16"/>
                <w:lang w:eastAsia="en-GB"/>
              </w:rPr>
              <w:t xml:space="preserve">%     </w:t>
            </w:r>
            <w:r>
              <w:rPr>
                <w:rFonts w:ascii="Calibri" w:eastAsia="Times New Roman" w:hAnsi="Calibri" w:cs="Times New Roman"/>
                <w:color w:val="000000"/>
                <w:sz w:val="16"/>
                <w:szCs w:val="16"/>
                <w:lang w:eastAsia="en-GB"/>
              </w:rPr>
              <w:t xml:space="preserve">                     Stage 4: 19.3</w:t>
            </w:r>
            <w:r w:rsidRPr="00B6367E">
              <w:rPr>
                <w:rFonts w:ascii="Calibri" w:eastAsia="Times New Roman" w:hAnsi="Calibri" w:cs="Times New Roman"/>
                <w:color w:val="000000"/>
                <w:sz w:val="16"/>
                <w:szCs w:val="16"/>
                <w:lang w:eastAsia="en-GB"/>
              </w:rPr>
              <w:t xml:space="preserve">.%            </w:t>
            </w:r>
            <w:r>
              <w:rPr>
                <w:rFonts w:ascii="Calibri" w:eastAsia="Times New Roman" w:hAnsi="Calibri" w:cs="Times New Roman"/>
                <w:color w:val="000000"/>
                <w:sz w:val="16"/>
                <w:szCs w:val="16"/>
                <w:lang w:eastAsia="en-GB"/>
              </w:rPr>
              <w:t xml:space="preserve">               NK:  29.6</w:t>
            </w:r>
            <w:r w:rsidRPr="00B6367E">
              <w:rPr>
                <w:rFonts w:ascii="Calibri" w:eastAsia="Times New Roman" w:hAnsi="Calibri" w:cs="Times New Roman"/>
                <w:color w:val="000000"/>
                <w:sz w:val="16"/>
                <w:szCs w:val="16"/>
                <w:lang w:eastAsia="en-GB"/>
              </w:rPr>
              <w:t>%</w:t>
            </w:r>
          </w:p>
        </w:tc>
        <w:tc>
          <w:tcPr>
            <w:tcW w:w="8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04613" w:rsidRPr="000C49E8" w:rsidRDefault="00504613" w:rsidP="00504613">
            <w:pPr>
              <w:spacing w:after="0" w:line="240" w:lineRule="auto"/>
              <w:jc w:val="center"/>
              <w:rPr>
                <w:rFonts w:ascii="Calibri" w:eastAsia="Times New Roman" w:hAnsi="Calibri" w:cs="Times New Roman"/>
                <w:color w:val="000000"/>
                <w:sz w:val="16"/>
                <w:szCs w:val="16"/>
                <w:lang w:eastAsia="en-GB"/>
              </w:rPr>
            </w:pPr>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04613" w:rsidRPr="000C49E8" w:rsidRDefault="00504613" w:rsidP="00504613">
            <w:pPr>
              <w:spacing w:after="0" w:line="240" w:lineRule="auto"/>
              <w:jc w:val="center"/>
              <w:rPr>
                <w:rFonts w:ascii="Calibri" w:eastAsia="Times New Roman" w:hAnsi="Calibri" w:cs="Times New Roman"/>
                <w:color w:val="000000"/>
                <w:sz w:val="16"/>
                <w:szCs w:val="16"/>
                <w:lang w:eastAsia="en-GB"/>
              </w:rPr>
            </w:pPr>
          </w:p>
        </w:tc>
        <w:tc>
          <w:tcPr>
            <w:tcW w:w="103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04613" w:rsidRPr="000C49E8" w:rsidRDefault="00504613" w:rsidP="00504613">
            <w:pPr>
              <w:spacing w:after="0" w:line="240" w:lineRule="auto"/>
              <w:jc w:val="center"/>
              <w:rPr>
                <w:rFonts w:ascii="Calibri" w:eastAsia="Times New Roman" w:hAnsi="Calibri" w:cs="Times New Roman"/>
                <w:color w:val="000000"/>
                <w:sz w:val="16"/>
                <w:szCs w:val="16"/>
                <w:lang w:eastAsia="en-GB"/>
              </w:rPr>
            </w:pPr>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04613" w:rsidRPr="000C49E8" w:rsidRDefault="00504613" w:rsidP="00504613">
            <w:pPr>
              <w:spacing w:after="0" w:line="240" w:lineRule="auto"/>
              <w:jc w:val="center"/>
              <w:rPr>
                <w:rFonts w:ascii="Calibri" w:eastAsia="Times New Roman" w:hAnsi="Calibri" w:cs="Times New Roman"/>
                <w:color w:val="000000"/>
                <w:sz w:val="16"/>
                <w:szCs w:val="16"/>
                <w:lang w:eastAsia="en-GB"/>
              </w:rPr>
            </w:pPr>
          </w:p>
        </w:tc>
        <w:tc>
          <w:tcPr>
            <w:tcW w:w="80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04613" w:rsidRPr="000C49E8" w:rsidRDefault="00504613" w:rsidP="00504613">
            <w:pPr>
              <w:spacing w:after="0" w:line="240" w:lineRule="auto"/>
              <w:jc w:val="center"/>
              <w:rPr>
                <w:rFonts w:ascii="Calibri" w:eastAsia="Times New Roman" w:hAnsi="Calibri" w:cs="Times New Roman"/>
                <w:color w:val="000000"/>
                <w:sz w:val="12"/>
                <w:szCs w:val="12"/>
                <w:lang w:eastAsia="en-GB"/>
              </w:rPr>
            </w:pPr>
          </w:p>
        </w:tc>
        <w:tc>
          <w:tcPr>
            <w:tcW w:w="128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04613" w:rsidRPr="000C49E8" w:rsidRDefault="00504613" w:rsidP="00504613">
            <w:pPr>
              <w:spacing w:after="0" w:line="240" w:lineRule="auto"/>
              <w:jc w:val="center"/>
              <w:rPr>
                <w:rFonts w:ascii="Calibri" w:eastAsia="Times New Roman" w:hAnsi="Calibri" w:cs="Times New Roman"/>
                <w:color w:val="000000"/>
                <w:sz w:val="12"/>
                <w:szCs w:val="12"/>
                <w:lang w:eastAsia="en-GB"/>
              </w:rPr>
            </w:pPr>
          </w:p>
        </w:tc>
      </w:tr>
      <w:tr w:rsidR="00504613" w:rsidRPr="000C49E8" w:rsidTr="00504613">
        <w:trPr>
          <w:trHeight w:val="168"/>
        </w:trPr>
        <w:tc>
          <w:tcPr>
            <w:tcW w:w="1880" w:type="dxa"/>
            <w:tcBorders>
              <w:top w:val="single" w:sz="8" w:space="0" w:color="auto"/>
              <w:left w:val="single" w:sz="8" w:space="0" w:color="auto"/>
              <w:bottom w:val="single" w:sz="8" w:space="0" w:color="auto"/>
              <w:right w:val="single" w:sz="8" w:space="0" w:color="auto"/>
            </w:tcBorders>
            <w:shd w:val="clear" w:color="auto" w:fill="auto"/>
            <w:hideMark/>
          </w:tcPr>
          <w:p w:rsidR="00504613" w:rsidRPr="00B6367E" w:rsidRDefault="00504613" w:rsidP="00504613">
            <w:pPr>
              <w:spacing w:after="0" w:line="240" w:lineRule="auto"/>
              <w:rPr>
                <w:rFonts w:ascii="Calibri" w:eastAsia="Times New Roman" w:hAnsi="Calibri" w:cs="Times New Roman"/>
                <w:color w:val="000000"/>
                <w:sz w:val="16"/>
                <w:szCs w:val="16"/>
                <w:lang w:eastAsia="en-GB"/>
              </w:rPr>
            </w:pPr>
            <w:r w:rsidRPr="00B6367E">
              <w:rPr>
                <w:rFonts w:ascii="Calibri" w:eastAsia="Times New Roman" w:hAnsi="Calibri" w:cs="Times New Roman"/>
                <w:color w:val="000000"/>
                <w:sz w:val="16"/>
                <w:szCs w:val="16"/>
                <w:lang w:eastAsia="en-GB"/>
              </w:rPr>
              <w:t>Female Staging (2003-07)</w:t>
            </w:r>
          </w:p>
        </w:tc>
        <w:tc>
          <w:tcPr>
            <w:tcW w:w="125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04613" w:rsidRPr="00B6367E" w:rsidRDefault="00504613" w:rsidP="00504613">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Stage 1: 17.1</w:t>
            </w:r>
            <w:r w:rsidRPr="00B6367E">
              <w:rPr>
                <w:rFonts w:ascii="Calibri" w:eastAsia="Times New Roman" w:hAnsi="Calibri" w:cs="Times New Roman"/>
                <w:color w:val="000000"/>
                <w:sz w:val="16"/>
                <w:szCs w:val="16"/>
                <w:lang w:eastAsia="en-GB"/>
              </w:rPr>
              <w:t xml:space="preserve">%       </w:t>
            </w:r>
            <w:r>
              <w:rPr>
                <w:rFonts w:ascii="Calibri" w:eastAsia="Times New Roman" w:hAnsi="Calibri" w:cs="Times New Roman"/>
                <w:color w:val="000000"/>
                <w:sz w:val="16"/>
                <w:szCs w:val="16"/>
                <w:lang w:eastAsia="en-GB"/>
              </w:rPr>
              <w:t xml:space="preserve">                   Stage 4: 20.3</w:t>
            </w:r>
            <w:r w:rsidRPr="00B6367E">
              <w:rPr>
                <w:rFonts w:ascii="Calibri" w:eastAsia="Times New Roman" w:hAnsi="Calibri" w:cs="Times New Roman"/>
                <w:color w:val="000000"/>
                <w:sz w:val="16"/>
                <w:szCs w:val="16"/>
                <w:lang w:eastAsia="en-GB"/>
              </w:rPr>
              <w:t xml:space="preserve">%   </w:t>
            </w:r>
            <w:r>
              <w:rPr>
                <w:rFonts w:ascii="Calibri" w:eastAsia="Times New Roman" w:hAnsi="Calibri" w:cs="Times New Roman"/>
                <w:color w:val="000000"/>
                <w:sz w:val="16"/>
                <w:szCs w:val="16"/>
                <w:lang w:eastAsia="en-GB"/>
              </w:rPr>
              <w:t xml:space="preserve">                        NK: 30.1</w:t>
            </w:r>
            <w:r w:rsidRPr="00B6367E">
              <w:rPr>
                <w:rFonts w:ascii="Calibri" w:eastAsia="Times New Roman" w:hAnsi="Calibri" w:cs="Times New Roman"/>
                <w:color w:val="000000"/>
                <w:sz w:val="16"/>
                <w:szCs w:val="16"/>
                <w:lang w:eastAsia="en-GB"/>
              </w:rPr>
              <w:t>%</w:t>
            </w:r>
          </w:p>
        </w:tc>
        <w:tc>
          <w:tcPr>
            <w:tcW w:w="8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04613" w:rsidRPr="000C49E8" w:rsidRDefault="00504613" w:rsidP="00504613">
            <w:pPr>
              <w:spacing w:after="0" w:line="240" w:lineRule="auto"/>
              <w:jc w:val="center"/>
              <w:rPr>
                <w:rFonts w:ascii="Calibri" w:eastAsia="Times New Roman" w:hAnsi="Calibri" w:cs="Times New Roman"/>
                <w:color w:val="000000"/>
                <w:sz w:val="16"/>
                <w:szCs w:val="16"/>
                <w:lang w:eastAsia="en-GB"/>
              </w:rPr>
            </w:pPr>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04613" w:rsidRPr="000C49E8" w:rsidRDefault="00504613" w:rsidP="00504613">
            <w:pPr>
              <w:spacing w:after="0" w:line="240" w:lineRule="auto"/>
              <w:jc w:val="center"/>
              <w:rPr>
                <w:rFonts w:ascii="Calibri" w:eastAsia="Times New Roman" w:hAnsi="Calibri" w:cs="Times New Roman"/>
                <w:color w:val="000000"/>
                <w:sz w:val="16"/>
                <w:szCs w:val="16"/>
                <w:lang w:eastAsia="en-GB"/>
              </w:rPr>
            </w:pPr>
          </w:p>
        </w:tc>
        <w:tc>
          <w:tcPr>
            <w:tcW w:w="103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04613" w:rsidRPr="000C49E8" w:rsidRDefault="00504613" w:rsidP="00504613">
            <w:pPr>
              <w:spacing w:after="0" w:line="240" w:lineRule="auto"/>
              <w:jc w:val="center"/>
              <w:rPr>
                <w:rFonts w:ascii="Calibri" w:eastAsia="Times New Roman" w:hAnsi="Calibri" w:cs="Times New Roman"/>
                <w:color w:val="000000"/>
                <w:sz w:val="16"/>
                <w:szCs w:val="16"/>
                <w:lang w:eastAsia="en-GB"/>
              </w:rPr>
            </w:pPr>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04613" w:rsidRPr="000C49E8" w:rsidRDefault="00504613" w:rsidP="00504613">
            <w:pPr>
              <w:spacing w:after="0" w:line="240" w:lineRule="auto"/>
              <w:jc w:val="center"/>
              <w:rPr>
                <w:rFonts w:ascii="Calibri" w:eastAsia="Times New Roman" w:hAnsi="Calibri" w:cs="Times New Roman"/>
                <w:color w:val="000000"/>
                <w:sz w:val="16"/>
                <w:szCs w:val="16"/>
                <w:lang w:eastAsia="en-GB"/>
              </w:rPr>
            </w:pPr>
          </w:p>
        </w:tc>
        <w:tc>
          <w:tcPr>
            <w:tcW w:w="80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04613" w:rsidRPr="000C49E8" w:rsidRDefault="00504613" w:rsidP="00504613">
            <w:pPr>
              <w:spacing w:after="0" w:line="240" w:lineRule="auto"/>
              <w:jc w:val="center"/>
              <w:rPr>
                <w:rFonts w:ascii="Calibri" w:eastAsia="Times New Roman" w:hAnsi="Calibri" w:cs="Times New Roman"/>
                <w:color w:val="000000"/>
                <w:sz w:val="12"/>
                <w:szCs w:val="12"/>
                <w:lang w:eastAsia="en-GB"/>
              </w:rPr>
            </w:pPr>
          </w:p>
        </w:tc>
        <w:tc>
          <w:tcPr>
            <w:tcW w:w="128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04613" w:rsidRPr="000C49E8" w:rsidRDefault="00504613" w:rsidP="00504613">
            <w:pPr>
              <w:spacing w:after="0" w:line="240" w:lineRule="auto"/>
              <w:jc w:val="center"/>
              <w:rPr>
                <w:rFonts w:ascii="Calibri" w:eastAsia="Times New Roman" w:hAnsi="Calibri" w:cs="Times New Roman"/>
                <w:color w:val="000000"/>
                <w:sz w:val="12"/>
                <w:szCs w:val="12"/>
                <w:lang w:eastAsia="en-GB"/>
              </w:rPr>
            </w:pPr>
          </w:p>
        </w:tc>
      </w:tr>
      <w:tr w:rsidR="00504613" w:rsidRPr="000C49E8" w:rsidTr="00504613">
        <w:trPr>
          <w:trHeight w:val="168"/>
        </w:trPr>
        <w:tc>
          <w:tcPr>
            <w:tcW w:w="1880" w:type="dxa"/>
            <w:tcBorders>
              <w:top w:val="single" w:sz="8" w:space="0" w:color="auto"/>
              <w:left w:val="single" w:sz="8" w:space="0" w:color="auto"/>
              <w:bottom w:val="single" w:sz="8" w:space="0" w:color="auto"/>
              <w:right w:val="single" w:sz="8" w:space="0" w:color="auto"/>
            </w:tcBorders>
            <w:shd w:val="clear" w:color="auto" w:fill="auto"/>
            <w:hideMark/>
          </w:tcPr>
          <w:p w:rsidR="00504613" w:rsidRPr="000C49E8" w:rsidRDefault="00504613" w:rsidP="00504613">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Male 1-year prevalence per 100,000 (2006)</w:t>
            </w:r>
          </w:p>
        </w:tc>
        <w:tc>
          <w:tcPr>
            <w:tcW w:w="1254" w:type="dxa"/>
            <w:tcBorders>
              <w:top w:val="single" w:sz="8" w:space="0" w:color="auto"/>
              <w:left w:val="single" w:sz="8" w:space="0" w:color="auto"/>
              <w:bottom w:val="single" w:sz="8" w:space="0" w:color="auto"/>
              <w:right w:val="single" w:sz="8" w:space="0" w:color="auto"/>
            </w:tcBorders>
            <w:shd w:val="clear" w:color="auto" w:fill="FF0000"/>
            <w:noWrap/>
            <w:vAlign w:val="center"/>
            <w:hideMark/>
          </w:tcPr>
          <w:p w:rsidR="00504613" w:rsidRPr="000C49E8" w:rsidRDefault="00504613" w:rsidP="00504613">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40.0</w:t>
            </w:r>
          </w:p>
        </w:tc>
        <w:tc>
          <w:tcPr>
            <w:tcW w:w="8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04613" w:rsidRPr="000C49E8" w:rsidRDefault="00504613" w:rsidP="00504613">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33.0</w:t>
            </w:r>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04613" w:rsidRPr="000C49E8" w:rsidRDefault="00504613" w:rsidP="00504613">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35.2</w:t>
            </w:r>
          </w:p>
        </w:tc>
        <w:tc>
          <w:tcPr>
            <w:tcW w:w="1039" w:type="dxa"/>
            <w:tcBorders>
              <w:top w:val="single" w:sz="8" w:space="0" w:color="auto"/>
              <w:left w:val="single" w:sz="8" w:space="0" w:color="auto"/>
              <w:bottom w:val="single" w:sz="8" w:space="0" w:color="auto"/>
              <w:right w:val="single" w:sz="8" w:space="0" w:color="auto"/>
            </w:tcBorders>
            <w:shd w:val="clear" w:color="auto" w:fill="00B050"/>
            <w:noWrap/>
            <w:vAlign w:val="center"/>
            <w:hideMark/>
          </w:tcPr>
          <w:p w:rsidR="00504613" w:rsidRPr="000C49E8" w:rsidRDefault="00504613" w:rsidP="00504613">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32.7</w:t>
            </w:r>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04613" w:rsidRPr="000C49E8" w:rsidRDefault="00504613" w:rsidP="00504613">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36.0</w:t>
            </w:r>
          </w:p>
        </w:tc>
        <w:tc>
          <w:tcPr>
            <w:tcW w:w="804" w:type="dxa"/>
            <w:tcBorders>
              <w:top w:val="single" w:sz="8" w:space="0" w:color="auto"/>
              <w:left w:val="single" w:sz="8" w:space="0" w:color="auto"/>
              <w:bottom w:val="single" w:sz="8" w:space="0" w:color="auto"/>
              <w:right w:val="single" w:sz="8" w:space="0" w:color="auto"/>
            </w:tcBorders>
            <w:shd w:val="clear" w:color="auto" w:fill="00B050"/>
            <w:vAlign w:val="center"/>
            <w:hideMark/>
          </w:tcPr>
          <w:p w:rsidR="00504613" w:rsidRPr="000C49E8" w:rsidRDefault="00504613" w:rsidP="00504613">
            <w:pPr>
              <w:spacing w:after="0" w:line="240" w:lineRule="auto"/>
              <w:jc w:val="center"/>
              <w:rPr>
                <w:rFonts w:ascii="Calibri" w:eastAsia="Times New Roman" w:hAnsi="Calibri" w:cs="Times New Roman"/>
                <w:color w:val="000000"/>
                <w:sz w:val="12"/>
                <w:szCs w:val="12"/>
                <w:lang w:eastAsia="en-GB"/>
              </w:rPr>
            </w:pPr>
            <w:r>
              <w:rPr>
                <w:rFonts w:ascii="Calibri" w:eastAsia="Times New Roman" w:hAnsi="Calibri" w:cs="Times New Roman"/>
                <w:color w:val="000000"/>
                <w:sz w:val="12"/>
                <w:szCs w:val="12"/>
                <w:lang w:eastAsia="en-GB"/>
              </w:rPr>
              <w:t>Lowest</w:t>
            </w:r>
          </w:p>
        </w:tc>
        <w:tc>
          <w:tcPr>
            <w:tcW w:w="1280" w:type="dxa"/>
            <w:tcBorders>
              <w:top w:val="single" w:sz="8" w:space="0" w:color="auto"/>
              <w:left w:val="single" w:sz="8" w:space="0" w:color="auto"/>
              <w:bottom w:val="single" w:sz="8" w:space="0" w:color="auto"/>
              <w:right w:val="single" w:sz="8" w:space="0" w:color="auto"/>
            </w:tcBorders>
            <w:shd w:val="clear" w:color="auto" w:fill="FF0000"/>
            <w:vAlign w:val="center"/>
            <w:hideMark/>
          </w:tcPr>
          <w:p w:rsidR="00504613" w:rsidRPr="000C49E8" w:rsidRDefault="00504613" w:rsidP="00504613">
            <w:pPr>
              <w:spacing w:after="0" w:line="240" w:lineRule="auto"/>
              <w:jc w:val="center"/>
              <w:rPr>
                <w:rFonts w:ascii="Calibri" w:eastAsia="Times New Roman" w:hAnsi="Calibri" w:cs="Times New Roman"/>
                <w:color w:val="000000"/>
                <w:sz w:val="12"/>
                <w:szCs w:val="12"/>
                <w:lang w:eastAsia="en-GB"/>
              </w:rPr>
            </w:pPr>
            <w:r>
              <w:rPr>
                <w:rFonts w:ascii="Calibri" w:eastAsia="Times New Roman" w:hAnsi="Calibri" w:cs="Times New Roman"/>
                <w:color w:val="000000"/>
                <w:sz w:val="12"/>
                <w:szCs w:val="12"/>
                <w:lang w:eastAsia="en-GB"/>
              </w:rPr>
              <w:t>Highest</w:t>
            </w:r>
          </w:p>
        </w:tc>
      </w:tr>
      <w:tr w:rsidR="00504613" w:rsidRPr="000C49E8" w:rsidTr="00504613">
        <w:trPr>
          <w:trHeight w:val="345"/>
        </w:trPr>
        <w:tc>
          <w:tcPr>
            <w:tcW w:w="1880" w:type="dxa"/>
            <w:tcBorders>
              <w:top w:val="single" w:sz="8" w:space="0" w:color="auto"/>
              <w:left w:val="single" w:sz="8" w:space="0" w:color="auto"/>
              <w:bottom w:val="single" w:sz="8" w:space="0" w:color="auto"/>
              <w:right w:val="single" w:sz="8" w:space="0" w:color="auto"/>
            </w:tcBorders>
            <w:shd w:val="clear" w:color="auto" w:fill="auto"/>
            <w:noWrap/>
            <w:hideMark/>
          </w:tcPr>
          <w:p w:rsidR="00504613" w:rsidRPr="000C49E8" w:rsidRDefault="00504613" w:rsidP="00504613">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Female 1-year prevalence per 100,000 (2006)</w:t>
            </w:r>
          </w:p>
        </w:tc>
        <w:tc>
          <w:tcPr>
            <w:tcW w:w="1254" w:type="dxa"/>
            <w:tcBorders>
              <w:top w:val="single" w:sz="8" w:space="0" w:color="auto"/>
              <w:left w:val="nil"/>
              <w:bottom w:val="nil"/>
              <w:right w:val="nil"/>
            </w:tcBorders>
            <w:shd w:val="clear" w:color="auto" w:fill="FF0000"/>
            <w:noWrap/>
            <w:vAlign w:val="center"/>
            <w:hideMark/>
          </w:tcPr>
          <w:p w:rsidR="00504613" w:rsidRPr="000C49E8" w:rsidRDefault="00504613" w:rsidP="00504613">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24.7</w:t>
            </w:r>
          </w:p>
        </w:tc>
        <w:tc>
          <w:tcPr>
            <w:tcW w:w="818" w:type="dxa"/>
            <w:tcBorders>
              <w:top w:val="single" w:sz="8" w:space="0" w:color="auto"/>
              <w:left w:val="single" w:sz="8" w:space="0" w:color="auto"/>
              <w:bottom w:val="single" w:sz="8" w:space="0" w:color="auto"/>
              <w:right w:val="single" w:sz="8" w:space="0" w:color="auto"/>
            </w:tcBorders>
            <w:shd w:val="clear" w:color="auto" w:fill="00B050"/>
            <w:noWrap/>
            <w:vAlign w:val="center"/>
            <w:hideMark/>
          </w:tcPr>
          <w:p w:rsidR="00504613" w:rsidRPr="000C49E8" w:rsidRDefault="00504613" w:rsidP="00504613">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21.2</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504613" w:rsidRPr="000C49E8" w:rsidRDefault="00504613" w:rsidP="00504613">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21.7</w:t>
            </w:r>
          </w:p>
        </w:tc>
        <w:tc>
          <w:tcPr>
            <w:tcW w:w="1039" w:type="dxa"/>
            <w:tcBorders>
              <w:top w:val="single" w:sz="8" w:space="0" w:color="auto"/>
              <w:left w:val="nil"/>
              <w:bottom w:val="single" w:sz="8" w:space="0" w:color="auto"/>
              <w:right w:val="single" w:sz="8" w:space="0" w:color="auto"/>
            </w:tcBorders>
            <w:shd w:val="clear" w:color="auto" w:fill="auto"/>
            <w:noWrap/>
            <w:vAlign w:val="center"/>
            <w:hideMark/>
          </w:tcPr>
          <w:p w:rsidR="00504613" w:rsidRPr="000C49E8" w:rsidRDefault="00504613" w:rsidP="00504613">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22.5</w:t>
            </w:r>
          </w:p>
        </w:tc>
        <w:tc>
          <w:tcPr>
            <w:tcW w:w="960" w:type="dxa"/>
            <w:tcBorders>
              <w:top w:val="single" w:sz="8" w:space="0" w:color="auto"/>
              <w:left w:val="nil"/>
              <w:bottom w:val="nil"/>
              <w:right w:val="single" w:sz="8" w:space="0" w:color="auto"/>
            </w:tcBorders>
            <w:shd w:val="clear" w:color="auto" w:fill="auto"/>
            <w:noWrap/>
            <w:vAlign w:val="center"/>
            <w:hideMark/>
          </w:tcPr>
          <w:p w:rsidR="00504613" w:rsidRPr="000C49E8" w:rsidRDefault="00504613" w:rsidP="00504613">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22.4</w:t>
            </w:r>
          </w:p>
        </w:tc>
        <w:tc>
          <w:tcPr>
            <w:tcW w:w="804" w:type="dxa"/>
            <w:tcBorders>
              <w:top w:val="single" w:sz="8" w:space="0" w:color="auto"/>
              <w:left w:val="nil"/>
              <w:bottom w:val="single" w:sz="8" w:space="0" w:color="auto"/>
              <w:right w:val="single" w:sz="8" w:space="0" w:color="auto"/>
            </w:tcBorders>
            <w:shd w:val="clear" w:color="auto" w:fill="00B050"/>
            <w:vAlign w:val="center"/>
            <w:hideMark/>
          </w:tcPr>
          <w:p w:rsidR="00504613" w:rsidRPr="000C49E8" w:rsidRDefault="00504613" w:rsidP="00504613">
            <w:pPr>
              <w:spacing w:after="0" w:line="240" w:lineRule="auto"/>
              <w:jc w:val="center"/>
              <w:rPr>
                <w:rFonts w:ascii="Calibri" w:eastAsia="Times New Roman" w:hAnsi="Calibri" w:cs="Times New Roman"/>
                <w:color w:val="000000"/>
                <w:sz w:val="12"/>
                <w:szCs w:val="12"/>
                <w:lang w:eastAsia="en-GB"/>
              </w:rPr>
            </w:pPr>
            <w:r>
              <w:rPr>
                <w:rFonts w:ascii="Calibri" w:eastAsia="Times New Roman" w:hAnsi="Calibri" w:cs="Times New Roman"/>
                <w:color w:val="000000"/>
                <w:sz w:val="12"/>
                <w:szCs w:val="12"/>
                <w:lang w:eastAsia="en-GB"/>
              </w:rPr>
              <w:t>Lowest</w:t>
            </w:r>
          </w:p>
        </w:tc>
        <w:tc>
          <w:tcPr>
            <w:tcW w:w="1280" w:type="dxa"/>
            <w:tcBorders>
              <w:top w:val="single" w:sz="8" w:space="0" w:color="auto"/>
              <w:left w:val="nil"/>
              <w:bottom w:val="single" w:sz="8" w:space="0" w:color="auto"/>
              <w:right w:val="single" w:sz="8" w:space="0" w:color="auto"/>
            </w:tcBorders>
            <w:shd w:val="clear" w:color="auto" w:fill="FF0000"/>
            <w:vAlign w:val="center"/>
            <w:hideMark/>
          </w:tcPr>
          <w:p w:rsidR="00504613" w:rsidRPr="000C49E8" w:rsidRDefault="00504613" w:rsidP="00504613">
            <w:pPr>
              <w:spacing w:after="0" w:line="240" w:lineRule="auto"/>
              <w:jc w:val="center"/>
              <w:rPr>
                <w:rFonts w:ascii="Calibri" w:eastAsia="Times New Roman" w:hAnsi="Calibri" w:cs="Times New Roman"/>
                <w:color w:val="000000"/>
                <w:sz w:val="12"/>
                <w:szCs w:val="12"/>
                <w:lang w:eastAsia="en-GB"/>
              </w:rPr>
            </w:pPr>
            <w:r>
              <w:rPr>
                <w:rFonts w:ascii="Calibri" w:eastAsia="Times New Roman" w:hAnsi="Calibri" w:cs="Times New Roman"/>
                <w:color w:val="000000"/>
                <w:sz w:val="12"/>
                <w:szCs w:val="12"/>
                <w:lang w:eastAsia="en-GB"/>
              </w:rPr>
              <w:t>Highest</w:t>
            </w:r>
          </w:p>
        </w:tc>
      </w:tr>
      <w:tr w:rsidR="00504613" w:rsidRPr="000C49E8" w:rsidTr="00504613">
        <w:trPr>
          <w:trHeight w:val="510"/>
        </w:trPr>
        <w:tc>
          <w:tcPr>
            <w:tcW w:w="1880" w:type="dxa"/>
            <w:tcBorders>
              <w:top w:val="nil"/>
              <w:left w:val="single" w:sz="8" w:space="0" w:color="auto"/>
              <w:bottom w:val="nil"/>
              <w:right w:val="nil"/>
            </w:tcBorders>
            <w:shd w:val="clear" w:color="auto" w:fill="auto"/>
            <w:hideMark/>
          </w:tcPr>
          <w:p w:rsidR="00504613" w:rsidRPr="000C49E8" w:rsidRDefault="00504613" w:rsidP="00504613">
            <w:pPr>
              <w:spacing w:after="0" w:line="240" w:lineRule="auto"/>
              <w:rPr>
                <w:rFonts w:ascii="Calibri" w:eastAsia="Times New Roman" w:hAnsi="Calibri" w:cs="Times New Roman"/>
                <w:color w:val="000000"/>
                <w:sz w:val="16"/>
                <w:szCs w:val="16"/>
                <w:lang w:eastAsia="en-GB"/>
              </w:rPr>
            </w:pPr>
            <w:r w:rsidRPr="000C49E8">
              <w:rPr>
                <w:rFonts w:ascii="Calibri" w:eastAsia="Times New Roman" w:hAnsi="Calibri" w:cs="Times New Roman"/>
                <w:color w:val="000000"/>
                <w:sz w:val="16"/>
                <w:szCs w:val="16"/>
                <w:lang w:eastAsia="en-GB"/>
              </w:rPr>
              <w:t>Male One-year survival</w:t>
            </w:r>
            <w:r>
              <w:rPr>
                <w:rFonts w:ascii="Calibri" w:eastAsia="Times New Roman" w:hAnsi="Calibri" w:cs="Times New Roman"/>
                <w:color w:val="000000"/>
                <w:sz w:val="16"/>
                <w:szCs w:val="16"/>
                <w:lang w:eastAsia="en-GB"/>
              </w:rPr>
              <w:t xml:space="preserve"> (2002-07)</w:t>
            </w:r>
          </w:p>
        </w:tc>
        <w:tc>
          <w:tcPr>
            <w:tcW w:w="1254" w:type="dxa"/>
            <w:tcBorders>
              <w:top w:val="single" w:sz="8" w:space="0" w:color="auto"/>
              <w:left w:val="single" w:sz="8" w:space="0" w:color="auto"/>
              <w:bottom w:val="single" w:sz="8" w:space="0" w:color="auto"/>
              <w:right w:val="single" w:sz="8" w:space="0" w:color="auto"/>
            </w:tcBorders>
            <w:shd w:val="clear" w:color="000000" w:fill="00B050"/>
            <w:noWrap/>
            <w:vAlign w:val="center"/>
            <w:hideMark/>
          </w:tcPr>
          <w:p w:rsidR="00504613" w:rsidRPr="000C49E8" w:rsidRDefault="00504613" w:rsidP="00504613">
            <w:pPr>
              <w:spacing w:after="0" w:line="240" w:lineRule="auto"/>
              <w:jc w:val="center"/>
              <w:rPr>
                <w:rFonts w:ascii="Calibri" w:eastAsia="Times New Roman" w:hAnsi="Calibri" w:cs="Times New Roman"/>
                <w:color w:val="000000"/>
                <w:sz w:val="16"/>
                <w:szCs w:val="16"/>
                <w:lang w:eastAsia="en-GB"/>
              </w:rPr>
            </w:pPr>
            <w:r w:rsidRPr="000C49E8">
              <w:rPr>
                <w:rFonts w:ascii="Calibri" w:eastAsia="Times New Roman" w:hAnsi="Calibri" w:cs="Times New Roman"/>
                <w:color w:val="000000"/>
                <w:sz w:val="16"/>
                <w:szCs w:val="16"/>
                <w:lang w:eastAsia="en-GB"/>
              </w:rPr>
              <w:t>76.9%</w:t>
            </w:r>
          </w:p>
        </w:tc>
        <w:tc>
          <w:tcPr>
            <w:tcW w:w="818" w:type="dxa"/>
            <w:tcBorders>
              <w:top w:val="nil"/>
              <w:left w:val="nil"/>
              <w:bottom w:val="single" w:sz="8" w:space="0" w:color="auto"/>
              <w:right w:val="single" w:sz="8" w:space="0" w:color="auto"/>
            </w:tcBorders>
            <w:shd w:val="clear" w:color="auto" w:fill="FF0000"/>
            <w:noWrap/>
            <w:vAlign w:val="center"/>
            <w:hideMark/>
          </w:tcPr>
          <w:p w:rsidR="00504613" w:rsidRPr="000C49E8" w:rsidRDefault="00504613" w:rsidP="00504613">
            <w:pPr>
              <w:spacing w:after="0" w:line="240" w:lineRule="auto"/>
              <w:jc w:val="center"/>
              <w:rPr>
                <w:rFonts w:ascii="Calibri" w:eastAsia="Times New Roman" w:hAnsi="Calibri" w:cs="Times New Roman"/>
                <w:color w:val="000000"/>
                <w:sz w:val="16"/>
                <w:szCs w:val="16"/>
                <w:lang w:eastAsia="en-GB"/>
              </w:rPr>
            </w:pPr>
            <w:r w:rsidRPr="000C49E8">
              <w:rPr>
                <w:rFonts w:ascii="Calibri" w:eastAsia="Times New Roman" w:hAnsi="Calibri" w:cs="Times New Roman"/>
                <w:color w:val="000000"/>
                <w:sz w:val="16"/>
                <w:szCs w:val="16"/>
                <w:lang w:eastAsia="en-GB"/>
              </w:rPr>
              <w:t>69.7%</w:t>
            </w:r>
          </w:p>
        </w:tc>
        <w:tc>
          <w:tcPr>
            <w:tcW w:w="960" w:type="dxa"/>
            <w:tcBorders>
              <w:top w:val="nil"/>
              <w:left w:val="nil"/>
              <w:bottom w:val="single" w:sz="8" w:space="0" w:color="auto"/>
              <w:right w:val="single" w:sz="8" w:space="0" w:color="auto"/>
            </w:tcBorders>
            <w:shd w:val="clear" w:color="auto" w:fill="FF0000"/>
            <w:noWrap/>
            <w:vAlign w:val="center"/>
            <w:hideMark/>
          </w:tcPr>
          <w:p w:rsidR="00504613" w:rsidRPr="000C49E8" w:rsidRDefault="00504613" w:rsidP="00504613">
            <w:pPr>
              <w:spacing w:after="0" w:line="240" w:lineRule="auto"/>
              <w:jc w:val="center"/>
              <w:rPr>
                <w:rFonts w:ascii="Calibri" w:eastAsia="Times New Roman" w:hAnsi="Calibri" w:cs="Times New Roman"/>
                <w:color w:val="000000"/>
                <w:sz w:val="16"/>
                <w:szCs w:val="16"/>
                <w:lang w:eastAsia="en-GB"/>
              </w:rPr>
            </w:pPr>
            <w:r w:rsidRPr="000C49E8">
              <w:rPr>
                <w:rFonts w:ascii="Calibri" w:eastAsia="Times New Roman" w:hAnsi="Calibri" w:cs="Times New Roman"/>
                <w:color w:val="000000"/>
                <w:sz w:val="16"/>
                <w:szCs w:val="16"/>
                <w:lang w:eastAsia="en-GB"/>
              </w:rPr>
              <w:t>69.2%</w:t>
            </w:r>
          </w:p>
        </w:tc>
        <w:tc>
          <w:tcPr>
            <w:tcW w:w="1039" w:type="dxa"/>
            <w:tcBorders>
              <w:top w:val="nil"/>
              <w:left w:val="nil"/>
              <w:bottom w:val="single" w:sz="8" w:space="0" w:color="auto"/>
              <w:right w:val="single" w:sz="8" w:space="0" w:color="auto"/>
            </w:tcBorders>
            <w:shd w:val="clear" w:color="auto" w:fill="FF0000"/>
            <w:noWrap/>
            <w:vAlign w:val="center"/>
            <w:hideMark/>
          </w:tcPr>
          <w:p w:rsidR="00504613" w:rsidRPr="000C49E8" w:rsidRDefault="00504613" w:rsidP="00504613">
            <w:pPr>
              <w:spacing w:after="0" w:line="240" w:lineRule="auto"/>
              <w:jc w:val="center"/>
              <w:rPr>
                <w:rFonts w:ascii="Calibri" w:eastAsia="Times New Roman" w:hAnsi="Calibri" w:cs="Times New Roman"/>
                <w:color w:val="000000"/>
                <w:sz w:val="16"/>
                <w:szCs w:val="16"/>
                <w:lang w:eastAsia="en-GB"/>
              </w:rPr>
            </w:pPr>
            <w:r w:rsidRPr="000C49E8">
              <w:rPr>
                <w:rFonts w:ascii="Calibri" w:eastAsia="Times New Roman" w:hAnsi="Calibri" w:cs="Times New Roman"/>
                <w:color w:val="000000"/>
                <w:sz w:val="16"/>
                <w:szCs w:val="16"/>
                <w:lang w:eastAsia="en-GB"/>
              </w:rPr>
              <w:t>71.2%</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504613" w:rsidRPr="000C49E8" w:rsidRDefault="00504613" w:rsidP="00504613">
            <w:pPr>
              <w:spacing w:after="0" w:line="240" w:lineRule="auto"/>
              <w:jc w:val="center"/>
              <w:rPr>
                <w:rFonts w:ascii="Calibri" w:eastAsia="Times New Roman" w:hAnsi="Calibri" w:cs="Times New Roman"/>
                <w:color w:val="000000"/>
                <w:sz w:val="16"/>
                <w:szCs w:val="16"/>
                <w:lang w:eastAsia="en-GB"/>
              </w:rPr>
            </w:pPr>
            <w:r w:rsidRPr="000C49E8">
              <w:rPr>
                <w:rFonts w:ascii="Calibri" w:eastAsia="Times New Roman" w:hAnsi="Calibri" w:cs="Times New Roman"/>
                <w:color w:val="000000"/>
                <w:sz w:val="16"/>
                <w:szCs w:val="16"/>
                <w:lang w:eastAsia="en-GB"/>
              </w:rPr>
              <w:t>72.7%</w:t>
            </w:r>
          </w:p>
        </w:tc>
        <w:tc>
          <w:tcPr>
            <w:tcW w:w="804" w:type="dxa"/>
            <w:tcBorders>
              <w:top w:val="nil"/>
              <w:left w:val="nil"/>
              <w:bottom w:val="single" w:sz="8" w:space="0" w:color="auto"/>
              <w:right w:val="single" w:sz="8" w:space="0" w:color="auto"/>
            </w:tcBorders>
            <w:shd w:val="clear" w:color="000000" w:fill="00B050"/>
            <w:vAlign w:val="center"/>
            <w:hideMark/>
          </w:tcPr>
          <w:p w:rsidR="00504613" w:rsidRPr="000C49E8" w:rsidRDefault="00504613" w:rsidP="00504613">
            <w:pPr>
              <w:spacing w:after="0" w:line="240" w:lineRule="auto"/>
              <w:jc w:val="center"/>
              <w:rPr>
                <w:rFonts w:ascii="Calibri" w:eastAsia="Times New Roman" w:hAnsi="Calibri" w:cs="Times New Roman"/>
                <w:color w:val="000000"/>
                <w:sz w:val="12"/>
                <w:szCs w:val="12"/>
                <w:lang w:eastAsia="en-GB"/>
              </w:rPr>
            </w:pPr>
            <w:r w:rsidRPr="000C49E8">
              <w:rPr>
                <w:rFonts w:ascii="Calibri" w:eastAsia="Times New Roman" w:hAnsi="Calibri" w:cs="Times New Roman"/>
                <w:color w:val="000000"/>
                <w:sz w:val="12"/>
                <w:szCs w:val="12"/>
                <w:lang w:eastAsia="en-GB"/>
              </w:rPr>
              <w:t>Significantly higher than national average</w:t>
            </w:r>
          </w:p>
        </w:tc>
        <w:tc>
          <w:tcPr>
            <w:tcW w:w="1280" w:type="dxa"/>
            <w:tcBorders>
              <w:top w:val="nil"/>
              <w:left w:val="nil"/>
              <w:bottom w:val="single" w:sz="8" w:space="0" w:color="auto"/>
              <w:right w:val="single" w:sz="8" w:space="0" w:color="auto"/>
            </w:tcBorders>
            <w:shd w:val="clear" w:color="auto" w:fill="FF0000"/>
            <w:noWrap/>
            <w:vAlign w:val="center"/>
            <w:hideMark/>
          </w:tcPr>
          <w:p w:rsidR="00504613" w:rsidRPr="000C49E8" w:rsidRDefault="00504613" w:rsidP="00504613">
            <w:pPr>
              <w:spacing w:after="0" w:line="240" w:lineRule="auto"/>
              <w:jc w:val="center"/>
              <w:rPr>
                <w:rFonts w:ascii="Calibri" w:eastAsia="Times New Roman" w:hAnsi="Calibri" w:cs="Times New Roman"/>
                <w:color w:val="000000"/>
                <w:sz w:val="12"/>
                <w:szCs w:val="12"/>
                <w:lang w:eastAsia="en-GB"/>
              </w:rPr>
            </w:pPr>
            <w:r w:rsidRPr="000C49E8">
              <w:rPr>
                <w:rFonts w:ascii="Calibri" w:eastAsia="Times New Roman" w:hAnsi="Calibri" w:cs="Times New Roman"/>
                <w:color w:val="000000"/>
                <w:sz w:val="12"/>
                <w:szCs w:val="12"/>
                <w:lang w:eastAsia="en-GB"/>
              </w:rPr>
              <w:t>Significantly lower than national average</w:t>
            </w:r>
          </w:p>
        </w:tc>
      </w:tr>
      <w:tr w:rsidR="00504613" w:rsidRPr="000C49E8" w:rsidTr="00504613">
        <w:trPr>
          <w:trHeight w:val="480"/>
        </w:trPr>
        <w:tc>
          <w:tcPr>
            <w:tcW w:w="1880" w:type="dxa"/>
            <w:tcBorders>
              <w:top w:val="single" w:sz="8" w:space="0" w:color="auto"/>
              <w:left w:val="single" w:sz="8" w:space="0" w:color="auto"/>
              <w:bottom w:val="single" w:sz="8" w:space="0" w:color="auto"/>
              <w:right w:val="single" w:sz="8" w:space="0" w:color="auto"/>
            </w:tcBorders>
            <w:shd w:val="clear" w:color="auto" w:fill="auto"/>
            <w:hideMark/>
          </w:tcPr>
          <w:p w:rsidR="00504613" w:rsidRPr="000C49E8" w:rsidRDefault="00504613" w:rsidP="00504613">
            <w:pPr>
              <w:spacing w:after="0" w:line="240" w:lineRule="auto"/>
              <w:rPr>
                <w:rFonts w:ascii="Calibri" w:eastAsia="Times New Roman" w:hAnsi="Calibri" w:cs="Times New Roman"/>
                <w:color w:val="000000"/>
                <w:sz w:val="16"/>
                <w:szCs w:val="16"/>
                <w:lang w:eastAsia="en-GB"/>
              </w:rPr>
            </w:pPr>
            <w:r w:rsidRPr="000C49E8">
              <w:rPr>
                <w:rFonts w:ascii="Calibri" w:eastAsia="Times New Roman" w:hAnsi="Calibri" w:cs="Times New Roman"/>
                <w:color w:val="000000"/>
                <w:sz w:val="16"/>
                <w:szCs w:val="16"/>
                <w:lang w:eastAsia="en-GB"/>
              </w:rPr>
              <w:t>Female One-year survival</w:t>
            </w:r>
            <w:r>
              <w:rPr>
                <w:rFonts w:ascii="Calibri" w:eastAsia="Times New Roman" w:hAnsi="Calibri" w:cs="Times New Roman"/>
                <w:color w:val="000000"/>
                <w:sz w:val="16"/>
                <w:szCs w:val="16"/>
                <w:lang w:eastAsia="en-GB"/>
              </w:rPr>
              <w:t xml:space="preserve"> (2002-07)</w:t>
            </w:r>
          </w:p>
        </w:tc>
        <w:tc>
          <w:tcPr>
            <w:tcW w:w="1254" w:type="dxa"/>
            <w:tcBorders>
              <w:top w:val="nil"/>
              <w:left w:val="nil"/>
              <w:bottom w:val="single" w:sz="8" w:space="0" w:color="auto"/>
              <w:right w:val="single" w:sz="8" w:space="0" w:color="auto"/>
            </w:tcBorders>
            <w:shd w:val="clear" w:color="auto" w:fill="auto"/>
            <w:noWrap/>
            <w:vAlign w:val="center"/>
            <w:hideMark/>
          </w:tcPr>
          <w:p w:rsidR="00504613" w:rsidRPr="000C49E8" w:rsidRDefault="00504613" w:rsidP="00504613">
            <w:pPr>
              <w:spacing w:after="0" w:line="240" w:lineRule="auto"/>
              <w:jc w:val="center"/>
              <w:rPr>
                <w:rFonts w:ascii="Calibri" w:eastAsia="Times New Roman" w:hAnsi="Calibri" w:cs="Times New Roman"/>
                <w:color w:val="000000"/>
                <w:sz w:val="16"/>
                <w:szCs w:val="16"/>
                <w:lang w:eastAsia="en-GB"/>
              </w:rPr>
            </w:pPr>
            <w:r w:rsidRPr="000C49E8">
              <w:rPr>
                <w:rFonts w:ascii="Calibri" w:eastAsia="Times New Roman" w:hAnsi="Calibri" w:cs="Times New Roman"/>
                <w:color w:val="000000"/>
                <w:sz w:val="16"/>
                <w:szCs w:val="16"/>
                <w:lang w:eastAsia="en-GB"/>
              </w:rPr>
              <w:t>71.2%</w:t>
            </w:r>
          </w:p>
        </w:tc>
        <w:tc>
          <w:tcPr>
            <w:tcW w:w="818" w:type="dxa"/>
            <w:tcBorders>
              <w:top w:val="nil"/>
              <w:left w:val="nil"/>
              <w:bottom w:val="single" w:sz="8" w:space="0" w:color="auto"/>
              <w:right w:val="single" w:sz="8" w:space="0" w:color="auto"/>
            </w:tcBorders>
            <w:shd w:val="clear" w:color="auto" w:fill="FF0000"/>
            <w:noWrap/>
            <w:vAlign w:val="center"/>
            <w:hideMark/>
          </w:tcPr>
          <w:p w:rsidR="00504613" w:rsidRPr="000C49E8" w:rsidRDefault="00504613" w:rsidP="00504613">
            <w:pPr>
              <w:spacing w:after="0" w:line="240" w:lineRule="auto"/>
              <w:jc w:val="center"/>
              <w:rPr>
                <w:rFonts w:ascii="Calibri" w:eastAsia="Times New Roman" w:hAnsi="Calibri" w:cs="Times New Roman"/>
                <w:color w:val="000000"/>
                <w:sz w:val="16"/>
                <w:szCs w:val="16"/>
                <w:lang w:eastAsia="en-GB"/>
              </w:rPr>
            </w:pPr>
            <w:r w:rsidRPr="000C49E8">
              <w:rPr>
                <w:rFonts w:ascii="Calibri" w:eastAsia="Times New Roman" w:hAnsi="Calibri" w:cs="Times New Roman"/>
                <w:color w:val="000000"/>
                <w:sz w:val="16"/>
                <w:szCs w:val="16"/>
                <w:lang w:eastAsia="en-GB"/>
              </w:rPr>
              <w:t>66.7%</w:t>
            </w:r>
          </w:p>
        </w:tc>
        <w:tc>
          <w:tcPr>
            <w:tcW w:w="960" w:type="dxa"/>
            <w:tcBorders>
              <w:top w:val="nil"/>
              <w:left w:val="nil"/>
              <w:bottom w:val="single" w:sz="8" w:space="0" w:color="auto"/>
              <w:right w:val="single" w:sz="8" w:space="0" w:color="auto"/>
            </w:tcBorders>
            <w:shd w:val="clear" w:color="auto" w:fill="FF0000"/>
            <w:noWrap/>
            <w:vAlign w:val="center"/>
            <w:hideMark/>
          </w:tcPr>
          <w:p w:rsidR="00504613" w:rsidRPr="000C49E8" w:rsidRDefault="00504613" w:rsidP="00504613">
            <w:pPr>
              <w:spacing w:after="0" w:line="240" w:lineRule="auto"/>
              <w:jc w:val="center"/>
              <w:rPr>
                <w:rFonts w:ascii="Calibri" w:eastAsia="Times New Roman" w:hAnsi="Calibri" w:cs="Times New Roman"/>
                <w:color w:val="000000"/>
                <w:sz w:val="16"/>
                <w:szCs w:val="16"/>
                <w:lang w:eastAsia="en-GB"/>
              </w:rPr>
            </w:pPr>
            <w:r w:rsidRPr="000C49E8">
              <w:rPr>
                <w:rFonts w:ascii="Calibri" w:eastAsia="Times New Roman" w:hAnsi="Calibri" w:cs="Times New Roman"/>
                <w:color w:val="000000"/>
                <w:sz w:val="16"/>
                <w:szCs w:val="16"/>
                <w:lang w:eastAsia="en-GB"/>
              </w:rPr>
              <w:t>64.7%</w:t>
            </w:r>
          </w:p>
        </w:tc>
        <w:tc>
          <w:tcPr>
            <w:tcW w:w="1039" w:type="dxa"/>
            <w:tcBorders>
              <w:top w:val="nil"/>
              <w:left w:val="nil"/>
              <w:bottom w:val="single" w:sz="8" w:space="0" w:color="auto"/>
              <w:right w:val="single" w:sz="8" w:space="0" w:color="auto"/>
            </w:tcBorders>
            <w:shd w:val="clear" w:color="auto" w:fill="auto"/>
            <w:noWrap/>
            <w:vAlign w:val="center"/>
            <w:hideMark/>
          </w:tcPr>
          <w:p w:rsidR="00504613" w:rsidRPr="000C49E8" w:rsidRDefault="00504613" w:rsidP="00504613">
            <w:pPr>
              <w:spacing w:after="0" w:line="240" w:lineRule="auto"/>
              <w:jc w:val="center"/>
              <w:rPr>
                <w:rFonts w:ascii="Calibri" w:eastAsia="Times New Roman" w:hAnsi="Calibri" w:cs="Times New Roman"/>
                <w:color w:val="000000"/>
                <w:sz w:val="16"/>
                <w:szCs w:val="16"/>
                <w:lang w:eastAsia="en-GB"/>
              </w:rPr>
            </w:pPr>
            <w:r w:rsidRPr="000C49E8">
              <w:rPr>
                <w:rFonts w:ascii="Calibri" w:eastAsia="Times New Roman" w:hAnsi="Calibri" w:cs="Times New Roman"/>
                <w:color w:val="000000"/>
                <w:sz w:val="16"/>
                <w:szCs w:val="16"/>
                <w:lang w:eastAsia="en-GB"/>
              </w:rPr>
              <w:t>69.2%</w:t>
            </w:r>
          </w:p>
        </w:tc>
        <w:tc>
          <w:tcPr>
            <w:tcW w:w="960" w:type="dxa"/>
            <w:tcBorders>
              <w:top w:val="nil"/>
              <w:left w:val="nil"/>
              <w:bottom w:val="single" w:sz="8" w:space="0" w:color="auto"/>
              <w:right w:val="single" w:sz="8" w:space="0" w:color="auto"/>
            </w:tcBorders>
            <w:shd w:val="clear" w:color="auto" w:fill="FF0000"/>
            <w:noWrap/>
            <w:vAlign w:val="center"/>
            <w:hideMark/>
          </w:tcPr>
          <w:p w:rsidR="00504613" w:rsidRPr="000C49E8" w:rsidRDefault="00504613" w:rsidP="00504613">
            <w:pPr>
              <w:spacing w:after="0" w:line="240" w:lineRule="auto"/>
              <w:jc w:val="center"/>
              <w:rPr>
                <w:rFonts w:ascii="Calibri" w:eastAsia="Times New Roman" w:hAnsi="Calibri" w:cs="Times New Roman"/>
                <w:color w:val="000000"/>
                <w:sz w:val="16"/>
                <w:szCs w:val="16"/>
                <w:lang w:eastAsia="en-GB"/>
              </w:rPr>
            </w:pPr>
            <w:r w:rsidRPr="000C49E8">
              <w:rPr>
                <w:rFonts w:ascii="Calibri" w:eastAsia="Times New Roman" w:hAnsi="Calibri" w:cs="Times New Roman"/>
                <w:color w:val="000000"/>
                <w:sz w:val="16"/>
                <w:szCs w:val="16"/>
                <w:lang w:eastAsia="en-GB"/>
              </w:rPr>
              <w:t>67.8%</w:t>
            </w:r>
          </w:p>
        </w:tc>
        <w:tc>
          <w:tcPr>
            <w:tcW w:w="804" w:type="dxa"/>
            <w:tcBorders>
              <w:top w:val="nil"/>
              <w:left w:val="nil"/>
              <w:bottom w:val="single" w:sz="8" w:space="0" w:color="auto"/>
              <w:right w:val="single" w:sz="8" w:space="0" w:color="auto"/>
            </w:tcBorders>
            <w:shd w:val="clear" w:color="auto" w:fill="auto"/>
            <w:vAlign w:val="center"/>
            <w:hideMark/>
          </w:tcPr>
          <w:p w:rsidR="00504613" w:rsidRPr="000C49E8" w:rsidRDefault="00504613" w:rsidP="00504613">
            <w:pPr>
              <w:spacing w:after="0" w:line="240" w:lineRule="auto"/>
              <w:jc w:val="center"/>
              <w:rPr>
                <w:rFonts w:ascii="Calibri" w:eastAsia="Times New Roman" w:hAnsi="Calibri" w:cs="Times New Roman"/>
                <w:color w:val="000000"/>
                <w:sz w:val="12"/>
                <w:szCs w:val="12"/>
                <w:lang w:eastAsia="en-GB"/>
              </w:rPr>
            </w:pPr>
            <w:r w:rsidRPr="000C49E8">
              <w:rPr>
                <w:rFonts w:ascii="Calibri" w:eastAsia="Times New Roman" w:hAnsi="Calibri" w:cs="Times New Roman"/>
                <w:color w:val="000000"/>
                <w:sz w:val="12"/>
                <w:szCs w:val="12"/>
                <w:lang w:eastAsia="en-GB"/>
              </w:rPr>
              <w:t> </w:t>
            </w:r>
          </w:p>
        </w:tc>
        <w:tc>
          <w:tcPr>
            <w:tcW w:w="1280" w:type="dxa"/>
            <w:tcBorders>
              <w:top w:val="nil"/>
              <w:left w:val="nil"/>
              <w:bottom w:val="single" w:sz="8" w:space="0" w:color="auto"/>
              <w:right w:val="single" w:sz="8" w:space="0" w:color="auto"/>
            </w:tcBorders>
            <w:shd w:val="clear" w:color="000000" w:fill="FF0000"/>
            <w:vAlign w:val="center"/>
            <w:hideMark/>
          </w:tcPr>
          <w:p w:rsidR="00504613" w:rsidRPr="000C49E8" w:rsidRDefault="00504613" w:rsidP="00504613">
            <w:pPr>
              <w:spacing w:after="0" w:line="240" w:lineRule="auto"/>
              <w:jc w:val="center"/>
              <w:rPr>
                <w:rFonts w:ascii="Calibri" w:eastAsia="Times New Roman" w:hAnsi="Calibri" w:cs="Times New Roman"/>
                <w:color w:val="000000"/>
                <w:sz w:val="12"/>
                <w:szCs w:val="12"/>
                <w:lang w:eastAsia="en-GB"/>
              </w:rPr>
            </w:pPr>
            <w:r w:rsidRPr="000C49E8">
              <w:rPr>
                <w:rFonts w:ascii="Calibri" w:eastAsia="Times New Roman" w:hAnsi="Calibri" w:cs="Times New Roman"/>
                <w:color w:val="000000"/>
                <w:sz w:val="12"/>
                <w:szCs w:val="12"/>
                <w:lang w:eastAsia="en-GB"/>
              </w:rPr>
              <w:t>Significantly lower than national average</w:t>
            </w:r>
          </w:p>
        </w:tc>
      </w:tr>
      <w:tr w:rsidR="00504613" w:rsidRPr="000C49E8" w:rsidTr="00504613">
        <w:trPr>
          <w:trHeight w:val="430"/>
        </w:trPr>
        <w:tc>
          <w:tcPr>
            <w:tcW w:w="1880" w:type="dxa"/>
            <w:tcBorders>
              <w:top w:val="nil"/>
              <w:left w:val="single" w:sz="8" w:space="0" w:color="auto"/>
              <w:bottom w:val="single" w:sz="8" w:space="0" w:color="auto"/>
              <w:right w:val="nil"/>
            </w:tcBorders>
            <w:shd w:val="clear" w:color="auto" w:fill="auto"/>
            <w:hideMark/>
          </w:tcPr>
          <w:p w:rsidR="00504613" w:rsidRPr="000C49E8" w:rsidRDefault="00504613" w:rsidP="00504613">
            <w:pPr>
              <w:spacing w:after="0" w:line="240" w:lineRule="auto"/>
              <w:rPr>
                <w:rFonts w:ascii="Calibri" w:eastAsia="Times New Roman" w:hAnsi="Calibri" w:cs="Times New Roman"/>
                <w:color w:val="000000"/>
                <w:sz w:val="16"/>
                <w:szCs w:val="16"/>
                <w:lang w:eastAsia="en-GB"/>
              </w:rPr>
            </w:pPr>
            <w:r w:rsidRPr="000C49E8">
              <w:rPr>
                <w:rFonts w:ascii="Calibri" w:eastAsia="Times New Roman" w:hAnsi="Calibri" w:cs="Times New Roman"/>
                <w:color w:val="000000"/>
                <w:sz w:val="16"/>
                <w:szCs w:val="16"/>
                <w:lang w:eastAsia="en-GB"/>
              </w:rPr>
              <w:t>Five-year survival (Persons)</w:t>
            </w:r>
          </w:p>
        </w:tc>
        <w:tc>
          <w:tcPr>
            <w:tcW w:w="1254" w:type="dxa"/>
            <w:tcBorders>
              <w:top w:val="nil"/>
              <w:left w:val="single" w:sz="8" w:space="0" w:color="auto"/>
              <w:bottom w:val="single" w:sz="8" w:space="0" w:color="auto"/>
              <w:right w:val="single" w:sz="8" w:space="0" w:color="auto"/>
            </w:tcBorders>
            <w:shd w:val="clear" w:color="000000" w:fill="00B050"/>
            <w:noWrap/>
            <w:vAlign w:val="center"/>
            <w:hideMark/>
          </w:tcPr>
          <w:p w:rsidR="00504613" w:rsidRPr="000C49E8" w:rsidRDefault="00504613" w:rsidP="00504613">
            <w:pPr>
              <w:spacing w:after="0" w:line="240" w:lineRule="auto"/>
              <w:jc w:val="center"/>
              <w:rPr>
                <w:rFonts w:ascii="Calibri" w:eastAsia="Times New Roman" w:hAnsi="Calibri" w:cs="Times New Roman"/>
                <w:color w:val="000000"/>
                <w:sz w:val="16"/>
                <w:szCs w:val="16"/>
                <w:lang w:eastAsia="en-GB"/>
              </w:rPr>
            </w:pPr>
            <w:r w:rsidRPr="000C49E8">
              <w:rPr>
                <w:rFonts w:ascii="Calibri" w:eastAsia="Times New Roman" w:hAnsi="Calibri" w:cs="Times New Roman"/>
                <w:color w:val="000000"/>
                <w:sz w:val="16"/>
                <w:szCs w:val="16"/>
                <w:lang w:eastAsia="en-GB"/>
              </w:rPr>
              <w:t>52.7%</w:t>
            </w:r>
          </w:p>
        </w:tc>
        <w:tc>
          <w:tcPr>
            <w:tcW w:w="818" w:type="dxa"/>
            <w:tcBorders>
              <w:top w:val="nil"/>
              <w:left w:val="nil"/>
              <w:bottom w:val="single" w:sz="8" w:space="0" w:color="auto"/>
              <w:right w:val="single" w:sz="8" w:space="0" w:color="auto"/>
            </w:tcBorders>
            <w:shd w:val="clear" w:color="auto" w:fill="auto"/>
            <w:noWrap/>
            <w:vAlign w:val="center"/>
            <w:hideMark/>
          </w:tcPr>
          <w:p w:rsidR="00504613" w:rsidRPr="000C49E8" w:rsidRDefault="00504613" w:rsidP="00504613">
            <w:pPr>
              <w:spacing w:after="0" w:line="240" w:lineRule="auto"/>
              <w:jc w:val="center"/>
              <w:rPr>
                <w:rFonts w:ascii="Calibri" w:eastAsia="Times New Roman" w:hAnsi="Calibri" w:cs="Times New Roman"/>
                <w:color w:val="000000"/>
                <w:sz w:val="16"/>
                <w:szCs w:val="16"/>
                <w:lang w:eastAsia="en-GB"/>
              </w:rPr>
            </w:pPr>
            <w:r w:rsidRPr="000C49E8">
              <w:rPr>
                <w:rFonts w:ascii="Calibri" w:eastAsia="Times New Roman" w:hAnsi="Calibri" w:cs="Times New Roman"/>
                <w:color w:val="000000"/>
                <w:sz w:val="16"/>
                <w:szCs w:val="16"/>
                <w:lang w:eastAsia="en-GB"/>
              </w:rPr>
              <w:t>45.8%</w:t>
            </w:r>
          </w:p>
        </w:tc>
        <w:tc>
          <w:tcPr>
            <w:tcW w:w="960" w:type="dxa"/>
            <w:tcBorders>
              <w:top w:val="nil"/>
              <w:left w:val="nil"/>
              <w:bottom w:val="single" w:sz="8" w:space="0" w:color="auto"/>
              <w:right w:val="single" w:sz="8" w:space="0" w:color="auto"/>
            </w:tcBorders>
            <w:shd w:val="clear" w:color="auto" w:fill="auto"/>
            <w:noWrap/>
            <w:vAlign w:val="center"/>
            <w:hideMark/>
          </w:tcPr>
          <w:p w:rsidR="00504613" w:rsidRPr="000C49E8" w:rsidRDefault="00504613" w:rsidP="00504613">
            <w:pPr>
              <w:spacing w:after="0" w:line="240" w:lineRule="auto"/>
              <w:jc w:val="center"/>
              <w:rPr>
                <w:rFonts w:ascii="Calibri" w:eastAsia="Times New Roman" w:hAnsi="Calibri" w:cs="Times New Roman"/>
                <w:color w:val="000000"/>
                <w:sz w:val="16"/>
                <w:szCs w:val="16"/>
                <w:lang w:eastAsia="en-GB"/>
              </w:rPr>
            </w:pPr>
            <w:r w:rsidRPr="000C49E8">
              <w:rPr>
                <w:rFonts w:ascii="Calibri" w:eastAsia="Times New Roman" w:hAnsi="Calibri" w:cs="Times New Roman"/>
                <w:color w:val="000000"/>
                <w:sz w:val="16"/>
                <w:szCs w:val="16"/>
                <w:lang w:eastAsia="en-GB"/>
              </w:rPr>
              <w:t>46.6%</w:t>
            </w:r>
          </w:p>
        </w:tc>
        <w:tc>
          <w:tcPr>
            <w:tcW w:w="1039" w:type="dxa"/>
            <w:tcBorders>
              <w:top w:val="nil"/>
              <w:left w:val="nil"/>
              <w:bottom w:val="single" w:sz="8" w:space="0" w:color="auto"/>
              <w:right w:val="single" w:sz="8" w:space="0" w:color="auto"/>
            </w:tcBorders>
            <w:shd w:val="clear" w:color="auto" w:fill="auto"/>
            <w:noWrap/>
            <w:vAlign w:val="center"/>
            <w:hideMark/>
          </w:tcPr>
          <w:p w:rsidR="00504613" w:rsidRPr="000C49E8" w:rsidRDefault="00504613" w:rsidP="00504613">
            <w:pPr>
              <w:spacing w:after="0" w:line="240" w:lineRule="auto"/>
              <w:jc w:val="center"/>
              <w:rPr>
                <w:rFonts w:ascii="Calibri" w:eastAsia="Times New Roman" w:hAnsi="Calibri" w:cs="Times New Roman"/>
                <w:color w:val="000000"/>
                <w:sz w:val="16"/>
                <w:szCs w:val="16"/>
                <w:lang w:eastAsia="en-GB"/>
              </w:rPr>
            </w:pPr>
            <w:r w:rsidRPr="000C49E8">
              <w:rPr>
                <w:rFonts w:ascii="Calibri" w:eastAsia="Times New Roman" w:hAnsi="Calibri" w:cs="Times New Roman"/>
                <w:color w:val="000000"/>
                <w:sz w:val="16"/>
                <w:szCs w:val="16"/>
                <w:lang w:eastAsia="en-GB"/>
              </w:rPr>
              <w:t>46.0%</w:t>
            </w:r>
          </w:p>
        </w:tc>
        <w:tc>
          <w:tcPr>
            <w:tcW w:w="960" w:type="dxa"/>
            <w:tcBorders>
              <w:top w:val="nil"/>
              <w:left w:val="nil"/>
              <w:bottom w:val="single" w:sz="8" w:space="0" w:color="auto"/>
              <w:right w:val="single" w:sz="8" w:space="0" w:color="auto"/>
            </w:tcBorders>
            <w:shd w:val="clear" w:color="auto" w:fill="auto"/>
            <w:noWrap/>
            <w:vAlign w:val="center"/>
            <w:hideMark/>
          </w:tcPr>
          <w:p w:rsidR="00504613" w:rsidRPr="000C49E8" w:rsidRDefault="00504613" w:rsidP="00504613">
            <w:pPr>
              <w:spacing w:after="0" w:line="240" w:lineRule="auto"/>
              <w:jc w:val="center"/>
              <w:rPr>
                <w:rFonts w:ascii="Calibri" w:eastAsia="Times New Roman" w:hAnsi="Calibri" w:cs="Times New Roman"/>
                <w:color w:val="000000"/>
                <w:sz w:val="16"/>
                <w:szCs w:val="16"/>
                <w:lang w:eastAsia="en-GB"/>
              </w:rPr>
            </w:pPr>
            <w:r w:rsidRPr="000C49E8">
              <w:rPr>
                <w:rFonts w:ascii="Calibri" w:eastAsia="Times New Roman" w:hAnsi="Calibri" w:cs="Times New Roman"/>
                <w:color w:val="000000"/>
                <w:sz w:val="16"/>
                <w:szCs w:val="16"/>
                <w:lang w:eastAsia="en-GB"/>
              </w:rPr>
              <w:t>46.5%</w:t>
            </w:r>
          </w:p>
        </w:tc>
        <w:tc>
          <w:tcPr>
            <w:tcW w:w="804" w:type="dxa"/>
            <w:tcBorders>
              <w:top w:val="nil"/>
              <w:left w:val="nil"/>
              <w:bottom w:val="single" w:sz="8" w:space="0" w:color="auto"/>
              <w:right w:val="single" w:sz="8" w:space="0" w:color="auto"/>
            </w:tcBorders>
            <w:shd w:val="clear" w:color="000000" w:fill="00B050"/>
            <w:vAlign w:val="center"/>
            <w:hideMark/>
          </w:tcPr>
          <w:p w:rsidR="00504613" w:rsidRPr="000C49E8" w:rsidRDefault="00504613" w:rsidP="00504613">
            <w:pPr>
              <w:spacing w:after="0" w:line="240" w:lineRule="auto"/>
              <w:jc w:val="center"/>
              <w:rPr>
                <w:rFonts w:ascii="Calibri" w:eastAsia="Times New Roman" w:hAnsi="Calibri" w:cs="Times New Roman"/>
                <w:color w:val="000000"/>
                <w:sz w:val="12"/>
                <w:szCs w:val="12"/>
                <w:lang w:eastAsia="en-GB"/>
              </w:rPr>
            </w:pPr>
            <w:r w:rsidRPr="000C49E8">
              <w:rPr>
                <w:rFonts w:ascii="Calibri" w:eastAsia="Times New Roman" w:hAnsi="Calibri" w:cs="Times New Roman"/>
                <w:color w:val="000000"/>
                <w:sz w:val="12"/>
                <w:szCs w:val="12"/>
                <w:lang w:eastAsia="en-GB"/>
              </w:rPr>
              <w:t>Higher than national average</w:t>
            </w:r>
          </w:p>
        </w:tc>
        <w:tc>
          <w:tcPr>
            <w:tcW w:w="1280" w:type="dxa"/>
            <w:tcBorders>
              <w:top w:val="nil"/>
              <w:left w:val="nil"/>
              <w:bottom w:val="single" w:sz="8" w:space="0" w:color="auto"/>
              <w:right w:val="single" w:sz="8" w:space="0" w:color="auto"/>
            </w:tcBorders>
            <w:shd w:val="clear" w:color="auto" w:fill="auto"/>
            <w:noWrap/>
            <w:vAlign w:val="bottom"/>
            <w:hideMark/>
          </w:tcPr>
          <w:p w:rsidR="00504613" w:rsidRPr="000C49E8" w:rsidRDefault="00504613" w:rsidP="00504613">
            <w:pPr>
              <w:spacing w:after="0" w:line="240" w:lineRule="auto"/>
              <w:rPr>
                <w:rFonts w:ascii="Calibri" w:eastAsia="Times New Roman" w:hAnsi="Calibri" w:cs="Times New Roman"/>
                <w:color w:val="000000"/>
                <w:sz w:val="16"/>
                <w:szCs w:val="16"/>
                <w:lang w:eastAsia="en-GB"/>
              </w:rPr>
            </w:pPr>
            <w:r w:rsidRPr="000C49E8">
              <w:rPr>
                <w:rFonts w:ascii="Calibri" w:eastAsia="Times New Roman" w:hAnsi="Calibri" w:cs="Times New Roman"/>
                <w:color w:val="000000"/>
                <w:sz w:val="16"/>
                <w:szCs w:val="16"/>
                <w:lang w:eastAsia="en-GB"/>
              </w:rPr>
              <w:t> </w:t>
            </w:r>
          </w:p>
        </w:tc>
      </w:tr>
      <w:tr w:rsidR="00504613" w:rsidRPr="000C49E8" w:rsidTr="00504613">
        <w:trPr>
          <w:trHeight w:val="413"/>
        </w:trPr>
        <w:tc>
          <w:tcPr>
            <w:tcW w:w="1880" w:type="dxa"/>
            <w:tcBorders>
              <w:top w:val="nil"/>
              <w:left w:val="single" w:sz="8" w:space="0" w:color="auto"/>
              <w:bottom w:val="single" w:sz="8" w:space="0" w:color="auto"/>
              <w:right w:val="nil"/>
            </w:tcBorders>
            <w:shd w:val="clear" w:color="auto" w:fill="auto"/>
          </w:tcPr>
          <w:p w:rsidR="00504613" w:rsidRPr="000C49E8" w:rsidRDefault="00504613" w:rsidP="00504613">
            <w:pPr>
              <w:spacing w:after="0" w:line="240" w:lineRule="auto"/>
              <w:rPr>
                <w:rFonts w:ascii="Calibri" w:eastAsia="Times New Roman" w:hAnsi="Calibri" w:cs="Times New Roman"/>
                <w:color w:val="000000"/>
                <w:sz w:val="16"/>
                <w:szCs w:val="16"/>
                <w:lang w:eastAsia="en-GB"/>
              </w:rPr>
            </w:pPr>
            <w:r w:rsidRPr="000C49E8">
              <w:rPr>
                <w:rFonts w:ascii="Calibri" w:eastAsia="Times New Roman" w:hAnsi="Calibri" w:cs="Times New Roman"/>
                <w:color w:val="000000"/>
                <w:sz w:val="16"/>
                <w:szCs w:val="16"/>
                <w:lang w:eastAsia="en-GB"/>
              </w:rPr>
              <w:t>Emergency Bed Days per 100,000</w:t>
            </w:r>
            <w:r>
              <w:rPr>
                <w:rFonts w:ascii="Calibri" w:eastAsia="Times New Roman" w:hAnsi="Calibri" w:cs="Times New Roman"/>
                <w:color w:val="000000"/>
                <w:sz w:val="16"/>
                <w:szCs w:val="16"/>
                <w:lang w:eastAsia="en-GB"/>
              </w:rPr>
              <w:t xml:space="preserve"> (2007-08)</w:t>
            </w:r>
          </w:p>
        </w:tc>
        <w:tc>
          <w:tcPr>
            <w:tcW w:w="1254" w:type="dxa"/>
            <w:tcBorders>
              <w:top w:val="nil"/>
              <w:left w:val="single" w:sz="8" w:space="0" w:color="auto"/>
              <w:bottom w:val="single" w:sz="8" w:space="0" w:color="auto"/>
              <w:right w:val="single" w:sz="8" w:space="0" w:color="auto"/>
            </w:tcBorders>
            <w:shd w:val="clear" w:color="auto" w:fill="FF0000"/>
            <w:noWrap/>
            <w:vAlign w:val="center"/>
          </w:tcPr>
          <w:p w:rsidR="00504613" w:rsidRPr="000C49E8" w:rsidRDefault="00504613" w:rsidP="00504613">
            <w:pPr>
              <w:spacing w:after="0" w:line="240" w:lineRule="auto"/>
              <w:jc w:val="center"/>
              <w:rPr>
                <w:rFonts w:ascii="Calibri" w:eastAsia="Times New Roman" w:hAnsi="Calibri" w:cs="Times New Roman"/>
                <w:color w:val="000000"/>
                <w:sz w:val="16"/>
                <w:szCs w:val="16"/>
                <w:lang w:eastAsia="en-GB"/>
              </w:rPr>
            </w:pPr>
            <w:r w:rsidRPr="000C49E8">
              <w:rPr>
                <w:rFonts w:ascii="Calibri" w:eastAsia="Times New Roman" w:hAnsi="Calibri" w:cs="Times New Roman"/>
                <w:color w:val="000000"/>
                <w:sz w:val="16"/>
                <w:szCs w:val="16"/>
                <w:lang w:eastAsia="en-GB"/>
              </w:rPr>
              <w:t>404</w:t>
            </w:r>
          </w:p>
        </w:tc>
        <w:tc>
          <w:tcPr>
            <w:tcW w:w="818" w:type="dxa"/>
            <w:tcBorders>
              <w:top w:val="nil"/>
              <w:left w:val="nil"/>
              <w:bottom w:val="single" w:sz="8" w:space="0" w:color="auto"/>
              <w:right w:val="single" w:sz="8" w:space="0" w:color="auto"/>
            </w:tcBorders>
            <w:shd w:val="clear" w:color="auto" w:fill="auto"/>
            <w:noWrap/>
            <w:vAlign w:val="center"/>
          </w:tcPr>
          <w:p w:rsidR="00504613" w:rsidRPr="000C49E8" w:rsidRDefault="00504613" w:rsidP="00504613">
            <w:pPr>
              <w:spacing w:after="0" w:line="240" w:lineRule="auto"/>
              <w:jc w:val="center"/>
              <w:rPr>
                <w:rFonts w:ascii="Calibri" w:eastAsia="Times New Roman" w:hAnsi="Calibri" w:cs="Times New Roman"/>
                <w:color w:val="000000"/>
                <w:sz w:val="16"/>
                <w:szCs w:val="16"/>
                <w:lang w:eastAsia="en-GB"/>
              </w:rPr>
            </w:pPr>
            <w:r w:rsidRPr="000C49E8">
              <w:rPr>
                <w:rFonts w:ascii="Calibri" w:eastAsia="Times New Roman" w:hAnsi="Calibri" w:cs="Times New Roman"/>
                <w:color w:val="000000"/>
                <w:sz w:val="16"/>
                <w:szCs w:val="16"/>
                <w:lang w:eastAsia="en-GB"/>
              </w:rPr>
              <w:t>227</w:t>
            </w:r>
          </w:p>
        </w:tc>
        <w:tc>
          <w:tcPr>
            <w:tcW w:w="960" w:type="dxa"/>
            <w:tcBorders>
              <w:top w:val="nil"/>
              <w:left w:val="nil"/>
              <w:bottom w:val="single" w:sz="8" w:space="0" w:color="auto"/>
              <w:right w:val="single" w:sz="8" w:space="0" w:color="auto"/>
            </w:tcBorders>
            <w:shd w:val="clear" w:color="auto" w:fill="auto"/>
            <w:noWrap/>
            <w:vAlign w:val="center"/>
          </w:tcPr>
          <w:p w:rsidR="00504613" w:rsidRPr="000C49E8" w:rsidRDefault="00504613" w:rsidP="00504613">
            <w:pPr>
              <w:spacing w:after="0" w:line="240" w:lineRule="auto"/>
              <w:jc w:val="center"/>
              <w:rPr>
                <w:rFonts w:ascii="Calibri" w:eastAsia="Times New Roman" w:hAnsi="Calibri" w:cs="Times New Roman"/>
                <w:color w:val="000000"/>
                <w:sz w:val="16"/>
                <w:szCs w:val="16"/>
                <w:lang w:eastAsia="en-GB"/>
              </w:rPr>
            </w:pPr>
            <w:r w:rsidRPr="000C49E8">
              <w:rPr>
                <w:rFonts w:ascii="Calibri" w:eastAsia="Times New Roman" w:hAnsi="Calibri" w:cs="Times New Roman"/>
                <w:color w:val="000000"/>
                <w:sz w:val="16"/>
                <w:szCs w:val="16"/>
                <w:lang w:eastAsia="en-GB"/>
              </w:rPr>
              <w:t>270</w:t>
            </w:r>
          </w:p>
        </w:tc>
        <w:tc>
          <w:tcPr>
            <w:tcW w:w="1039" w:type="dxa"/>
            <w:tcBorders>
              <w:top w:val="nil"/>
              <w:left w:val="nil"/>
              <w:bottom w:val="single" w:sz="8" w:space="0" w:color="auto"/>
              <w:right w:val="single" w:sz="8" w:space="0" w:color="auto"/>
            </w:tcBorders>
            <w:shd w:val="clear" w:color="auto" w:fill="auto"/>
            <w:noWrap/>
            <w:vAlign w:val="center"/>
          </w:tcPr>
          <w:p w:rsidR="00504613" w:rsidRPr="000C49E8" w:rsidRDefault="00504613" w:rsidP="00504613">
            <w:pPr>
              <w:spacing w:after="0" w:line="240" w:lineRule="auto"/>
              <w:jc w:val="center"/>
              <w:rPr>
                <w:rFonts w:ascii="Calibri" w:eastAsia="Times New Roman" w:hAnsi="Calibri" w:cs="Times New Roman"/>
                <w:color w:val="000000"/>
                <w:sz w:val="16"/>
                <w:szCs w:val="16"/>
                <w:lang w:eastAsia="en-GB"/>
              </w:rPr>
            </w:pPr>
            <w:r w:rsidRPr="000C49E8">
              <w:rPr>
                <w:rFonts w:ascii="Calibri" w:eastAsia="Times New Roman" w:hAnsi="Calibri" w:cs="Times New Roman"/>
                <w:color w:val="000000"/>
                <w:sz w:val="16"/>
                <w:szCs w:val="16"/>
                <w:lang w:eastAsia="en-GB"/>
              </w:rPr>
              <w:t>321</w:t>
            </w:r>
          </w:p>
        </w:tc>
        <w:tc>
          <w:tcPr>
            <w:tcW w:w="960" w:type="dxa"/>
            <w:tcBorders>
              <w:top w:val="nil"/>
              <w:left w:val="nil"/>
              <w:bottom w:val="single" w:sz="8" w:space="0" w:color="auto"/>
              <w:right w:val="single" w:sz="8" w:space="0" w:color="auto"/>
            </w:tcBorders>
            <w:shd w:val="clear" w:color="auto" w:fill="auto"/>
            <w:noWrap/>
            <w:vAlign w:val="center"/>
          </w:tcPr>
          <w:p w:rsidR="00504613" w:rsidRPr="000C49E8" w:rsidRDefault="00504613" w:rsidP="00504613">
            <w:pPr>
              <w:spacing w:after="0" w:line="240" w:lineRule="auto"/>
              <w:jc w:val="center"/>
              <w:rPr>
                <w:rFonts w:ascii="Calibri" w:eastAsia="Times New Roman" w:hAnsi="Calibri" w:cs="Times New Roman"/>
                <w:color w:val="000000"/>
                <w:sz w:val="16"/>
                <w:szCs w:val="16"/>
                <w:lang w:eastAsia="en-GB"/>
              </w:rPr>
            </w:pPr>
            <w:r w:rsidRPr="000C49E8">
              <w:rPr>
                <w:rFonts w:ascii="Calibri" w:eastAsia="Times New Roman" w:hAnsi="Calibri" w:cs="Times New Roman"/>
                <w:color w:val="000000"/>
                <w:sz w:val="16"/>
                <w:szCs w:val="16"/>
                <w:lang w:eastAsia="en-GB"/>
              </w:rPr>
              <w:t>279</w:t>
            </w:r>
          </w:p>
        </w:tc>
        <w:tc>
          <w:tcPr>
            <w:tcW w:w="804" w:type="dxa"/>
            <w:tcBorders>
              <w:top w:val="nil"/>
              <w:left w:val="nil"/>
              <w:bottom w:val="single" w:sz="8" w:space="0" w:color="auto"/>
              <w:right w:val="single" w:sz="8" w:space="0" w:color="auto"/>
            </w:tcBorders>
            <w:shd w:val="clear" w:color="auto" w:fill="auto"/>
            <w:vAlign w:val="center"/>
          </w:tcPr>
          <w:p w:rsidR="00504613" w:rsidRPr="000C49E8" w:rsidRDefault="00504613" w:rsidP="00504613">
            <w:pPr>
              <w:spacing w:after="0" w:line="240" w:lineRule="auto"/>
              <w:jc w:val="center"/>
              <w:rPr>
                <w:rFonts w:ascii="Calibri" w:eastAsia="Times New Roman" w:hAnsi="Calibri" w:cs="Times New Roman"/>
                <w:color w:val="000000"/>
                <w:sz w:val="12"/>
                <w:szCs w:val="12"/>
                <w:lang w:eastAsia="en-GB"/>
              </w:rPr>
            </w:pPr>
            <w:r w:rsidRPr="000C49E8">
              <w:rPr>
                <w:rFonts w:ascii="Calibri" w:eastAsia="Times New Roman" w:hAnsi="Calibri" w:cs="Times New Roman"/>
                <w:color w:val="000000"/>
                <w:sz w:val="12"/>
                <w:szCs w:val="12"/>
                <w:lang w:eastAsia="en-GB"/>
              </w:rPr>
              <w:t> </w:t>
            </w:r>
          </w:p>
        </w:tc>
        <w:tc>
          <w:tcPr>
            <w:tcW w:w="1280" w:type="dxa"/>
            <w:tcBorders>
              <w:top w:val="nil"/>
              <w:left w:val="nil"/>
              <w:bottom w:val="single" w:sz="8" w:space="0" w:color="auto"/>
              <w:right w:val="single" w:sz="8" w:space="0" w:color="auto"/>
            </w:tcBorders>
            <w:shd w:val="clear" w:color="auto" w:fill="FF0000"/>
            <w:noWrap/>
            <w:vAlign w:val="center"/>
          </w:tcPr>
          <w:p w:rsidR="00504613" w:rsidRPr="000C49E8" w:rsidRDefault="00504613" w:rsidP="00504613">
            <w:pPr>
              <w:spacing w:after="0" w:line="240" w:lineRule="auto"/>
              <w:jc w:val="center"/>
              <w:rPr>
                <w:rFonts w:ascii="Calibri" w:eastAsia="Times New Roman" w:hAnsi="Calibri" w:cs="Times New Roman"/>
                <w:color w:val="000000"/>
                <w:sz w:val="12"/>
                <w:szCs w:val="12"/>
                <w:lang w:eastAsia="en-GB"/>
              </w:rPr>
            </w:pPr>
            <w:r w:rsidRPr="000C49E8">
              <w:rPr>
                <w:rFonts w:ascii="Calibri" w:eastAsia="Times New Roman" w:hAnsi="Calibri" w:cs="Times New Roman"/>
                <w:color w:val="000000"/>
                <w:sz w:val="12"/>
                <w:szCs w:val="12"/>
                <w:lang w:eastAsia="en-GB"/>
              </w:rPr>
              <w:t>Higher than national average</w:t>
            </w:r>
          </w:p>
        </w:tc>
      </w:tr>
      <w:tr w:rsidR="00504613" w:rsidRPr="000C49E8" w:rsidTr="00504613">
        <w:trPr>
          <w:trHeight w:val="537"/>
        </w:trPr>
        <w:tc>
          <w:tcPr>
            <w:tcW w:w="1880" w:type="dxa"/>
            <w:tcBorders>
              <w:top w:val="nil"/>
              <w:left w:val="single" w:sz="8" w:space="0" w:color="auto"/>
              <w:bottom w:val="single" w:sz="4" w:space="0" w:color="auto"/>
              <w:right w:val="nil"/>
            </w:tcBorders>
            <w:shd w:val="clear" w:color="auto" w:fill="auto"/>
          </w:tcPr>
          <w:p w:rsidR="00504613" w:rsidRPr="000C49E8" w:rsidRDefault="00504613" w:rsidP="00504613">
            <w:pPr>
              <w:spacing w:after="0" w:line="240" w:lineRule="auto"/>
              <w:rPr>
                <w:rFonts w:ascii="Calibri" w:eastAsia="Times New Roman" w:hAnsi="Calibri" w:cs="Times New Roman"/>
                <w:color w:val="000000"/>
                <w:sz w:val="16"/>
                <w:szCs w:val="16"/>
                <w:lang w:eastAsia="en-GB"/>
              </w:rPr>
            </w:pPr>
            <w:r w:rsidRPr="001E6AAD">
              <w:rPr>
                <w:rFonts w:ascii="Calibri" w:eastAsia="Times New Roman" w:hAnsi="Calibri" w:cs="Times New Roman"/>
                <w:color w:val="000000"/>
                <w:sz w:val="16"/>
                <w:szCs w:val="16"/>
                <w:lang w:eastAsia="en-GB"/>
              </w:rPr>
              <w:t xml:space="preserve">% of </w:t>
            </w:r>
            <w:r>
              <w:rPr>
                <w:rFonts w:ascii="Calibri" w:eastAsia="Times New Roman" w:hAnsi="Calibri" w:cs="Times New Roman"/>
                <w:color w:val="000000"/>
                <w:sz w:val="16"/>
                <w:szCs w:val="16"/>
                <w:lang w:eastAsia="en-GB"/>
              </w:rPr>
              <w:t>cases diagnosed through non-</w:t>
            </w:r>
            <w:r w:rsidRPr="001E6AAD">
              <w:rPr>
                <w:rFonts w:ascii="Calibri" w:eastAsia="Times New Roman" w:hAnsi="Calibri" w:cs="Times New Roman"/>
                <w:color w:val="000000"/>
                <w:sz w:val="16"/>
                <w:szCs w:val="16"/>
                <w:lang w:eastAsia="en-GB"/>
              </w:rPr>
              <w:t>urgent</w:t>
            </w:r>
            <w:r>
              <w:rPr>
                <w:rFonts w:ascii="Calibri" w:eastAsia="Times New Roman" w:hAnsi="Calibri" w:cs="Times New Roman"/>
                <w:color w:val="000000"/>
                <w:sz w:val="16"/>
                <w:szCs w:val="16"/>
                <w:lang w:eastAsia="en-GB"/>
              </w:rPr>
              <w:t xml:space="preserve"> referrals (2010)</w:t>
            </w:r>
          </w:p>
        </w:tc>
        <w:tc>
          <w:tcPr>
            <w:tcW w:w="1254" w:type="dxa"/>
            <w:tcBorders>
              <w:top w:val="nil"/>
              <w:left w:val="single" w:sz="8" w:space="0" w:color="auto"/>
              <w:bottom w:val="single" w:sz="4" w:space="0" w:color="auto"/>
              <w:right w:val="single" w:sz="8" w:space="0" w:color="auto"/>
            </w:tcBorders>
            <w:shd w:val="clear" w:color="auto" w:fill="FF0000"/>
            <w:noWrap/>
            <w:vAlign w:val="center"/>
          </w:tcPr>
          <w:p w:rsidR="00504613" w:rsidRPr="000C49E8" w:rsidRDefault="00504613" w:rsidP="00504613">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54.3%</w:t>
            </w:r>
          </w:p>
        </w:tc>
        <w:tc>
          <w:tcPr>
            <w:tcW w:w="818" w:type="dxa"/>
            <w:tcBorders>
              <w:top w:val="nil"/>
              <w:left w:val="nil"/>
              <w:bottom w:val="single" w:sz="4" w:space="0" w:color="auto"/>
              <w:right w:val="single" w:sz="8" w:space="0" w:color="auto"/>
            </w:tcBorders>
            <w:shd w:val="clear" w:color="auto" w:fill="auto"/>
            <w:noWrap/>
            <w:vAlign w:val="center"/>
          </w:tcPr>
          <w:p w:rsidR="00504613" w:rsidRPr="000C49E8" w:rsidRDefault="00504613" w:rsidP="00504613">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49.9%</w:t>
            </w:r>
          </w:p>
        </w:tc>
        <w:tc>
          <w:tcPr>
            <w:tcW w:w="960" w:type="dxa"/>
            <w:tcBorders>
              <w:top w:val="nil"/>
              <w:left w:val="nil"/>
              <w:bottom w:val="single" w:sz="4" w:space="0" w:color="auto"/>
              <w:right w:val="single" w:sz="8" w:space="0" w:color="auto"/>
            </w:tcBorders>
            <w:shd w:val="clear" w:color="auto" w:fill="00B050"/>
            <w:noWrap/>
            <w:vAlign w:val="center"/>
          </w:tcPr>
          <w:p w:rsidR="00504613" w:rsidRPr="000C49E8" w:rsidRDefault="00504613" w:rsidP="00504613">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43.4%</w:t>
            </w:r>
          </w:p>
        </w:tc>
        <w:tc>
          <w:tcPr>
            <w:tcW w:w="1039" w:type="dxa"/>
            <w:tcBorders>
              <w:top w:val="nil"/>
              <w:left w:val="nil"/>
              <w:bottom w:val="single" w:sz="4" w:space="0" w:color="auto"/>
              <w:right w:val="single" w:sz="8" w:space="0" w:color="auto"/>
            </w:tcBorders>
            <w:shd w:val="clear" w:color="auto" w:fill="auto"/>
            <w:noWrap/>
            <w:vAlign w:val="center"/>
          </w:tcPr>
          <w:p w:rsidR="00504613" w:rsidRPr="000C49E8" w:rsidRDefault="00504613" w:rsidP="00504613">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w:t>
            </w:r>
          </w:p>
        </w:tc>
        <w:tc>
          <w:tcPr>
            <w:tcW w:w="960" w:type="dxa"/>
            <w:tcBorders>
              <w:top w:val="nil"/>
              <w:left w:val="nil"/>
              <w:bottom w:val="single" w:sz="4" w:space="0" w:color="auto"/>
              <w:right w:val="single" w:sz="8" w:space="0" w:color="auto"/>
            </w:tcBorders>
            <w:shd w:val="clear" w:color="auto" w:fill="auto"/>
            <w:noWrap/>
            <w:vAlign w:val="center"/>
          </w:tcPr>
          <w:p w:rsidR="00504613" w:rsidRPr="000C49E8" w:rsidRDefault="00504613" w:rsidP="00504613">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47.1%</w:t>
            </w:r>
          </w:p>
        </w:tc>
        <w:tc>
          <w:tcPr>
            <w:tcW w:w="804" w:type="dxa"/>
            <w:tcBorders>
              <w:top w:val="nil"/>
              <w:left w:val="nil"/>
              <w:bottom w:val="single" w:sz="4" w:space="0" w:color="auto"/>
              <w:right w:val="single" w:sz="8" w:space="0" w:color="auto"/>
            </w:tcBorders>
            <w:shd w:val="clear" w:color="000000" w:fill="00B050"/>
            <w:vAlign w:val="center"/>
          </w:tcPr>
          <w:p w:rsidR="00504613" w:rsidRPr="000C49E8" w:rsidRDefault="00504613" w:rsidP="00504613">
            <w:pPr>
              <w:spacing w:after="0" w:line="240" w:lineRule="auto"/>
              <w:jc w:val="center"/>
              <w:rPr>
                <w:rFonts w:ascii="Calibri" w:eastAsia="Times New Roman" w:hAnsi="Calibri" w:cs="Times New Roman"/>
                <w:color w:val="000000"/>
                <w:sz w:val="12"/>
                <w:szCs w:val="12"/>
                <w:lang w:eastAsia="en-GB"/>
              </w:rPr>
            </w:pPr>
            <w:r>
              <w:rPr>
                <w:rFonts w:ascii="Calibri" w:eastAsia="Times New Roman" w:hAnsi="Calibri" w:cs="Times New Roman"/>
                <w:color w:val="000000"/>
                <w:sz w:val="12"/>
                <w:szCs w:val="12"/>
                <w:lang w:eastAsia="en-GB"/>
              </w:rPr>
              <w:t>Lowest</w:t>
            </w:r>
          </w:p>
        </w:tc>
        <w:tc>
          <w:tcPr>
            <w:tcW w:w="1280" w:type="dxa"/>
            <w:tcBorders>
              <w:top w:val="nil"/>
              <w:left w:val="nil"/>
              <w:bottom w:val="single" w:sz="4" w:space="0" w:color="auto"/>
              <w:right w:val="single" w:sz="8" w:space="0" w:color="auto"/>
            </w:tcBorders>
            <w:shd w:val="clear" w:color="auto" w:fill="FF0000"/>
            <w:noWrap/>
            <w:vAlign w:val="center"/>
          </w:tcPr>
          <w:p w:rsidR="00504613" w:rsidRPr="000C49E8" w:rsidRDefault="00504613" w:rsidP="00504613">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sz w:val="12"/>
                <w:szCs w:val="12"/>
                <w:lang w:eastAsia="en-GB"/>
              </w:rPr>
              <w:t>Highest</w:t>
            </w:r>
          </w:p>
        </w:tc>
      </w:tr>
      <w:tr w:rsidR="00504613" w:rsidRPr="000C49E8" w:rsidTr="00504613">
        <w:trPr>
          <w:trHeight w:val="542"/>
        </w:trPr>
        <w:tc>
          <w:tcPr>
            <w:tcW w:w="1880" w:type="dxa"/>
            <w:tcBorders>
              <w:top w:val="single" w:sz="4" w:space="0" w:color="auto"/>
              <w:left w:val="single" w:sz="4" w:space="0" w:color="auto"/>
              <w:bottom w:val="single" w:sz="4" w:space="0" w:color="auto"/>
              <w:right w:val="single" w:sz="4" w:space="0" w:color="auto"/>
            </w:tcBorders>
            <w:shd w:val="clear" w:color="auto" w:fill="auto"/>
          </w:tcPr>
          <w:p w:rsidR="00504613" w:rsidRPr="000C49E8" w:rsidRDefault="00504613" w:rsidP="00504613">
            <w:pPr>
              <w:spacing w:after="0" w:line="240" w:lineRule="auto"/>
              <w:rPr>
                <w:rFonts w:ascii="Calibri" w:eastAsia="Times New Roman" w:hAnsi="Calibri" w:cs="Times New Roman"/>
                <w:color w:val="000000"/>
                <w:sz w:val="16"/>
                <w:szCs w:val="16"/>
                <w:lang w:eastAsia="en-GB"/>
              </w:rPr>
            </w:pPr>
            <w:r w:rsidRPr="000C49E8">
              <w:rPr>
                <w:rFonts w:ascii="Calibri" w:eastAsia="Times New Roman" w:hAnsi="Calibri" w:cs="Times New Roman"/>
                <w:color w:val="000000"/>
                <w:sz w:val="16"/>
                <w:szCs w:val="16"/>
                <w:lang w:eastAsia="en-GB"/>
              </w:rPr>
              <w:t>% urgent 2 week wait referrals resulting in cancer diagnosis</w:t>
            </w:r>
            <w:r>
              <w:rPr>
                <w:rFonts w:ascii="Calibri" w:eastAsia="Times New Roman" w:hAnsi="Calibri" w:cs="Times New Roman"/>
                <w:color w:val="000000"/>
                <w:sz w:val="16"/>
                <w:szCs w:val="16"/>
                <w:lang w:eastAsia="en-GB"/>
              </w:rPr>
              <w:t xml:space="preserve"> (2010)</w:t>
            </w:r>
          </w:p>
        </w:tc>
        <w:tc>
          <w:tcPr>
            <w:tcW w:w="1254"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504613" w:rsidRPr="000C49E8" w:rsidRDefault="00504613" w:rsidP="00504613">
            <w:pPr>
              <w:spacing w:after="0" w:line="240" w:lineRule="auto"/>
              <w:jc w:val="center"/>
              <w:rPr>
                <w:rFonts w:ascii="Calibri" w:eastAsia="Times New Roman" w:hAnsi="Calibri" w:cs="Times New Roman"/>
                <w:color w:val="000000"/>
                <w:sz w:val="16"/>
                <w:szCs w:val="16"/>
                <w:lang w:eastAsia="en-GB"/>
              </w:rPr>
            </w:pPr>
            <w:r w:rsidRPr="000C49E8">
              <w:rPr>
                <w:rFonts w:ascii="Calibri" w:eastAsia="Times New Roman" w:hAnsi="Calibri" w:cs="Times New Roman"/>
                <w:color w:val="000000"/>
                <w:sz w:val="16"/>
                <w:szCs w:val="16"/>
                <w:lang w:eastAsia="en-GB"/>
              </w:rPr>
              <w:t>8.9%</w:t>
            </w:r>
          </w:p>
        </w:tc>
        <w:tc>
          <w:tcPr>
            <w:tcW w:w="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4613" w:rsidRPr="000C49E8" w:rsidRDefault="00504613" w:rsidP="00504613">
            <w:pPr>
              <w:spacing w:after="0" w:line="240" w:lineRule="auto"/>
              <w:jc w:val="center"/>
              <w:rPr>
                <w:rFonts w:ascii="Calibri" w:eastAsia="Times New Roman" w:hAnsi="Calibri" w:cs="Times New Roman"/>
                <w:color w:val="000000"/>
                <w:sz w:val="16"/>
                <w:szCs w:val="16"/>
                <w:lang w:eastAsia="en-GB"/>
              </w:rPr>
            </w:pPr>
            <w:r w:rsidRPr="000C49E8">
              <w:rPr>
                <w:rFonts w:ascii="Calibri" w:eastAsia="Times New Roman" w:hAnsi="Calibri" w:cs="Times New Roman"/>
                <w:color w:val="000000"/>
                <w:sz w:val="16"/>
                <w:szCs w:val="16"/>
                <w:lang w:eastAsia="en-GB"/>
              </w:rPr>
              <w:t>7.7%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4613" w:rsidRPr="000C49E8" w:rsidRDefault="00504613" w:rsidP="00504613">
            <w:pPr>
              <w:spacing w:after="0" w:line="240" w:lineRule="auto"/>
              <w:jc w:val="center"/>
              <w:rPr>
                <w:rFonts w:ascii="Calibri" w:eastAsia="Times New Roman" w:hAnsi="Calibri" w:cs="Times New Roman"/>
                <w:color w:val="000000"/>
                <w:sz w:val="16"/>
                <w:szCs w:val="16"/>
                <w:lang w:eastAsia="en-GB"/>
              </w:rPr>
            </w:pPr>
            <w:r w:rsidRPr="000C49E8">
              <w:rPr>
                <w:rFonts w:ascii="Calibri" w:eastAsia="Times New Roman" w:hAnsi="Calibri" w:cs="Times New Roman"/>
                <w:color w:val="000000"/>
                <w:sz w:val="16"/>
                <w:szCs w:val="16"/>
                <w:lang w:eastAsia="en-GB"/>
              </w:rPr>
              <w:t>7.3%</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4613" w:rsidRPr="000C49E8" w:rsidRDefault="00504613" w:rsidP="00504613">
            <w:pPr>
              <w:spacing w:after="0" w:line="240" w:lineRule="auto"/>
              <w:jc w:val="center"/>
              <w:rPr>
                <w:rFonts w:ascii="Calibri" w:eastAsia="Times New Roman" w:hAnsi="Calibri" w:cs="Times New Roman"/>
                <w:color w:val="000000"/>
                <w:sz w:val="16"/>
                <w:szCs w:val="16"/>
                <w:lang w:eastAsia="en-GB"/>
              </w:rPr>
            </w:pPr>
            <w:r w:rsidRPr="000C49E8">
              <w:rPr>
                <w:rFonts w:ascii="Calibri" w:eastAsia="Times New Roman" w:hAnsi="Calibri" w:cs="Times New Roman"/>
                <w:color w:val="000000"/>
                <w:sz w:val="16"/>
                <w:szCs w:val="16"/>
                <w:lang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4613" w:rsidRPr="000C49E8" w:rsidRDefault="00504613" w:rsidP="00504613">
            <w:pPr>
              <w:spacing w:after="0" w:line="240" w:lineRule="auto"/>
              <w:jc w:val="center"/>
              <w:rPr>
                <w:rFonts w:ascii="Calibri" w:eastAsia="Times New Roman" w:hAnsi="Calibri" w:cs="Times New Roman"/>
                <w:color w:val="000000"/>
                <w:sz w:val="16"/>
                <w:szCs w:val="16"/>
                <w:lang w:eastAsia="en-GB"/>
              </w:rPr>
            </w:pPr>
            <w:r w:rsidRPr="000C49E8">
              <w:rPr>
                <w:rFonts w:ascii="Calibri" w:eastAsia="Times New Roman" w:hAnsi="Calibri" w:cs="Times New Roman"/>
                <w:color w:val="000000"/>
                <w:sz w:val="16"/>
                <w:szCs w:val="16"/>
                <w:lang w:eastAsia="en-GB"/>
              </w:rPr>
              <w:t>7.6%</w:t>
            </w:r>
          </w:p>
        </w:tc>
        <w:tc>
          <w:tcPr>
            <w:tcW w:w="804" w:type="dxa"/>
            <w:tcBorders>
              <w:top w:val="single" w:sz="4" w:space="0" w:color="auto"/>
              <w:left w:val="single" w:sz="4" w:space="0" w:color="auto"/>
              <w:bottom w:val="single" w:sz="4" w:space="0" w:color="auto"/>
              <w:right w:val="single" w:sz="4" w:space="0" w:color="auto"/>
            </w:tcBorders>
            <w:shd w:val="clear" w:color="000000" w:fill="00B050"/>
            <w:vAlign w:val="center"/>
          </w:tcPr>
          <w:p w:rsidR="00504613" w:rsidRPr="000C49E8" w:rsidRDefault="00504613" w:rsidP="00504613">
            <w:pPr>
              <w:spacing w:after="0" w:line="240" w:lineRule="auto"/>
              <w:jc w:val="center"/>
              <w:rPr>
                <w:rFonts w:ascii="Calibri" w:eastAsia="Times New Roman" w:hAnsi="Calibri" w:cs="Times New Roman"/>
                <w:color w:val="000000"/>
                <w:sz w:val="12"/>
                <w:szCs w:val="12"/>
                <w:lang w:eastAsia="en-GB"/>
              </w:rPr>
            </w:pPr>
            <w:r w:rsidRPr="000C49E8">
              <w:rPr>
                <w:rFonts w:ascii="Calibri" w:eastAsia="Times New Roman" w:hAnsi="Calibri" w:cs="Times New Roman"/>
                <w:color w:val="000000"/>
                <w:sz w:val="12"/>
                <w:szCs w:val="12"/>
                <w:lang w:eastAsia="en-GB"/>
              </w:rPr>
              <w:t>Higher than national average</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04613" w:rsidRPr="000C49E8" w:rsidRDefault="00504613" w:rsidP="00504613">
            <w:pPr>
              <w:spacing w:after="0" w:line="240" w:lineRule="auto"/>
              <w:rPr>
                <w:rFonts w:ascii="Calibri" w:eastAsia="Times New Roman" w:hAnsi="Calibri" w:cs="Times New Roman"/>
                <w:color w:val="000000"/>
                <w:lang w:eastAsia="en-GB"/>
              </w:rPr>
            </w:pPr>
            <w:r w:rsidRPr="000C49E8">
              <w:rPr>
                <w:rFonts w:ascii="Calibri" w:eastAsia="Times New Roman" w:hAnsi="Calibri" w:cs="Times New Roman"/>
                <w:color w:val="000000"/>
                <w:lang w:eastAsia="en-GB"/>
              </w:rPr>
              <w:t> </w:t>
            </w:r>
          </w:p>
        </w:tc>
      </w:tr>
    </w:tbl>
    <w:p w:rsidR="00504613" w:rsidRDefault="00504613" w:rsidP="003C7D76"/>
    <w:p w:rsidR="00504613" w:rsidRDefault="00504613" w:rsidP="003C7D76"/>
    <w:p w:rsidR="00504613" w:rsidRDefault="00504613" w:rsidP="003C7D76"/>
    <w:p w:rsidR="00504613" w:rsidRDefault="00504613" w:rsidP="003C7D76"/>
    <w:p w:rsidR="00504613" w:rsidRDefault="00504613" w:rsidP="003C7D76"/>
    <w:p w:rsidR="00504613" w:rsidRDefault="00504613" w:rsidP="003C7D76"/>
    <w:p w:rsidR="00504613" w:rsidRDefault="00504613" w:rsidP="003C7D76"/>
    <w:p w:rsidR="00504613" w:rsidRDefault="00504613" w:rsidP="003C7D76"/>
    <w:p w:rsidR="00504613" w:rsidRDefault="00504613" w:rsidP="003C7D76"/>
    <w:p w:rsidR="00504613" w:rsidRDefault="00504613" w:rsidP="003C7D76"/>
    <w:p w:rsidR="00504613" w:rsidRDefault="00504613" w:rsidP="003C7D76"/>
    <w:p w:rsidR="00504613" w:rsidRDefault="00504613" w:rsidP="003C7D76"/>
    <w:p w:rsidR="00504613" w:rsidRDefault="00504613" w:rsidP="003C7D76"/>
    <w:p w:rsidR="00614521" w:rsidRDefault="00B408C1" w:rsidP="001F2601">
      <w:pPr>
        <w:pStyle w:val="Heading1"/>
        <w:numPr>
          <w:ilvl w:val="0"/>
          <w:numId w:val="1"/>
        </w:numPr>
        <w:spacing w:after="240"/>
        <w:rPr>
          <w:rFonts w:ascii="Arial" w:hAnsi="Arial" w:cs="Arial"/>
          <w:color w:val="auto"/>
        </w:rPr>
      </w:pPr>
      <w:bookmarkStart w:id="6" w:name="_Toc276037824"/>
      <w:r>
        <w:rPr>
          <w:rFonts w:ascii="Arial" w:hAnsi="Arial" w:cs="Arial"/>
          <w:color w:val="auto"/>
        </w:rPr>
        <w:t>I</w:t>
      </w:r>
      <w:r w:rsidR="004A6CE8">
        <w:rPr>
          <w:rFonts w:ascii="Arial" w:hAnsi="Arial" w:cs="Arial"/>
          <w:color w:val="auto"/>
        </w:rPr>
        <w:t>ntroduction</w:t>
      </w:r>
      <w:bookmarkEnd w:id="6"/>
    </w:p>
    <w:p w:rsidR="00D1687B" w:rsidRPr="00D1687B" w:rsidRDefault="00D1687B" w:rsidP="00D1687B">
      <w:pPr>
        <w:jc w:val="both"/>
        <w:rPr>
          <w:rFonts w:ascii="Arial" w:eastAsia="Calibri" w:hAnsi="Arial" w:cs="Arial"/>
          <w:sz w:val="20"/>
        </w:rPr>
      </w:pPr>
      <w:r w:rsidRPr="00D1687B">
        <w:rPr>
          <w:rFonts w:ascii="Arial" w:eastAsia="Calibri" w:hAnsi="Arial" w:cs="Arial"/>
          <w:sz w:val="20"/>
        </w:rPr>
        <w:t xml:space="preserve">Since the Cancer Plan was published in 2000 more people are surviving cancer and the incidence of cancer is increasing as more people live longer.  Late diagnosis is a major factor contributing to poor survival rates in this country, and while survival rates in South West London are good in comparison to other networks in England, when benchmarked against counterparts in Europe it is clear that there is much more to be done. Contemporary lifestyles predispose people to cancer and the Cancer Reform Strategy (CRS) (2007) highlighted that with over half of all cancers being potentially preventable services must now begin to think ‘upstream’ and focus on prevention. </w:t>
      </w:r>
    </w:p>
    <w:p w:rsidR="00D1687B" w:rsidRPr="00D1687B" w:rsidRDefault="00D1687B" w:rsidP="00D1687B">
      <w:pPr>
        <w:jc w:val="both"/>
        <w:rPr>
          <w:rFonts w:ascii="Arial" w:eastAsia="Calibri" w:hAnsi="Arial" w:cs="Arial"/>
          <w:sz w:val="20"/>
        </w:rPr>
      </w:pPr>
      <w:r w:rsidRPr="00D1687B">
        <w:rPr>
          <w:rFonts w:ascii="Arial" w:eastAsia="Calibri" w:hAnsi="Arial" w:cs="Arial"/>
          <w:sz w:val="20"/>
        </w:rPr>
        <w:t xml:space="preserve">The National Awareness and Earlier Diagnosis Initiative (NAEDI) is </w:t>
      </w:r>
      <w:proofErr w:type="gramStart"/>
      <w:r w:rsidRPr="00D1687B">
        <w:rPr>
          <w:rFonts w:ascii="Arial" w:eastAsia="Calibri" w:hAnsi="Arial" w:cs="Arial"/>
          <w:sz w:val="20"/>
        </w:rPr>
        <w:t>a collaboration</w:t>
      </w:r>
      <w:proofErr w:type="gramEnd"/>
      <w:r w:rsidRPr="00D1687B">
        <w:rPr>
          <w:rFonts w:ascii="Arial" w:eastAsia="Calibri" w:hAnsi="Arial" w:cs="Arial"/>
          <w:sz w:val="20"/>
        </w:rPr>
        <w:t xml:space="preserve"> between the National Cancer Action Team and Cancer Research UK and is a key programme emerging from the CRS.  Its aim is to make public and healthcare professionals more aware of the signs and symptoms of cancer and encourage those who may have symptoms to seek advice earlier. This </w:t>
      </w:r>
      <w:proofErr w:type="spellStart"/>
      <w:r w:rsidRPr="00D1687B">
        <w:rPr>
          <w:rFonts w:ascii="Arial" w:eastAsia="Calibri" w:hAnsi="Arial" w:cs="Arial"/>
          <w:sz w:val="20"/>
        </w:rPr>
        <w:t>workstream</w:t>
      </w:r>
      <w:proofErr w:type="spellEnd"/>
      <w:r w:rsidRPr="00D1687B">
        <w:rPr>
          <w:rFonts w:ascii="Arial" w:eastAsia="Calibri" w:hAnsi="Arial" w:cs="Arial"/>
          <w:sz w:val="20"/>
        </w:rPr>
        <w:t xml:space="preserve"> offers a good fit with the policy direction of QIPP, NHS Next Stage Review: High Quality for All and World Class Commissioning.  </w:t>
      </w:r>
    </w:p>
    <w:p w:rsidR="00D1687B" w:rsidRPr="00D1687B" w:rsidRDefault="00D1687B" w:rsidP="00D1687B">
      <w:pPr>
        <w:jc w:val="both"/>
        <w:rPr>
          <w:rFonts w:ascii="Arial" w:hAnsi="Arial" w:cs="Arial"/>
          <w:sz w:val="20"/>
          <w:szCs w:val="24"/>
        </w:rPr>
      </w:pPr>
      <w:r w:rsidRPr="00D1687B">
        <w:rPr>
          <w:rFonts w:ascii="Arial" w:eastAsia="Calibri" w:hAnsi="Arial" w:cs="Arial"/>
          <w:sz w:val="20"/>
          <w:szCs w:val="24"/>
        </w:rPr>
        <w:t xml:space="preserve">Last year the SWL cancer network successfully bid for funding for a range of initiatives to support local preventative work within </w:t>
      </w:r>
      <w:r w:rsidRPr="00D1687B">
        <w:rPr>
          <w:rFonts w:ascii="Arial" w:hAnsi="Arial" w:cs="Arial"/>
          <w:sz w:val="20"/>
          <w:szCs w:val="24"/>
        </w:rPr>
        <w:t>NAEDI</w:t>
      </w:r>
      <w:r w:rsidRPr="00D1687B">
        <w:rPr>
          <w:rFonts w:ascii="Arial" w:eastAsia="Calibri" w:hAnsi="Arial" w:cs="Arial"/>
          <w:sz w:val="20"/>
          <w:szCs w:val="24"/>
        </w:rPr>
        <w:t xml:space="preserve"> to increase awareness and promote earlier diagnosis in communities and primary care.  </w:t>
      </w:r>
      <w:r w:rsidRPr="00D1687B">
        <w:rPr>
          <w:rFonts w:ascii="Arial" w:hAnsi="Arial" w:cs="Arial"/>
          <w:sz w:val="20"/>
          <w:szCs w:val="24"/>
        </w:rPr>
        <w:t>These bids included this Baseline Assessment and the Primary Care Audit and Cancer Awareness Measure highlighted within this document.</w:t>
      </w:r>
    </w:p>
    <w:p w:rsidR="00D1687B" w:rsidRPr="00D1687B" w:rsidRDefault="00D1687B" w:rsidP="00D1687B">
      <w:pPr>
        <w:autoSpaceDE w:val="0"/>
        <w:autoSpaceDN w:val="0"/>
        <w:adjustRightInd w:val="0"/>
        <w:rPr>
          <w:rFonts w:ascii="Arial" w:hAnsi="Arial" w:cs="Arial"/>
          <w:bCs/>
          <w:sz w:val="20"/>
          <w:szCs w:val="20"/>
        </w:rPr>
      </w:pPr>
      <w:r w:rsidRPr="00D1687B">
        <w:rPr>
          <w:rFonts w:ascii="Arial" w:hAnsi="Arial" w:cs="Arial"/>
          <w:sz w:val="20"/>
          <w:szCs w:val="24"/>
        </w:rPr>
        <w:t xml:space="preserve">In order </w:t>
      </w:r>
      <w:r w:rsidR="00A608AD">
        <w:rPr>
          <w:rFonts w:ascii="Arial" w:hAnsi="Arial" w:cs="Arial"/>
          <w:sz w:val="20"/>
          <w:szCs w:val="24"/>
        </w:rPr>
        <w:t xml:space="preserve">to </w:t>
      </w:r>
      <w:r w:rsidRPr="00D1687B">
        <w:rPr>
          <w:rFonts w:ascii="Arial" w:hAnsi="Arial" w:cs="Arial"/>
          <w:sz w:val="20"/>
          <w:szCs w:val="24"/>
        </w:rPr>
        <w:t xml:space="preserve">aid each local early detection initiative a baseline assessment has been undertaken. In collaboration the </w:t>
      </w:r>
      <w:r w:rsidRPr="00D1687B">
        <w:rPr>
          <w:rFonts w:ascii="Arial" w:hAnsi="Arial" w:cs="Arial"/>
          <w:bCs/>
          <w:sz w:val="20"/>
          <w:szCs w:val="28"/>
        </w:rPr>
        <w:t xml:space="preserve">National Cancer Intelligence Network (NCIN) and the National Cancer Action Team (NCAT) have produced a guide termed: </w:t>
      </w:r>
      <w:r w:rsidRPr="00D1687B">
        <w:rPr>
          <w:rFonts w:ascii="Arial" w:hAnsi="Arial" w:cs="Arial"/>
          <w:bCs/>
          <w:i/>
          <w:sz w:val="20"/>
          <w:szCs w:val="20"/>
        </w:rPr>
        <w:t xml:space="preserve">Local Awareness and Early Diagnosis Baseline Assessments: A Guide for Cancer Networks and Primary Care Trusts. </w:t>
      </w:r>
      <w:r w:rsidRPr="00D1687B">
        <w:rPr>
          <w:rFonts w:ascii="Arial" w:hAnsi="Arial" w:cs="Arial"/>
          <w:bCs/>
          <w:sz w:val="20"/>
          <w:szCs w:val="20"/>
        </w:rPr>
        <w:t>This baseline assessment follows these guidelines as a framework</w:t>
      </w:r>
      <w:r>
        <w:rPr>
          <w:rFonts w:ascii="Arial" w:hAnsi="Arial" w:cs="Arial"/>
          <w:bCs/>
          <w:sz w:val="20"/>
          <w:szCs w:val="20"/>
        </w:rPr>
        <w:t xml:space="preserve"> </w:t>
      </w:r>
      <w:r w:rsidRPr="003C7D76">
        <w:rPr>
          <w:rFonts w:ascii="Arial" w:hAnsi="Arial" w:cs="Arial"/>
          <w:sz w:val="20"/>
          <w:szCs w:val="20"/>
        </w:rPr>
        <w:t>(National Cancer Intelligence Network 2009a).</w:t>
      </w:r>
    </w:p>
    <w:p w:rsidR="003C7D76" w:rsidRPr="003C7D76" w:rsidRDefault="00D1687B" w:rsidP="003C7D76">
      <w:pPr>
        <w:rPr>
          <w:rFonts w:ascii="Arial" w:hAnsi="Arial" w:cs="Arial"/>
          <w:sz w:val="20"/>
          <w:szCs w:val="20"/>
        </w:rPr>
      </w:pPr>
      <w:r>
        <w:rPr>
          <w:rFonts w:ascii="Arial" w:hAnsi="Arial" w:cs="Arial"/>
          <w:sz w:val="20"/>
          <w:szCs w:val="20"/>
        </w:rPr>
        <w:t>Colorectal</w:t>
      </w:r>
      <w:r w:rsidR="003C7D76" w:rsidRPr="003C7D76">
        <w:rPr>
          <w:rFonts w:ascii="Arial" w:hAnsi="Arial" w:cs="Arial"/>
          <w:sz w:val="20"/>
          <w:szCs w:val="20"/>
        </w:rPr>
        <w:t xml:space="preserve"> cancer is </w:t>
      </w:r>
      <w:r>
        <w:rPr>
          <w:rFonts w:ascii="Arial" w:hAnsi="Arial" w:cs="Arial"/>
          <w:sz w:val="20"/>
          <w:szCs w:val="20"/>
        </w:rPr>
        <w:t xml:space="preserve">one of </w:t>
      </w:r>
      <w:r w:rsidR="003C7D76" w:rsidRPr="003C7D76">
        <w:rPr>
          <w:rFonts w:ascii="Arial" w:hAnsi="Arial" w:cs="Arial"/>
          <w:sz w:val="20"/>
          <w:szCs w:val="20"/>
        </w:rPr>
        <w:t xml:space="preserve">the most </w:t>
      </w:r>
      <w:r>
        <w:rPr>
          <w:rFonts w:ascii="Arial" w:hAnsi="Arial" w:cs="Arial"/>
          <w:sz w:val="20"/>
          <w:szCs w:val="20"/>
        </w:rPr>
        <w:t xml:space="preserve">common </w:t>
      </w:r>
      <w:r w:rsidR="003C7D76" w:rsidRPr="003C7D76">
        <w:rPr>
          <w:rFonts w:ascii="Arial" w:hAnsi="Arial" w:cs="Arial"/>
          <w:sz w:val="20"/>
          <w:szCs w:val="20"/>
        </w:rPr>
        <w:t>cancer</w:t>
      </w:r>
      <w:r>
        <w:rPr>
          <w:rFonts w:ascii="Arial" w:hAnsi="Arial" w:cs="Arial"/>
          <w:sz w:val="20"/>
          <w:szCs w:val="20"/>
        </w:rPr>
        <w:t>s</w:t>
      </w:r>
      <w:r w:rsidR="003C7D76" w:rsidRPr="003C7D76">
        <w:rPr>
          <w:rFonts w:ascii="Arial" w:hAnsi="Arial" w:cs="Arial"/>
          <w:sz w:val="20"/>
          <w:szCs w:val="20"/>
        </w:rPr>
        <w:t xml:space="preserve"> in </w:t>
      </w:r>
      <w:r>
        <w:rPr>
          <w:rFonts w:ascii="Arial" w:hAnsi="Arial" w:cs="Arial"/>
          <w:sz w:val="20"/>
          <w:szCs w:val="20"/>
        </w:rPr>
        <w:t>the UK (Cancer Research UK</w:t>
      </w:r>
      <w:r w:rsidR="003C7D76" w:rsidRPr="003C7D76">
        <w:rPr>
          <w:rFonts w:ascii="Arial" w:hAnsi="Arial" w:cs="Arial"/>
          <w:sz w:val="20"/>
          <w:szCs w:val="20"/>
        </w:rPr>
        <w:t xml:space="preserve">). This document provides a summary of currently available information regarding the epidemiology of </w:t>
      </w:r>
      <w:r w:rsidR="00A608AD">
        <w:rPr>
          <w:rFonts w:ascii="Arial" w:hAnsi="Arial" w:cs="Arial"/>
          <w:sz w:val="20"/>
          <w:szCs w:val="20"/>
        </w:rPr>
        <w:t>colorectal</w:t>
      </w:r>
      <w:r w:rsidR="00A608AD" w:rsidRPr="003C7D76">
        <w:rPr>
          <w:rFonts w:ascii="Arial" w:hAnsi="Arial" w:cs="Arial"/>
          <w:sz w:val="20"/>
          <w:szCs w:val="20"/>
        </w:rPr>
        <w:t xml:space="preserve"> </w:t>
      </w:r>
      <w:r w:rsidR="003C7D76" w:rsidRPr="003C7D76">
        <w:rPr>
          <w:rFonts w:ascii="Arial" w:hAnsi="Arial" w:cs="Arial"/>
          <w:sz w:val="20"/>
          <w:szCs w:val="20"/>
        </w:rPr>
        <w:t xml:space="preserve">cancer. Comparisons are made with national data and international data where possible. </w:t>
      </w:r>
    </w:p>
    <w:p w:rsidR="009E40E3" w:rsidRPr="00234E82" w:rsidRDefault="009E40E3" w:rsidP="009E40E3">
      <w:pPr>
        <w:rPr>
          <w:rFonts w:ascii="Arial" w:hAnsi="Arial" w:cs="Arial"/>
          <w:sz w:val="20"/>
          <w:szCs w:val="20"/>
        </w:rPr>
      </w:pPr>
      <w:proofErr w:type="gramStart"/>
      <w:r w:rsidRPr="00234E82">
        <w:rPr>
          <w:rFonts w:ascii="Arial" w:hAnsi="Arial" w:cs="Arial"/>
          <w:sz w:val="20"/>
          <w:szCs w:val="20"/>
        </w:rPr>
        <w:t xml:space="preserve">The </w:t>
      </w:r>
      <w:r w:rsidRPr="00234E82">
        <w:rPr>
          <w:rFonts w:ascii="Arial" w:hAnsi="Arial" w:cs="Arial"/>
          <w:kern w:val="36"/>
          <w:sz w:val="20"/>
          <w:szCs w:val="20"/>
        </w:rPr>
        <w:t>International Statistical Classification of Diseases and Related Health Problems (10th Revision 2007)</w:t>
      </w:r>
      <w:r>
        <w:rPr>
          <w:rFonts w:ascii="Arial" w:hAnsi="Arial" w:cs="Arial"/>
          <w:kern w:val="36"/>
          <w:sz w:val="20"/>
          <w:szCs w:val="20"/>
        </w:rPr>
        <w:t xml:space="preserve"> for c</w:t>
      </w:r>
      <w:r w:rsidR="0084398D">
        <w:rPr>
          <w:rFonts w:ascii="Arial" w:hAnsi="Arial" w:cs="Arial"/>
          <w:kern w:val="36"/>
          <w:sz w:val="20"/>
          <w:szCs w:val="20"/>
        </w:rPr>
        <w:t>olorectal cancer ranges from C18</w:t>
      </w:r>
      <w:r>
        <w:rPr>
          <w:rFonts w:ascii="Arial" w:hAnsi="Arial" w:cs="Arial"/>
          <w:kern w:val="36"/>
          <w:sz w:val="20"/>
          <w:szCs w:val="20"/>
        </w:rPr>
        <w:t xml:space="preserve"> to C21.</w:t>
      </w:r>
      <w:proofErr w:type="gramEnd"/>
    </w:p>
    <w:p w:rsidR="0052368A" w:rsidRDefault="0052368A" w:rsidP="00CE3761">
      <w:pPr>
        <w:rPr>
          <w:rFonts w:ascii="Arial" w:hAnsi="Arial" w:cs="Arial"/>
          <w:sz w:val="20"/>
          <w:szCs w:val="20"/>
        </w:rPr>
      </w:pPr>
    </w:p>
    <w:p w:rsidR="00704AB8" w:rsidRDefault="00704AB8" w:rsidP="00CE3761">
      <w:pPr>
        <w:rPr>
          <w:rFonts w:ascii="Arial" w:hAnsi="Arial" w:cs="Arial"/>
          <w:sz w:val="20"/>
          <w:szCs w:val="20"/>
        </w:rPr>
      </w:pPr>
    </w:p>
    <w:p w:rsidR="00704AB8" w:rsidRDefault="00704AB8" w:rsidP="00CE3761">
      <w:pPr>
        <w:rPr>
          <w:rFonts w:ascii="Arial" w:hAnsi="Arial" w:cs="Arial"/>
          <w:sz w:val="20"/>
          <w:szCs w:val="20"/>
        </w:rPr>
      </w:pPr>
    </w:p>
    <w:p w:rsidR="00704AB8" w:rsidRDefault="00704AB8" w:rsidP="00CE3761">
      <w:pPr>
        <w:rPr>
          <w:rFonts w:ascii="Arial" w:hAnsi="Arial" w:cs="Arial"/>
          <w:sz w:val="20"/>
          <w:szCs w:val="20"/>
        </w:rPr>
      </w:pPr>
    </w:p>
    <w:p w:rsidR="00704AB8" w:rsidRDefault="00704AB8" w:rsidP="00CE3761">
      <w:pPr>
        <w:rPr>
          <w:rFonts w:ascii="Arial" w:hAnsi="Arial" w:cs="Arial"/>
          <w:sz w:val="20"/>
          <w:szCs w:val="20"/>
        </w:rPr>
      </w:pPr>
    </w:p>
    <w:p w:rsidR="00704AB8" w:rsidRDefault="00704AB8" w:rsidP="00CE3761">
      <w:pPr>
        <w:rPr>
          <w:rFonts w:ascii="Arial" w:hAnsi="Arial" w:cs="Arial"/>
          <w:sz w:val="20"/>
          <w:szCs w:val="20"/>
        </w:rPr>
      </w:pPr>
    </w:p>
    <w:p w:rsidR="00704AB8" w:rsidRDefault="00704AB8" w:rsidP="00CE3761">
      <w:pPr>
        <w:rPr>
          <w:rFonts w:ascii="Arial" w:hAnsi="Arial" w:cs="Arial"/>
          <w:sz w:val="20"/>
          <w:szCs w:val="20"/>
        </w:rPr>
      </w:pPr>
    </w:p>
    <w:p w:rsidR="00704AB8" w:rsidRDefault="00704AB8" w:rsidP="00CE3761">
      <w:pPr>
        <w:rPr>
          <w:rFonts w:ascii="Arial" w:hAnsi="Arial" w:cs="Arial"/>
          <w:sz w:val="20"/>
          <w:szCs w:val="20"/>
        </w:rPr>
      </w:pPr>
    </w:p>
    <w:p w:rsidR="00704AB8" w:rsidRDefault="00704AB8" w:rsidP="00CE3761">
      <w:pPr>
        <w:rPr>
          <w:rFonts w:ascii="Arial" w:hAnsi="Arial" w:cs="Arial"/>
          <w:sz w:val="20"/>
          <w:szCs w:val="20"/>
        </w:rPr>
      </w:pPr>
    </w:p>
    <w:p w:rsidR="00704AB8" w:rsidRDefault="00704AB8" w:rsidP="00CE3761">
      <w:pPr>
        <w:rPr>
          <w:rFonts w:ascii="Arial" w:hAnsi="Arial" w:cs="Arial"/>
          <w:sz w:val="20"/>
          <w:szCs w:val="20"/>
        </w:rPr>
      </w:pPr>
    </w:p>
    <w:p w:rsidR="00704AB8" w:rsidRDefault="00704AB8" w:rsidP="00CE3761">
      <w:pPr>
        <w:rPr>
          <w:rFonts w:ascii="Arial" w:hAnsi="Arial" w:cs="Arial"/>
          <w:sz w:val="20"/>
          <w:szCs w:val="20"/>
        </w:rPr>
      </w:pPr>
    </w:p>
    <w:p w:rsidR="004224B4" w:rsidRDefault="004224B4" w:rsidP="001F2601">
      <w:pPr>
        <w:pStyle w:val="Heading1"/>
        <w:numPr>
          <w:ilvl w:val="0"/>
          <w:numId w:val="1"/>
        </w:numPr>
        <w:spacing w:after="240"/>
        <w:rPr>
          <w:rFonts w:ascii="Arial" w:hAnsi="Arial" w:cs="Arial"/>
          <w:color w:val="auto"/>
        </w:rPr>
      </w:pPr>
      <w:bookmarkStart w:id="7" w:name="_Toc276037825"/>
      <w:r>
        <w:rPr>
          <w:rFonts w:ascii="Arial" w:hAnsi="Arial" w:cs="Arial"/>
          <w:color w:val="auto"/>
        </w:rPr>
        <w:t>Risk Factors</w:t>
      </w:r>
      <w:bookmarkEnd w:id="7"/>
    </w:p>
    <w:p w:rsidR="00693FB6" w:rsidRDefault="00693FB6" w:rsidP="001F2601">
      <w:pPr>
        <w:pStyle w:val="Heading2"/>
        <w:numPr>
          <w:ilvl w:val="1"/>
          <w:numId w:val="1"/>
        </w:numPr>
        <w:spacing w:after="240"/>
        <w:rPr>
          <w:rFonts w:ascii="Arial" w:hAnsi="Arial" w:cs="Arial"/>
          <w:color w:val="auto"/>
          <w:sz w:val="24"/>
          <w:szCs w:val="24"/>
        </w:rPr>
      </w:pPr>
      <w:bookmarkStart w:id="8" w:name="_Toc276037826"/>
      <w:r>
        <w:rPr>
          <w:rFonts w:ascii="Arial" w:hAnsi="Arial" w:cs="Arial"/>
          <w:color w:val="auto"/>
          <w:sz w:val="24"/>
          <w:szCs w:val="24"/>
        </w:rPr>
        <w:t>Diet</w:t>
      </w:r>
      <w:bookmarkEnd w:id="8"/>
      <w:r w:rsidR="007174C0">
        <w:rPr>
          <w:rFonts w:ascii="Arial" w:hAnsi="Arial" w:cs="Arial"/>
          <w:color w:val="auto"/>
          <w:sz w:val="24"/>
          <w:szCs w:val="24"/>
        </w:rPr>
        <w:t xml:space="preserve"> </w:t>
      </w:r>
    </w:p>
    <w:p w:rsidR="00C3439C" w:rsidRPr="00E144D8" w:rsidRDefault="00B40F0A" w:rsidP="00693FB6">
      <w:pPr>
        <w:rPr>
          <w:rFonts w:ascii="Arial" w:hAnsi="Arial" w:cs="Arial"/>
          <w:color w:val="0A0905"/>
          <w:sz w:val="20"/>
          <w:szCs w:val="20"/>
        </w:rPr>
      </w:pPr>
      <w:r w:rsidRPr="00E144D8">
        <w:rPr>
          <w:rFonts w:ascii="Arial" w:hAnsi="Arial" w:cs="Arial"/>
          <w:color w:val="0A0905"/>
          <w:sz w:val="20"/>
          <w:szCs w:val="20"/>
        </w:rPr>
        <w:t>Diet is the single most identifiable factor to account for the geographical differences in CRC prevalence. It would seem to be as important in colorectal carcinogenesis as smoking is for lung cancer. Dietary factors, such as fibre content and its source from fruit, vegetables, and grains, protei</w:t>
      </w:r>
      <w:r w:rsidR="00E144D8" w:rsidRPr="00E144D8">
        <w:rPr>
          <w:rFonts w:ascii="Arial" w:hAnsi="Arial" w:cs="Arial"/>
          <w:color w:val="0A0905"/>
          <w:sz w:val="20"/>
          <w:szCs w:val="20"/>
        </w:rPr>
        <w:t>n and fat types and their origin varies enormously (</w:t>
      </w:r>
      <w:proofErr w:type="spellStart"/>
      <w:r w:rsidR="00E144D8" w:rsidRPr="00E144D8">
        <w:rPr>
          <w:rFonts w:ascii="Arial" w:hAnsi="Arial" w:cs="Arial"/>
          <w:color w:val="0A0905"/>
          <w:sz w:val="20"/>
          <w:szCs w:val="20"/>
        </w:rPr>
        <w:t>Qasim</w:t>
      </w:r>
      <w:proofErr w:type="spellEnd"/>
      <w:r w:rsidR="00E144D8" w:rsidRPr="00E144D8">
        <w:rPr>
          <w:rFonts w:ascii="Arial" w:hAnsi="Arial" w:cs="Arial"/>
          <w:color w:val="0A0905"/>
          <w:sz w:val="20"/>
          <w:szCs w:val="20"/>
        </w:rPr>
        <w:t xml:space="preserve"> and </w:t>
      </w:r>
      <w:proofErr w:type="spellStart"/>
      <w:r w:rsidR="00E144D8" w:rsidRPr="00E144D8">
        <w:rPr>
          <w:rFonts w:ascii="Arial" w:hAnsi="Arial" w:cs="Arial"/>
          <w:color w:val="0A0905"/>
          <w:sz w:val="20"/>
          <w:szCs w:val="20"/>
        </w:rPr>
        <w:t>O'Morain</w:t>
      </w:r>
      <w:proofErr w:type="spellEnd"/>
      <w:r w:rsidR="00E144D8" w:rsidRPr="00E144D8">
        <w:rPr>
          <w:rFonts w:ascii="Arial" w:hAnsi="Arial" w:cs="Arial"/>
          <w:color w:val="0A0905"/>
          <w:sz w:val="20"/>
          <w:szCs w:val="20"/>
        </w:rPr>
        <w:t xml:space="preserve"> 2010).</w:t>
      </w:r>
      <w:r w:rsidRPr="00E144D8">
        <w:rPr>
          <w:rFonts w:ascii="Arial" w:hAnsi="Arial" w:cs="Arial"/>
          <w:color w:val="0A0905"/>
          <w:sz w:val="20"/>
          <w:szCs w:val="20"/>
        </w:rPr>
        <w:t xml:space="preserve"> </w:t>
      </w:r>
      <w:r w:rsidR="00C3439C" w:rsidRPr="00495D05">
        <w:rPr>
          <w:rFonts w:ascii="Arial" w:hAnsi="Arial" w:cs="Arial"/>
          <w:sz w:val="20"/>
          <w:szCs w:val="20"/>
        </w:rPr>
        <w:t>In line with World Health Organization (WHO) recommendations, current government advice stipulates that adults and children aged over five years should consume at least five 80g portions of fruit and vegetables a day. Males and females in Britain however consume on average less than three portions of fruit and vegetables a day and just 14% consume the recommended amount (</w:t>
      </w:r>
      <w:r w:rsidR="00C3439C">
        <w:rPr>
          <w:rFonts w:ascii="Arial" w:hAnsi="Arial" w:cs="Arial"/>
          <w:sz w:val="20"/>
          <w:szCs w:val="20"/>
        </w:rPr>
        <w:t xml:space="preserve">Office of National Statistics </w:t>
      </w:r>
      <w:r w:rsidR="00C3439C" w:rsidRPr="00495D05">
        <w:rPr>
          <w:rFonts w:ascii="Arial" w:hAnsi="Arial" w:cs="Arial"/>
          <w:sz w:val="20"/>
          <w:szCs w:val="20"/>
        </w:rPr>
        <w:t>2002).</w:t>
      </w:r>
      <w:r w:rsidR="00C3439C">
        <w:rPr>
          <w:rFonts w:ascii="Arial" w:hAnsi="Arial" w:cs="Arial"/>
          <w:sz w:val="20"/>
          <w:szCs w:val="20"/>
        </w:rPr>
        <w:t xml:space="preserve"> </w:t>
      </w:r>
    </w:p>
    <w:p w:rsidR="00693FB6" w:rsidRDefault="00693FB6" w:rsidP="00693FB6">
      <w:pPr>
        <w:rPr>
          <w:rFonts w:ascii="Arial" w:hAnsi="Arial" w:cs="Arial"/>
          <w:color w:val="0A0905"/>
          <w:sz w:val="20"/>
          <w:szCs w:val="20"/>
        </w:rPr>
      </w:pPr>
      <w:r w:rsidRPr="00E54251">
        <w:rPr>
          <w:rFonts w:ascii="Arial" w:hAnsi="Arial" w:cs="Arial"/>
          <w:color w:val="0A0905"/>
          <w:sz w:val="20"/>
          <w:szCs w:val="20"/>
        </w:rPr>
        <w:t>I</w:t>
      </w:r>
      <w:r w:rsidRPr="00512019">
        <w:rPr>
          <w:rFonts w:ascii="Arial" w:hAnsi="Arial" w:cs="Arial"/>
          <w:color w:val="0A0905"/>
          <w:sz w:val="20"/>
          <w:szCs w:val="20"/>
        </w:rPr>
        <w:t>t is generally believed that 60–80% of colorectal cancer</w:t>
      </w:r>
      <w:r w:rsidR="00512019" w:rsidRPr="00512019">
        <w:rPr>
          <w:rFonts w:ascii="Arial" w:hAnsi="Arial" w:cs="Arial"/>
          <w:color w:val="0A0905"/>
          <w:sz w:val="20"/>
          <w:szCs w:val="20"/>
        </w:rPr>
        <w:t xml:space="preserve"> (CRC)</w:t>
      </w:r>
      <w:r w:rsidRPr="00512019">
        <w:rPr>
          <w:rFonts w:ascii="Arial" w:hAnsi="Arial" w:cs="Arial"/>
          <w:color w:val="0A0905"/>
          <w:sz w:val="20"/>
          <w:szCs w:val="20"/>
        </w:rPr>
        <w:t xml:space="preserve"> in industrialized countries may be linked to dietary preferences</w:t>
      </w:r>
      <w:r w:rsidR="00356ADD" w:rsidRPr="00512019">
        <w:rPr>
          <w:rFonts w:ascii="Arial" w:hAnsi="Arial" w:cs="Arial"/>
          <w:color w:val="0A0905"/>
          <w:sz w:val="20"/>
          <w:szCs w:val="20"/>
        </w:rPr>
        <w:t xml:space="preserve"> (</w:t>
      </w:r>
      <w:proofErr w:type="spellStart"/>
      <w:r w:rsidR="00356ADD" w:rsidRPr="00512019">
        <w:rPr>
          <w:rFonts w:ascii="Arial" w:hAnsi="Arial" w:cs="Arial"/>
          <w:color w:val="0A0905"/>
          <w:sz w:val="20"/>
          <w:szCs w:val="20"/>
        </w:rPr>
        <w:t>Jedrychowski</w:t>
      </w:r>
      <w:proofErr w:type="spellEnd"/>
      <w:r w:rsidR="00356ADD" w:rsidRPr="00512019">
        <w:rPr>
          <w:rFonts w:ascii="Arial" w:hAnsi="Arial" w:cs="Arial"/>
          <w:color w:val="0A0905"/>
          <w:sz w:val="20"/>
          <w:szCs w:val="20"/>
        </w:rPr>
        <w:t xml:space="preserve"> et al. 2010). </w:t>
      </w:r>
      <w:r w:rsidR="00E54251" w:rsidRPr="00512019">
        <w:rPr>
          <w:rFonts w:ascii="Arial" w:hAnsi="Arial" w:cs="Arial"/>
          <w:color w:val="0A0905"/>
          <w:sz w:val="20"/>
          <w:szCs w:val="20"/>
        </w:rPr>
        <w:t xml:space="preserve">A number of correlation studies have established an inverse relationship between consumption of fruit and vegetables and incidence of colorectal cancer (Block et al. 1992, La </w:t>
      </w:r>
      <w:proofErr w:type="spellStart"/>
      <w:r w:rsidR="00E54251" w:rsidRPr="00512019">
        <w:rPr>
          <w:rFonts w:ascii="Arial" w:hAnsi="Arial" w:cs="Arial"/>
          <w:color w:val="0A0905"/>
          <w:sz w:val="20"/>
          <w:szCs w:val="20"/>
        </w:rPr>
        <w:t>Vecchia</w:t>
      </w:r>
      <w:proofErr w:type="spellEnd"/>
      <w:r w:rsidR="00E54251" w:rsidRPr="00512019">
        <w:rPr>
          <w:rFonts w:ascii="Arial" w:hAnsi="Arial" w:cs="Arial"/>
          <w:color w:val="0A0905"/>
          <w:sz w:val="20"/>
          <w:szCs w:val="20"/>
        </w:rPr>
        <w:t xml:space="preserve"> and </w:t>
      </w:r>
      <w:proofErr w:type="spellStart"/>
      <w:r w:rsidR="00E54251" w:rsidRPr="00512019">
        <w:rPr>
          <w:rFonts w:ascii="Arial" w:hAnsi="Arial" w:cs="Arial"/>
          <w:color w:val="0A0905"/>
          <w:sz w:val="20"/>
          <w:szCs w:val="20"/>
        </w:rPr>
        <w:t>Tavani</w:t>
      </w:r>
      <w:proofErr w:type="spellEnd"/>
      <w:r w:rsidR="00E54251" w:rsidRPr="00512019">
        <w:rPr>
          <w:rFonts w:ascii="Arial" w:hAnsi="Arial" w:cs="Arial"/>
          <w:color w:val="0A0905"/>
          <w:sz w:val="20"/>
          <w:szCs w:val="20"/>
        </w:rPr>
        <w:t xml:space="preserve"> 1998, </w:t>
      </w:r>
      <w:proofErr w:type="spellStart"/>
      <w:r w:rsidR="00E54251" w:rsidRPr="00512019">
        <w:rPr>
          <w:rFonts w:ascii="Arial" w:hAnsi="Arial" w:cs="Arial"/>
          <w:color w:val="0A0905"/>
          <w:sz w:val="20"/>
          <w:szCs w:val="20"/>
        </w:rPr>
        <w:t>Koushik</w:t>
      </w:r>
      <w:proofErr w:type="spellEnd"/>
      <w:r w:rsidR="00E54251" w:rsidRPr="00512019">
        <w:rPr>
          <w:rFonts w:ascii="Arial" w:hAnsi="Arial" w:cs="Arial"/>
          <w:color w:val="0A0905"/>
          <w:sz w:val="20"/>
          <w:szCs w:val="20"/>
        </w:rPr>
        <w:t xml:space="preserve"> et al 2007)</w:t>
      </w:r>
      <w:r w:rsidR="00F0493A" w:rsidRPr="00512019">
        <w:rPr>
          <w:rFonts w:ascii="Arial" w:hAnsi="Arial" w:cs="Arial"/>
          <w:color w:val="0A0905"/>
          <w:sz w:val="20"/>
          <w:szCs w:val="20"/>
        </w:rPr>
        <w:t>.</w:t>
      </w:r>
      <w:r w:rsidR="000E0EB5" w:rsidRPr="00512019">
        <w:rPr>
          <w:rFonts w:ascii="Arial" w:hAnsi="Arial" w:cs="Arial"/>
          <w:color w:val="0A0905"/>
          <w:sz w:val="20"/>
          <w:szCs w:val="20"/>
        </w:rPr>
        <w:t xml:space="preserve"> </w:t>
      </w:r>
      <w:r w:rsidR="00512019" w:rsidRPr="00512019">
        <w:rPr>
          <w:rFonts w:ascii="Arial" w:hAnsi="Arial" w:cs="Arial"/>
          <w:color w:val="0A0905"/>
          <w:sz w:val="20"/>
          <w:szCs w:val="20"/>
        </w:rPr>
        <w:t>However a panel of experts recently concluded that the evidence of an inverse relationship between fruit and vegetable consumption and CRC is limited (</w:t>
      </w:r>
      <w:r w:rsidR="00512019" w:rsidRPr="00512019">
        <w:rPr>
          <w:rFonts w:ascii="Arial" w:hAnsi="Arial" w:cs="Arial"/>
          <w:sz w:val="20"/>
          <w:szCs w:val="20"/>
        </w:rPr>
        <w:t>World Cancer Research Fund 2007)</w:t>
      </w:r>
      <w:r w:rsidR="00512019" w:rsidRPr="00512019">
        <w:rPr>
          <w:rFonts w:ascii="Arial" w:hAnsi="Arial" w:cs="Arial"/>
          <w:color w:val="0A0905"/>
          <w:sz w:val="20"/>
          <w:szCs w:val="20"/>
        </w:rPr>
        <w:t>.</w:t>
      </w:r>
      <w:r w:rsidR="00512019">
        <w:rPr>
          <w:rFonts w:ascii="Arial" w:hAnsi="Arial" w:cs="Arial"/>
          <w:color w:val="0A0905"/>
          <w:sz w:val="20"/>
          <w:szCs w:val="20"/>
        </w:rPr>
        <w:t xml:space="preserve"> Since then t</w:t>
      </w:r>
      <w:r w:rsidR="00F556B0">
        <w:rPr>
          <w:rFonts w:ascii="Arial" w:hAnsi="Arial" w:cs="Arial"/>
          <w:color w:val="0A0905"/>
          <w:sz w:val="20"/>
          <w:szCs w:val="20"/>
        </w:rPr>
        <w:t xml:space="preserve">he European Prospective Investigation into Cancer and Nutrition </w:t>
      </w:r>
      <w:r w:rsidR="00696BBD">
        <w:rPr>
          <w:rFonts w:ascii="Arial" w:hAnsi="Arial" w:cs="Arial"/>
          <w:color w:val="0A0905"/>
          <w:sz w:val="20"/>
          <w:szCs w:val="20"/>
        </w:rPr>
        <w:t>(</w:t>
      </w:r>
      <w:r w:rsidR="00696BBD" w:rsidRPr="008E7269">
        <w:rPr>
          <w:rStyle w:val="Strong"/>
          <w:rFonts w:ascii="Arial" w:hAnsi="Arial" w:cs="Arial"/>
          <w:b w:val="0"/>
          <w:color w:val="403838"/>
          <w:sz w:val="20"/>
          <w:szCs w:val="20"/>
        </w:rPr>
        <w:t xml:space="preserve">van </w:t>
      </w:r>
      <w:proofErr w:type="spellStart"/>
      <w:r w:rsidR="00696BBD" w:rsidRPr="008E7269">
        <w:rPr>
          <w:rStyle w:val="Strong"/>
          <w:rFonts w:ascii="Arial" w:hAnsi="Arial" w:cs="Arial"/>
          <w:b w:val="0"/>
          <w:color w:val="403838"/>
          <w:sz w:val="20"/>
          <w:szCs w:val="20"/>
        </w:rPr>
        <w:t>Duijnhoven</w:t>
      </w:r>
      <w:proofErr w:type="spellEnd"/>
      <w:r w:rsidR="00696BBD" w:rsidRPr="008E7269">
        <w:rPr>
          <w:rStyle w:val="Strong"/>
          <w:rFonts w:ascii="Arial" w:hAnsi="Arial" w:cs="Arial"/>
          <w:b w:val="0"/>
          <w:color w:val="403838"/>
          <w:sz w:val="20"/>
          <w:szCs w:val="20"/>
        </w:rPr>
        <w:t xml:space="preserve"> et al</w:t>
      </w:r>
      <w:r w:rsidR="00696BBD">
        <w:rPr>
          <w:rStyle w:val="Strong"/>
          <w:rFonts w:ascii="Arial" w:hAnsi="Arial" w:cs="Arial"/>
          <w:b w:val="0"/>
          <w:color w:val="403838"/>
          <w:sz w:val="20"/>
          <w:szCs w:val="20"/>
        </w:rPr>
        <w:t>.</w:t>
      </w:r>
      <w:r w:rsidR="00696BBD">
        <w:rPr>
          <w:rFonts w:ascii="Arial" w:hAnsi="Arial" w:cs="Arial"/>
          <w:color w:val="0A0905"/>
          <w:sz w:val="20"/>
          <w:szCs w:val="20"/>
        </w:rPr>
        <w:t xml:space="preserve"> 2009) </w:t>
      </w:r>
      <w:r w:rsidR="00512019">
        <w:rPr>
          <w:rFonts w:ascii="Arial" w:hAnsi="Arial" w:cs="Arial"/>
          <w:color w:val="0A0905"/>
          <w:sz w:val="20"/>
          <w:szCs w:val="20"/>
        </w:rPr>
        <w:t xml:space="preserve">found that there was an inverse relationship with CRC </w:t>
      </w:r>
      <w:r w:rsidR="00696BBD">
        <w:rPr>
          <w:rFonts w:ascii="Arial" w:hAnsi="Arial" w:cs="Arial"/>
          <w:color w:val="0A0905"/>
          <w:sz w:val="20"/>
          <w:szCs w:val="20"/>
        </w:rPr>
        <w:t>however this was weak</w:t>
      </w:r>
      <w:r w:rsidR="00C3439C">
        <w:rPr>
          <w:rFonts w:ascii="Arial" w:hAnsi="Arial" w:cs="Arial"/>
          <w:color w:val="0A0905"/>
          <w:sz w:val="20"/>
          <w:szCs w:val="20"/>
        </w:rPr>
        <w:t>. It was stronger</w:t>
      </w:r>
      <w:r w:rsidR="00696BBD">
        <w:rPr>
          <w:rFonts w:ascii="Arial" w:hAnsi="Arial" w:cs="Arial"/>
          <w:color w:val="0A0905"/>
          <w:sz w:val="20"/>
          <w:szCs w:val="20"/>
        </w:rPr>
        <w:t xml:space="preserve"> for colon cancer.</w:t>
      </w:r>
      <w:r w:rsidR="00512019">
        <w:rPr>
          <w:rFonts w:ascii="Arial" w:hAnsi="Arial" w:cs="Arial"/>
          <w:color w:val="0A0905"/>
          <w:sz w:val="20"/>
          <w:szCs w:val="20"/>
        </w:rPr>
        <w:t xml:space="preserve"> </w:t>
      </w:r>
      <w:r w:rsidR="00C3439C">
        <w:rPr>
          <w:rFonts w:ascii="Arial" w:hAnsi="Arial" w:cs="Arial"/>
          <w:color w:val="0A0905"/>
          <w:sz w:val="20"/>
          <w:szCs w:val="20"/>
        </w:rPr>
        <w:t>This study also found that smoking played a role in modifying the protective effect fruit and vegetable consumption possibly has on CRC i.e. negating the reduced risk to CRC. It recommends further research into other possible effect modifiers as a possible reason why the inverse relationship between fruit and vegetable consumption and CRC found in many studies is not strong.</w:t>
      </w:r>
    </w:p>
    <w:p w:rsidR="00E144D8" w:rsidRDefault="00E144D8" w:rsidP="00693FB6">
      <w:pPr>
        <w:rPr>
          <w:rFonts w:ascii="Arial" w:hAnsi="Arial" w:cs="Arial"/>
          <w:color w:val="0A0905"/>
          <w:sz w:val="20"/>
          <w:szCs w:val="20"/>
        </w:rPr>
      </w:pPr>
      <w:r>
        <w:rPr>
          <w:rFonts w:ascii="Arial" w:hAnsi="Arial" w:cs="Arial"/>
          <w:sz w:val="20"/>
          <w:szCs w:val="20"/>
        </w:rPr>
        <w:t>Variation in fruit and vegetable consumption ha</w:t>
      </w:r>
      <w:r w:rsidRPr="00744589">
        <w:rPr>
          <w:rFonts w:ascii="Arial" w:hAnsi="Arial" w:cs="Arial"/>
          <w:sz w:val="20"/>
          <w:szCs w:val="20"/>
        </w:rPr>
        <w:t xml:space="preserve">s also </w:t>
      </w:r>
      <w:r>
        <w:rPr>
          <w:rFonts w:ascii="Arial" w:hAnsi="Arial" w:cs="Arial"/>
          <w:sz w:val="20"/>
          <w:szCs w:val="20"/>
        </w:rPr>
        <w:t xml:space="preserve">been </w:t>
      </w:r>
      <w:r w:rsidRPr="00744589">
        <w:rPr>
          <w:rFonts w:ascii="Arial" w:hAnsi="Arial" w:cs="Arial"/>
          <w:sz w:val="20"/>
          <w:szCs w:val="20"/>
        </w:rPr>
        <w:t xml:space="preserve">linked to </w:t>
      </w:r>
      <w:r w:rsidRPr="00DB3270">
        <w:rPr>
          <w:rFonts w:ascii="Arial" w:hAnsi="Arial" w:cs="Arial"/>
          <w:sz w:val="20"/>
          <w:szCs w:val="20"/>
        </w:rPr>
        <w:t>deprivation (Cummins et al. 2009)</w:t>
      </w:r>
      <w:r>
        <w:rPr>
          <w:rFonts w:ascii="Arial" w:hAnsi="Arial" w:cs="Arial"/>
          <w:sz w:val="20"/>
          <w:szCs w:val="20"/>
        </w:rPr>
        <w:t xml:space="preserve"> due to a variety of reasons including but not limited, to cost, choice, access and quality. The model based estimates in </w:t>
      </w:r>
      <w:fldSimple w:instr=" REF _Ref264273383 \h  \* MERGEFORMAT ">
        <w:r w:rsidR="004E6A50" w:rsidRPr="004E6A50">
          <w:rPr>
            <w:rFonts w:ascii="Arial" w:hAnsi="Arial" w:cs="Arial"/>
            <w:sz w:val="20"/>
            <w:szCs w:val="20"/>
          </w:rPr>
          <w:t xml:space="preserve">Figure </w:t>
        </w:r>
        <w:r w:rsidR="004E6A50" w:rsidRPr="004E6A50">
          <w:rPr>
            <w:rFonts w:ascii="Arial" w:hAnsi="Arial" w:cs="Arial"/>
            <w:noProof/>
            <w:sz w:val="20"/>
            <w:szCs w:val="20"/>
          </w:rPr>
          <w:t>3</w:t>
        </w:r>
      </w:fldSimple>
      <w:r>
        <w:rPr>
          <w:rFonts w:ascii="Arial" w:hAnsi="Arial" w:cs="Arial"/>
          <w:sz w:val="20"/>
          <w:szCs w:val="20"/>
        </w:rPr>
        <w:t xml:space="preserve"> follow this pattern whereby Richmond </w:t>
      </w:r>
      <w:r w:rsidR="001A2586">
        <w:rPr>
          <w:rFonts w:ascii="Arial" w:hAnsi="Arial" w:cs="Arial"/>
          <w:sz w:val="20"/>
          <w:szCs w:val="20"/>
        </w:rPr>
        <w:t>&amp;</w:t>
      </w:r>
      <w:r>
        <w:rPr>
          <w:rFonts w:ascii="Arial" w:hAnsi="Arial" w:cs="Arial"/>
          <w:sz w:val="20"/>
          <w:szCs w:val="20"/>
        </w:rPr>
        <w:t xml:space="preserve"> Twickenham has the highest estimated intake at 37.1% (95%CI 33.7% - 40.6%) of adults in the PCT and Croydon the lowest at 27.8% (95%CI 25.7% - 30.1%). The PCTs of Sutton </w:t>
      </w:r>
      <w:r w:rsidR="001650BF">
        <w:rPr>
          <w:rFonts w:ascii="Arial" w:hAnsi="Arial" w:cs="Arial"/>
          <w:sz w:val="20"/>
          <w:szCs w:val="20"/>
        </w:rPr>
        <w:t>&amp;</w:t>
      </w:r>
      <w:r>
        <w:rPr>
          <w:rFonts w:ascii="Arial" w:hAnsi="Arial" w:cs="Arial"/>
          <w:sz w:val="20"/>
          <w:szCs w:val="20"/>
        </w:rPr>
        <w:t xml:space="preserve"> Merton (30.4% - 95%CI 28.4% - 32.5%), Kingston (33.4% - 95%CI 30.3% - 36.7%) and Wandsworth (31.1% - 95%CI 27.7% - 34.6%) have similar estimated consumption rates.</w:t>
      </w:r>
    </w:p>
    <w:p w:rsidR="00E144D8" w:rsidRPr="00744589" w:rsidRDefault="00E144D8" w:rsidP="00E144D8">
      <w:pPr>
        <w:pStyle w:val="Caption"/>
        <w:spacing w:after="0"/>
        <w:rPr>
          <w:rFonts w:ascii="Arial" w:hAnsi="Arial" w:cs="Arial"/>
          <w:color w:val="auto"/>
          <w:sz w:val="20"/>
          <w:szCs w:val="20"/>
        </w:rPr>
      </w:pPr>
      <w:bookmarkStart w:id="9" w:name="_Ref264273383"/>
      <w:r w:rsidRPr="00744589">
        <w:rPr>
          <w:rFonts w:ascii="Arial" w:hAnsi="Arial" w:cs="Arial"/>
          <w:color w:val="auto"/>
        </w:rPr>
        <w:t xml:space="preserve">Figure </w:t>
      </w:r>
      <w:r w:rsidR="00AF55AD" w:rsidRPr="00744589">
        <w:rPr>
          <w:rFonts w:ascii="Arial" w:hAnsi="Arial" w:cs="Arial"/>
          <w:color w:val="auto"/>
        </w:rPr>
        <w:fldChar w:fldCharType="begin"/>
      </w:r>
      <w:r w:rsidRPr="00744589">
        <w:rPr>
          <w:rFonts w:ascii="Arial" w:hAnsi="Arial" w:cs="Arial"/>
          <w:color w:val="auto"/>
        </w:rPr>
        <w:instrText xml:space="preserve"> SEQ Figure \* ARABIC </w:instrText>
      </w:r>
      <w:r w:rsidR="00AF55AD" w:rsidRPr="00744589">
        <w:rPr>
          <w:rFonts w:ascii="Arial" w:hAnsi="Arial" w:cs="Arial"/>
          <w:color w:val="auto"/>
        </w:rPr>
        <w:fldChar w:fldCharType="separate"/>
      </w:r>
      <w:r w:rsidR="004E6A50">
        <w:rPr>
          <w:rFonts w:ascii="Arial" w:hAnsi="Arial" w:cs="Arial"/>
          <w:noProof/>
          <w:color w:val="auto"/>
        </w:rPr>
        <w:t>3</w:t>
      </w:r>
      <w:r w:rsidR="00AF55AD" w:rsidRPr="00744589">
        <w:rPr>
          <w:rFonts w:ascii="Arial" w:hAnsi="Arial" w:cs="Arial"/>
          <w:color w:val="auto"/>
        </w:rPr>
        <w:fldChar w:fldCharType="end"/>
      </w:r>
      <w:bookmarkEnd w:id="9"/>
      <w:r w:rsidRPr="00744589">
        <w:rPr>
          <w:rFonts w:ascii="Arial" w:hAnsi="Arial" w:cs="Arial"/>
          <w:color w:val="auto"/>
        </w:rPr>
        <w:t>: Model based estimates of fruit and vegetable consumption in adults in South West London, 2003-2005.</w:t>
      </w:r>
    </w:p>
    <w:p w:rsidR="00E144D8" w:rsidRDefault="001A2586" w:rsidP="00E144D8">
      <w:pPr>
        <w:spacing w:after="0"/>
        <w:rPr>
          <w:rFonts w:ascii="Arial" w:hAnsi="Arial" w:cs="Arial"/>
          <w:sz w:val="20"/>
          <w:szCs w:val="20"/>
        </w:rPr>
      </w:pPr>
      <w:r w:rsidRPr="001A2586">
        <w:rPr>
          <w:rFonts w:ascii="Arial" w:hAnsi="Arial" w:cs="Arial"/>
          <w:noProof/>
          <w:sz w:val="20"/>
          <w:szCs w:val="20"/>
          <w:lang w:val="en-US"/>
        </w:rPr>
        <w:drawing>
          <wp:inline distT="0" distB="0" distL="0" distR="0">
            <wp:extent cx="5295900" cy="2743200"/>
            <wp:effectExtent l="19050" t="0" r="19050" b="0"/>
            <wp:docPr id="2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144D8" w:rsidRPr="00744589" w:rsidRDefault="00E144D8" w:rsidP="00E144D8">
      <w:pPr>
        <w:rPr>
          <w:rFonts w:ascii="Arial" w:hAnsi="Arial" w:cs="Arial"/>
          <w:b/>
          <w:sz w:val="16"/>
          <w:szCs w:val="16"/>
        </w:rPr>
      </w:pPr>
      <w:r w:rsidRPr="00744589">
        <w:rPr>
          <w:rFonts w:ascii="Arial" w:hAnsi="Arial" w:cs="Arial"/>
          <w:b/>
          <w:sz w:val="16"/>
          <w:szCs w:val="16"/>
        </w:rPr>
        <w:t>Source: The Information Centre.</w:t>
      </w:r>
    </w:p>
    <w:p w:rsidR="00E144D8" w:rsidRDefault="00E144D8" w:rsidP="00E144D8">
      <w:pPr>
        <w:rPr>
          <w:rFonts w:ascii="Arial" w:hAnsi="Arial" w:cs="Arial"/>
          <w:sz w:val="20"/>
          <w:szCs w:val="20"/>
        </w:rPr>
      </w:pPr>
      <w:r>
        <w:rPr>
          <w:rFonts w:ascii="Arial" w:hAnsi="Arial" w:cs="Arial"/>
          <w:sz w:val="20"/>
          <w:szCs w:val="20"/>
        </w:rPr>
        <w:t>These estimates are model based i.e. they are based on population characteristics extracted from census data for example and are not based on a survey sample. They do not take into consideration local variation, for example the effects of local campaigns. Due to this it is not strictly appropriate to compare between areas and these data should not be used to monitor performance (The Information Centre 2008). Also consideration of the 95% confidence intervals is needed when assessing the data.</w:t>
      </w:r>
    </w:p>
    <w:p w:rsidR="007F3A54" w:rsidRDefault="00E144D8" w:rsidP="00693FB6">
      <w:pPr>
        <w:rPr>
          <w:rFonts w:ascii="Arial" w:hAnsi="Arial" w:cs="Arial"/>
          <w:sz w:val="20"/>
          <w:szCs w:val="20"/>
        </w:rPr>
      </w:pPr>
      <w:r w:rsidRPr="00E144D8">
        <w:rPr>
          <w:rFonts w:ascii="Arial" w:hAnsi="Arial" w:cs="Arial"/>
          <w:color w:val="0A0905"/>
          <w:sz w:val="20"/>
          <w:szCs w:val="20"/>
        </w:rPr>
        <w:t xml:space="preserve">Foods containing polyunsaturated fatty acids (PFAs), including </w:t>
      </w:r>
      <w:proofErr w:type="spellStart"/>
      <w:r w:rsidRPr="00E144D8">
        <w:rPr>
          <w:rFonts w:ascii="Arial" w:hAnsi="Arial" w:cs="Arial"/>
          <w:color w:val="0A0905"/>
          <w:sz w:val="20"/>
          <w:szCs w:val="20"/>
        </w:rPr>
        <w:t>docosahexaenoic</w:t>
      </w:r>
      <w:proofErr w:type="spellEnd"/>
      <w:r w:rsidRPr="00E144D8">
        <w:rPr>
          <w:rFonts w:ascii="Arial" w:hAnsi="Arial" w:cs="Arial"/>
          <w:color w:val="0A0905"/>
          <w:sz w:val="20"/>
          <w:szCs w:val="20"/>
        </w:rPr>
        <w:t xml:space="preserve"> acid rich in certain fish, lead to inhibition of the </w:t>
      </w:r>
      <w:proofErr w:type="spellStart"/>
      <w:r w:rsidRPr="00E144D8">
        <w:rPr>
          <w:rFonts w:ascii="Arial" w:hAnsi="Arial" w:cs="Arial"/>
          <w:color w:val="0A0905"/>
          <w:sz w:val="20"/>
          <w:szCs w:val="20"/>
        </w:rPr>
        <w:t>arachidonic</w:t>
      </w:r>
      <w:proofErr w:type="spellEnd"/>
      <w:r w:rsidRPr="00E144D8">
        <w:rPr>
          <w:rFonts w:ascii="Arial" w:hAnsi="Arial" w:cs="Arial"/>
          <w:color w:val="0A0905"/>
          <w:sz w:val="20"/>
          <w:szCs w:val="20"/>
        </w:rPr>
        <w:t xml:space="preserve"> acid cascade involved in </w:t>
      </w:r>
      <w:proofErr w:type="spellStart"/>
      <w:r w:rsidRPr="00E144D8">
        <w:rPr>
          <w:rFonts w:ascii="Arial" w:hAnsi="Arial" w:cs="Arial"/>
          <w:color w:val="0A0905"/>
          <w:sz w:val="20"/>
          <w:szCs w:val="20"/>
        </w:rPr>
        <w:t>tumorigenesis</w:t>
      </w:r>
      <w:proofErr w:type="spellEnd"/>
      <w:r w:rsidRPr="00E144D8">
        <w:rPr>
          <w:rFonts w:ascii="Arial" w:hAnsi="Arial" w:cs="Arial"/>
          <w:color w:val="0A0905"/>
          <w:sz w:val="20"/>
          <w:szCs w:val="20"/>
        </w:rPr>
        <w:t xml:space="preserve"> and cell proliferation, whereas saturated fatty acid consumption increases risk of CRC</w:t>
      </w:r>
      <w:r>
        <w:rPr>
          <w:rFonts w:ascii="Arial" w:hAnsi="Arial" w:cs="Arial"/>
          <w:color w:val="0A0905"/>
          <w:sz w:val="20"/>
          <w:szCs w:val="20"/>
        </w:rPr>
        <w:t xml:space="preserve"> (</w:t>
      </w:r>
      <w:proofErr w:type="spellStart"/>
      <w:r w:rsidRPr="00E144D8">
        <w:rPr>
          <w:rFonts w:ascii="Arial" w:hAnsi="Arial" w:cs="Arial"/>
          <w:color w:val="0A0905"/>
          <w:sz w:val="20"/>
          <w:szCs w:val="20"/>
        </w:rPr>
        <w:t>Kuriki</w:t>
      </w:r>
      <w:proofErr w:type="spellEnd"/>
      <w:r w:rsidRPr="00E144D8">
        <w:rPr>
          <w:rFonts w:ascii="Arial" w:hAnsi="Arial" w:cs="Arial"/>
          <w:color w:val="0A0905"/>
          <w:sz w:val="20"/>
          <w:szCs w:val="20"/>
        </w:rPr>
        <w:t xml:space="preserve"> </w:t>
      </w:r>
      <w:r>
        <w:rPr>
          <w:rFonts w:ascii="Arial" w:hAnsi="Arial" w:cs="Arial"/>
          <w:color w:val="0A0905"/>
          <w:sz w:val="20"/>
          <w:szCs w:val="20"/>
        </w:rPr>
        <w:t xml:space="preserve">et al. 2006, </w:t>
      </w:r>
      <w:proofErr w:type="spellStart"/>
      <w:r w:rsidRPr="00E144D8">
        <w:rPr>
          <w:rFonts w:ascii="Arial" w:hAnsi="Arial" w:cs="Arial"/>
          <w:color w:val="0A0905"/>
          <w:sz w:val="20"/>
          <w:szCs w:val="20"/>
        </w:rPr>
        <w:t>Qasim</w:t>
      </w:r>
      <w:proofErr w:type="spellEnd"/>
      <w:r w:rsidRPr="00E144D8">
        <w:rPr>
          <w:rFonts w:ascii="Arial" w:hAnsi="Arial" w:cs="Arial"/>
          <w:color w:val="0A0905"/>
          <w:sz w:val="20"/>
          <w:szCs w:val="20"/>
        </w:rPr>
        <w:t xml:space="preserve"> and </w:t>
      </w:r>
      <w:proofErr w:type="spellStart"/>
      <w:r w:rsidRPr="00E144D8">
        <w:rPr>
          <w:rFonts w:ascii="Arial" w:hAnsi="Arial" w:cs="Arial"/>
          <w:color w:val="0A0905"/>
          <w:sz w:val="20"/>
          <w:szCs w:val="20"/>
        </w:rPr>
        <w:t>O'Morain</w:t>
      </w:r>
      <w:proofErr w:type="spellEnd"/>
      <w:r w:rsidRPr="00E144D8">
        <w:rPr>
          <w:rFonts w:ascii="Arial" w:hAnsi="Arial" w:cs="Arial"/>
          <w:color w:val="0A0905"/>
          <w:sz w:val="20"/>
          <w:szCs w:val="20"/>
        </w:rPr>
        <w:t xml:space="preserve"> 2010</w:t>
      </w:r>
      <w:r>
        <w:rPr>
          <w:rFonts w:ascii="Arial" w:hAnsi="Arial" w:cs="Arial"/>
          <w:color w:val="0A0905"/>
          <w:sz w:val="20"/>
          <w:szCs w:val="20"/>
        </w:rPr>
        <w:t>).</w:t>
      </w:r>
      <w:r w:rsidR="004F5F6B">
        <w:rPr>
          <w:rFonts w:ascii="Arial" w:hAnsi="Arial" w:cs="Arial"/>
          <w:color w:val="0A0905"/>
          <w:sz w:val="20"/>
          <w:szCs w:val="20"/>
        </w:rPr>
        <w:t xml:space="preserve"> </w:t>
      </w:r>
      <w:r w:rsidR="007174C0">
        <w:rPr>
          <w:rFonts w:ascii="Arial" w:hAnsi="Arial" w:cs="Arial"/>
          <w:color w:val="0A0905"/>
          <w:sz w:val="20"/>
          <w:szCs w:val="20"/>
        </w:rPr>
        <w:t xml:space="preserve">Numerous studies have </w:t>
      </w:r>
      <w:r w:rsidR="0094458E">
        <w:rPr>
          <w:rFonts w:ascii="Arial" w:hAnsi="Arial" w:cs="Arial"/>
          <w:color w:val="0A0905"/>
          <w:sz w:val="20"/>
          <w:szCs w:val="20"/>
        </w:rPr>
        <w:t xml:space="preserve">reached a consensus that there is a positive </w:t>
      </w:r>
      <w:proofErr w:type="gramStart"/>
      <w:r w:rsidR="0094458E">
        <w:rPr>
          <w:rFonts w:ascii="Arial" w:hAnsi="Arial" w:cs="Arial"/>
          <w:color w:val="0A0905"/>
          <w:sz w:val="20"/>
          <w:szCs w:val="20"/>
        </w:rPr>
        <w:t xml:space="preserve">association </w:t>
      </w:r>
      <w:r w:rsidR="007174C0">
        <w:rPr>
          <w:rFonts w:ascii="Arial" w:hAnsi="Arial" w:cs="Arial"/>
          <w:color w:val="0A0905"/>
          <w:sz w:val="20"/>
          <w:szCs w:val="20"/>
        </w:rPr>
        <w:t xml:space="preserve"> between</w:t>
      </w:r>
      <w:proofErr w:type="gramEnd"/>
      <w:r w:rsidR="007174C0">
        <w:rPr>
          <w:rFonts w:ascii="Arial" w:hAnsi="Arial" w:cs="Arial"/>
          <w:color w:val="0A0905"/>
          <w:sz w:val="20"/>
          <w:szCs w:val="20"/>
        </w:rPr>
        <w:t xml:space="preserve"> CRC and red and processed meat intake (</w:t>
      </w:r>
      <w:r w:rsidR="00B20372">
        <w:rPr>
          <w:rFonts w:ascii="Arial" w:hAnsi="Arial" w:cs="Arial"/>
          <w:color w:val="0A0905"/>
          <w:sz w:val="20"/>
          <w:szCs w:val="20"/>
        </w:rPr>
        <w:t>Department of Health 1998,</w:t>
      </w:r>
      <w:r w:rsidR="00B20372" w:rsidRPr="00B20372">
        <w:rPr>
          <w:rFonts w:ascii="Arial" w:hAnsi="Arial" w:cs="Arial"/>
          <w:color w:val="0A0905"/>
          <w:sz w:val="20"/>
          <w:szCs w:val="20"/>
        </w:rPr>
        <w:t xml:space="preserve"> </w:t>
      </w:r>
      <w:r w:rsidR="00B20372">
        <w:rPr>
          <w:rFonts w:ascii="Arial" w:hAnsi="Arial" w:cs="Arial"/>
          <w:color w:val="0A0905"/>
          <w:sz w:val="20"/>
          <w:szCs w:val="20"/>
        </w:rPr>
        <w:t>WHO/FAO 2003,</w:t>
      </w:r>
      <w:r w:rsidR="00B20372" w:rsidRPr="00B20372">
        <w:rPr>
          <w:rFonts w:ascii="Arial" w:hAnsi="Arial" w:cs="Arial"/>
          <w:color w:val="0A0905"/>
          <w:sz w:val="20"/>
          <w:szCs w:val="20"/>
        </w:rPr>
        <w:t xml:space="preserve"> </w:t>
      </w:r>
      <w:r w:rsidR="00D77CE6" w:rsidRPr="00512019">
        <w:rPr>
          <w:rFonts w:ascii="Arial" w:hAnsi="Arial" w:cs="Arial"/>
          <w:sz w:val="20"/>
          <w:szCs w:val="20"/>
        </w:rPr>
        <w:t>World Cancer Research Fund 2007</w:t>
      </w:r>
      <w:r w:rsidR="00D77CE6">
        <w:rPr>
          <w:rFonts w:ascii="Arial" w:hAnsi="Arial" w:cs="Arial"/>
          <w:sz w:val="20"/>
          <w:szCs w:val="20"/>
        </w:rPr>
        <w:t xml:space="preserve">, </w:t>
      </w:r>
      <w:r w:rsidR="007174C0" w:rsidRPr="007174C0">
        <w:rPr>
          <w:rFonts w:ascii="Arial" w:hAnsi="Arial" w:cs="Arial"/>
          <w:sz w:val="20"/>
          <w:szCs w:val="20"/>
        </w:rPr>
        <w:t>Cross et al. 2010)</w:t>
      </w:r>
      <w:r w:rsidR="00D77CE6">
        <w:rPr>
          <w:rFonts w:ascii="Arial" w:hAnsi="Arial" w:cs="Arial"/>
          <w:sz w:val="20"/>
          <w:szCs w:val="20"/>
        </w:rPr>
        <w:t>.</w:t>
      </w:r>
      <w:r w:rsidR="0094458E">
        <w:rPr>
          <w:rFonts w:ascii="Arial" w:hAnsi="Arial" w:cs="Arial"/>
          <w:sz w:val="20"/>
          <w:szCs w:val="20"/>
        </w:rPr>
        <w:t xml:space="preserve"> The Department of Health (1998) recommends a daily intake of red and process meat of no more than 90g per day and that those consuming more than 140g should consider a reduction. The </w:t>
      </w:r>
      <w:r w:rsidR="0094458E" w:rsidRPr="00512019">
        <w:rPr>
          <w:rFonts w:ascii="Arial" w:hAnsi="Arial" w:cs="Arial"/>
          <w:sz w:val="20"/>
          <w:szCs w:val="20"/>
        </w:rPr>
        <w:t xml:space="preserve">World Cancer Research Fund </w:t>
      </w:r>
      <w:r w:rsidR="0094458E">
        <w:rPr>
          <w:rFonts w:ascii="Arial" w:hAnsi="Arial" w:cs="Arial"/>
          <w:sz w:val="20"/>
          <w:szCs w:val="20"/>
        </w:rPr>
        <w:t>(</w:t>
      </w:r>
      <w:r w:rsidR="0094458E" w:rsidRPr="00512019">
        <w:rPr>
          <w:rFonts w:ascii="Arial" w:hAnsi="Arial" w:cs="Arial"/>
          <w:sz w:val="20"/>
          <w:szCs w:val="20"/>
        </w:rPr>
        <w:t>2007</w:t>
      </w:r>
      <w:r w:rsidR="0094458E">
        <w:rPr>
          <w:rFonts w:ascii="Arial" w:hAnsi="Arial" w:cs="Arial"/>
          <w:sz w:val="20"/>
          <w:szCs w:val="20"/>
        </w:rPr>
        <w:t>) recommends a 500g per week limit (~71g per day). Latest estimates from the National Diet Nutrition Survey 2008-09 (</w:t>
      </w:r>
      <w:r w:rsidR="002D256A">
        <w:rPr>
          <w:rFonts w:ascii="Arial" w:eastAsia="Times New Roman" w:hAnsi="Arial" w:cs="Arial"/>
          <w:iCs/>
          <w:color w:val="222222"/>
          <w:sz w:val="20"/>
          <w:szCs w:val="20"/>
          <w:lang w:eastAsia="en-GB"/>
        </w:rPr>
        <w:t>Foods standards Agency 2010</w:t>
      </w:r>
      <w:r w:rsidR="0094458E">
        <w:rPr>
          <w:rFonts w:ascii="Arial" w:hAnsi="Arial" w:cs="Arial"/>
          <w:sz w:val="20"/>
          <w:szCs w:val="20"/>
        </w:rPr>
        <w:t xml:space="preserve">) </w:t>
      </w:r>
      <w:r w:rsidR="002D256A">
        <w:rPr>
          <w:rFonts w:ascii="Arial" w:hAnsi="Arial" w:cs="Arial"/>
          <w:sz w:val="20"/>
          <w:szCs w:val="20"/>
        </w:rPr>
        <w:t>shows that men consume an estimated 96g per day while women consume 57g per day.</w:t>
      </w:r>
    </w:p>
    <w:p w:rsidR="002364FF" w:rsidRDefault="002364FF" w:rsidP="001F2601">
      <w:pPr>
        <w:pStyle w:val="Heading2"/>
        <w:numPr>
          <w:ilvl w:val="1"/>
          <w:numId w:val="1"/>
        </w:numPr>
        <w:spacing w:before="0" w:after="240"/>
        <w:rPr>
          <w:rFonts w:ascii="Arial" w:hAnsi="Arial" w:cs="Arial"/>
          <w:color w:val="auto"/>
          <w:sz w:val="24"/>
          <w:szCs w:val="24"/>
        </w:rPr>
      </w:pPr>
      <w:bookmarkStart w:id="10" w:name="_Toc276037827"/>
      <w:r>
        <w:rPr>
          <w:rFonts w:ascii="Arial" w:hAnsi="Arial" w:cs="Arial"/>
          <w:color w:val="auto"/>
          <w:sz w:val="24"/>
          <w:szCs w:val="24"/>
        </w:rPr>
        <w:t>Alcohol</w:t>
      </w:r>
      <w:r w:rsidRPr="00513011">
        <w:rPr>
          <w:rFonts w:ascii="Arial" w:hAnsi="Arial" w:cs="Arial"/>
          <w:color w:val="auto"/>
          <w:sz w:val="24"/>
          <w:szCs w:val="24"/>
        </w:rPr>
        <w:t xml:space="preserve"> consumption</w:t>
      </w:r>
      <w:bookmarkEnd w:id="10"/>
    </w:p>
    <w:p w:rsidR="002364FF" w:rsidRPr="002656F5" w:rsidRDefault="002364FF" w:rsidP="002364FF">
      <w:pPr>
        <w:shd w:val="clear" w:color="auto" w:fill="FFFFFF"/>
        <w:jc w:val="both"/>
        <w:rPr>
          <w:rFonts w:ascii="Arial" w:hAnsi="Arial" w:cs="Arial"/>
          <w:sz w:val="20"/>
          <w:szCs w:val="20"/>
        </w:rPr>
      </w:pPr>
      <w:r w:rsidRPr="002656F5">
        <w:rPr>
          <w:rFonts w:ascii="Arial" w:hAnsi="Arial" w:cs="Arial"/>
          <w:sz w:val="20"/>
          <w:szCs w:val="20"/>
        </w:rPr>
        <w:t xml:space="preserve">Evidence indicates that </w:t>
      </w:r>
      <w:r>
        <w:rPr>
          <w:rFonts w:ascii="Arial" w:hAnsi="Arial" w:cs="Arial"/>
          <w:sz w:val="20"/>
          <w:szCs w:val="20"/>
        </w:rPr>
        <w:t xml:space="preserve">there is an association between </w:t>
      </w:r>
      <w:r w:rsidRPr="002656F5">
        <w:rPr>
          <w:rFonts w:ascii="Arial" w:hAnsi="Arial" w:cs="Arial"/>
          <w:sz w:val="20"/>
          <w:szCs w:val="20"/>
        </w:rPr>
        <w:t xml:space="preserve">alcohol use </w:t>
      </w:r>
      <w:r>
        <w:rPr>
          <w:rFonts w:ascii="Arial" w:hAnsi="Arial" w:cs="Arial"/>
          <w:sz w:val="20"/>
          <w:szCs w:val="20"/>
        </w:rPr>
        <w:t xml:space="preserve">and increased </w:t>
      </w:r>
      <w:r w:rsidRPr="002656F5">
        <w:rPr>
          <w:rFonts w:ascii="Arial" w:hAnsi="Arial" w:cs="Arial"/>
          <w:sz w:val="20"/>
          <w:szCs w:val="20"/>
        </w:rPr>
        <w:t>risk of colorectal cancer (CRC)</w:t>
      </w:r>
      <w:r>
        <w:rPr>
          <w:rFonts w:ascii="Arial" w:hAnsi="Arial" w:cs="Arial"/>
          <w:sz w:val="20"/>
          <w:szCs w:val="20"/>
        </w:rPr>
        <w:t xml:space="preserve"> (</w:t>
      </w:r>
      <w:r w:rsidRPr="00DF7D85">
        <w:rPr>
          <w:rFonts w:ascii="Arial" w:hAnsi="Arial" w:cs="Arial"/>
          <w:color w:val="0A0905"/>
          <w:sz w:val="20"/>
          <w:szCs w:val="20"/>
        </w:rPr>
        <w:t xml:space="preserve">Ferrari </w:t>
      </w:r>
      <w:r>
        <w:rPr>
          <w:rFonts w:ascii="Arial" w:hAnsi="Arial" w:cs="Arial"/>
          <w:color w:val="0A0905"/>
          <w:sz w:val="20"/>
          <w:szCs w:val="20"/>
        </w:rPr>
        <w:t xml:space="preserve">et al. 2007, </w:t>
      </w:r>
      <w:r w:rsidRPr="00512019">
        <w:rPr>
          <w:rFonts w:ascii="Arial" w:hAnsi="Arial" w:cs="Arial"/>
          <w:sz w:val="20"/>
          <w:szCs w:val="20"/>
        </w:rPr>
        <w:t>World Cancer Research Fund 2007</w:t>
      </w:r>
      <w:r>
        <w:rPr>
          <w:rFonts w:ascii="Arial" w:hAnsi="Arial" w:cs="Arial"/>
          <w:sz w:val="20"/>
          <w:szCs w:val="20"/>
        </w:rPr>
        <w:t xml:space="preserve">, </w:t>
      </w:r>
      <w:proofErr w:type="spellStart"/>
      <w:proofErr w:type="gramStart"/>
      <w:r w:rsidRPr="002656F5">
        <w:rPr>
          <w:rFonts w:ascii="Arial" w:hAnsi="Arial" w:cs="Arial"/>
          <w:sz w:val="20"/>
          <w:szCs w:val="20"/>
        </w:rPr>
        <w:t>Poynter</w:t>
      </w:r>
      <w:proofErr w:type="spellEnd"/>
      <w:proofErr w:type="gramEnd"/>
      <w:r w:rsidRPr="002656F5">
        <w:rPr>
          <w:rFonts w:ascii="Arial" w:hAnsi="Arial" w:cs="Arial"/>
          <w:sz w:val="20"/>
          <w:szCs w:val="20"/>
        </w:rPr>
        <w:t xml:space="preserve"> </w:t>
      </w:r>
      <w:r>
        <w:rPr>
          <w:rFonts w:ascii="Arial" w:hAnsi="Arial" w:cs="Arial"/>
          <w:sz w:val="20"/>
          <w:szCs w:val="20"/>
        </w:rPr>
        <w:t xml:space="preserve">et al. </w:t>
      </w:r>
      <w:r w:rsidRPr="002656F5">
        <w:rPr>
          <w:rFonts w:ascii="Arial" w:hAnsi="Arial" w:cs="Arial"/>
          <w:sz w:val="20"/>
          <w:szCs w:val="20"/>
        </w:rPr>
        <w:t>2009)</w:t>
      </w:r>
      <w:r>
        <w:rPr>
          <w:rFonts w:ascii="Arial" w:hAnsi="Arial" w:cs="Arial"/>
          <w:sz w:val="20"/>
          <w:szCs w:val="20"/>
        </w:rPr>
        <w:t xml:space="preserve"> as well as a dose-response </w:t>
      </w:r>
      <w:r w:rsidRPr="002656F5">
        <w:rPr>
          <w:rFonts w:ascii="Arial" w:hAnsi="Arial" w:cs="Arial"/>
          <w:sz w:val="20"/>
          <w:szCs w:val="20"/>
        </w:rPr>
        <w:t>relationship (</w:t>
      </w:r>
      <w:r>
        <w:rPr>
          <w:rFonts w:ascii="Arial" w:hAnsi="Arial" w:cs="Arial"/>
          <w:color w:val="0A0905"/>
          <w:sz w:val="20"/>
          <w:szCs w:val="20"/>
        </w:rPr>
        <w:t xml:space="preserve">Cho et al. 2004, </w:t>
      </w:r>
      <w:proofErr w:type="spellStart"/>
      <w:r w:rsidRPr="00DF7D85">
        <w:rPr>
          <w:rFonts w:ascii="Arial" w:hAnsi="Arial" w:cs="Arial"/>
          <w:color w:val="0A0905"/>
          <w:sz w:val="20"/>
          <w:szCs w:val="20"/>
        </w:rPr>
        <w:t>Moskal</w:t>
      </w:r>
      <w:proofErr w:type="spellEnd"/>
      <w:r>
        <w:rPr>
          <w:rFonts w:ascii="Arial" w:hAnsi="Arial" w:cs="Arial"/>
          <w:color w:val="0A0905"/>
          <w:sz w:val="20"/>
          <w:szCs w:val="20"/>
        </w:rPr>
        <w:t xml:space="preserve"> 2007, </w:t>
      </w:r>
      <w:r w:rsidRPr="002656F5">
        <w:rPr>
          <w:rFonts w:ascii="Arial" w:hAnsi="Arial" w:cs="Arial"/>
          <w:sz w:val="20"/>
          <w:szCs w:val="20"/>
        </w:rPr>
        <w:t>Huxley et al. 2009</w:t>
      </w:r>
      <w:r>
        <w:rPr>
          <w:rFonts w:ascii="Arial" w:hAnsi="Arial" w:cs="Arial"/>
          <w:sz w:val="20"/>
          <w:szCs w:val="20"/>
        </w:rPr>
        <w:t xml:space="preserve">). </w:t>
      </w:r>
      <w:proofErr w:type="spellStart"/>
      <w:r>
        <w:rPr>
          <w:rFonts w:ascii="Arial" w:hAnsi="Arial" w:cs="Arial"/>
          <w:sz w:val="20"/>
          <w:szCs w:val="20"/>
        </w:rPr>
        <w:t>Parkin</w:t>
      </w:r>
      <w:proofErr w:type="spellEnd"/>
      <w:r>
        <w:rPr>
          <w:rFonts w:ascii="Arial" w:hAnsi="Arial" w:cs="Arial"/>
          <w:sz w:val="20"/>
          <w:szCs w:val="20"/>
        </w:rPr>
        <w:t xml:space="preserve"> et al. (2009) describes the following results from </w:t>
      </w:r>
      <w:r w:rsidR="004F5F6B">
        <w:rPr>
          <w:rFonts w:ascii="Arial" w:hAnsi="Arial" w:cs="Arial"/>
          <w:color w:val="0A0905"/>
          <w:sz w:val="20"/>
          <w:szCs w:val="20"/>
        </w:rPr>
        <w:t>Cho et al. (2004);</w:t>
      </w:r>
      <w:r>
        <w:rPr>
          <w:rFonts w:ascii="Arial" w:hAnsi="Arial" w:cs="Arial"/>
          <w:color w:val="0A0905"/>
          <w:sz w:val="20"/>
          <w:szCs w:val="20"/>
        </w:rPr>
        <w:t xml:space="preserve"> their study </w:t>
      </w:r>
      <w:r w:rsidRPr="00DF7D85">
        <w:rPr>
          <w:rFonts w:ascii="Arial" w:hAnsi="Arial" w:cs="Arial"/>
          <w:color w:val="0A0905"/>
          <w:sz w:val="20"/>
          <w:szCs w:val="20"/>
        </w:rPr>
        <w:t xml:space="preserve">found a statistically significant 16% risk increase for people drinking 30–45 g/day of alcohol and a significant 41% risk increase for people drinking 45 g/day or more. A meta-analysis of cohort studies by </w:t>
      </w:r>
      <w:proofErr w:type="spellStart"/>
      <w:r w:rsidRPr="00DF7D85">
        <w:rPr>
          <w:rFonts w:ascii="Arial" w:hAnsi="Arial" w:cs="Arial"/>
          <w:color w:val="0A0905"/>
          <w:sz w:val="20"/>
          <w:szCs w:val="20"/>
        </w:rPr>
        <w:t>Moskal</w:t>
      </w:r>
      <w:proofErr w:type="spellEnd"/>
      <w:r w:rsidRPr="00DF7D85">
        <w:rPr>
          <w:rFonts w:ascii="Arial" w:hAnsi="Arial" w:cs="Arial"/>
          <w:color w:val="0A0905"/>
          <w:sz w:val="20"/>
          <w:szCs w:val="20"/>
        </w:rPr>
        <w:t xml:space="preserve"> (2007) found a 15% increase in risk of colon or rectal cancer for an increase of 100 g alcohol intake per week.</w:t>
      </w:r>
    </w:p>
    <w:p w:rsidR="002364FF" w:rsidRDefault="002364FF" w:rsidP="002364FF">
      <w:pPr>
        <w:rPr>
          <w:rFonts w:ascii="Arial" w:hAnsi="Arial" w:cs="Arial"/>
          <w:sz w:val="18"/>
          <w:szCs w:val="18"/>
        </w:rPr>
      </w:pPr>
      <w:r w:rsidRPr="00BB3F7D">
        <w:rPr>
          <w:rFonts w:ascii="Arial" w:hAnsi="Arial" w:cs="Arial"/>
          <w:sz w:val="20"/>
          <w:szCs w:val="20"/>
        </w:rPr>
        <w:t xml:space="preserve">National Statistics from 2008 show that 31% of men in Britain drink more than the recommended 21 units per week, and 8% drink more than 50 units per week, while 20% of women drink more than </w:t>
      </w:r>
      <w:r w:rsidR="004F5F6B">
        <w:rPr>
          <w:rFonts w:ascii="Arial" w:hAnsi="Arial" w:cs="Arial"/>
          <w:sz w:val="20"/>
          <w:szCs w:val="20"/>
        </w:rPr>
        <w:t xml:space="preserve">the </w:t>
      </w:r>
      <w:r w:rsidRPr="00BB3F7D">
        <w:rPr>
          <w:rFonts w:ascii="Arial" w:hAnsi="Arial" w:cs="Arial"/>
          <w:sz w:val="20"/>
          <w:szCs w:val="20"/>
        </w:rPr>
        <w:t>recommended 14 units per week, and</w:t>
      </w:r>
      <w:r>
        <w:rPr>
          <w:rFonts w:ascii="Arial" w:hAnsi="Arial" w:cs="Arial"/>
          <w:sz w:val="20"/>
          <w:szCs w:val="20"/>
        </w:rPr>
        <w:t xml:space="preserve"> 5% more than 35 units per week (The Information Centre </w:t>
      </w:r>
      <w:r w:rsidRPr="00C0271A">
        <w:rPr>
          <w:rFonts w:ascii="Arial" w:hAnsi="Arial" w:cs="Arial"/>
          <w:sz w:val="18"/>
          <w:szCs w:val="18"/>
        </w:rPr>
        <w:t xml:space="preserve">2010b). </w:t>
      </w:r>
    </w:p>
    <w:p w:rsidR="002364FF" w:rsidRPr="00C0271A" w:rsidRDefault="002364FF" w:rsidP="002364FF">
      <w:pPr>
        <w:pStyle w:val="Caption"/>
        <w:spacing w:after="0"/>
        <w:rPr>
          <w:rFonts w:ascii="Arial" w:hAnsi="Arial" w:cs="Arial"/>
          <w:color w:val="auto"/>
        </w:rPr>
      </w:pPr>
      <w:bookmarkStart w:id="11" w:name="_Ref264279467"/>
      <w:r w:rsidRPr="00C0271A">
        <w:rPr>
          <w:rFonts w:ascii="Arial" w:hAnsi="Arial" w:cs="Arial"/>
          <w:color w:val="auto"/>
        </w:rPr>
        <w:t xml:space="preserve">Figure </w:t>
      </w:r>
      <w:r w:rsidR="00AF55AD" w:rsidRPr="00C0271A">
        <w:rPr>
          <w:rFonts w:ascii="Arial" w:hAnsi="Arial" w:cs="Arial"/>
          <w:color w:val="auto"/>
        </w:rPr>
        <w:fldChar w:fldCharType="begin"/>
      </w:r>
      <w:r w:rsidRPr="00C0271A">
        <w:rPr>
          <w:rFonts w:ascii="Arial" w:hAnsi="Arial" w:cs="Arial"/>
          <w:color w:val="auto"/>
        </w:rPr>
        <w:instrText xml:space="preserve"> SEQ Figure \* ARABIC </w:instrText>
      </w:r>
      <w:r w:rsidR="00AF55AD" w:rsidRPr="00C0271A">
        <w:rPr>
          <w:rFonts w:ascii="Arial" w:hAnsi="Arial" w:cs="Arial"/>
          <w:color w:val="auto"/>
        </w:rPr>
        <w:fldChar w:fldCharType="separate"/>
      </w:r>
      <w:r w:rsidR="004E6A50">
        <w:rPr>
          <w:rFonts w:ascii="Arial" w:hAnsi="Arial" w:cs="Arial"/>
          <w:noProof/>
          <w:color w:val="auto"/>
        </w:rPr>
        <w:t>4</w:t>
      </w:r>
      <w:r w:rsidR="00AF55AD" w:rsidRPr="00C0271A">
        <w:rPr>
          <w:rFonts w:ascii="Arial" w:hAnsi="Arial" w:cs="Arial"/>
          <w:color w:val="auto"/>
        </w:rPr>
        <w:fldChar w:fldCharType="end"/>
      </w:r>
      <w:bookmarkEnd w:id="11"/>
      <w:r w:rsidRPr="00C0271A">
        <w:rPr>
          <w:rFonts w:ascii="Arial" w:hAnsi="Arial" w:cs="Arial"/>
          <w:color w:val="auto"/>
        </w:rPr>
        <w:t>: Model based estimates of binge drinking in Adults in South West London, 2003-2005.</w:t>
      </w:r>
    </w:p>
    <w:p w:rsidR="002364FF" w:rsidRPr="00BB3F7D" w:rsidRDefault="002364FF" w:rsidP="002364FF">
      <w:pPr>
        <w:spacing w:after="0"/>
        <w:rPr>
          <w:rFonts w:ascii="Arial" w:hAnsi="Arial" w:cs="Arial"/>
          <w:sz w:val="20"/>
          <w:szCs w:val="20"/>
        </w:rPr>
      </w:pPr>
      <w:r w:rsidRPr="006B3AAC">
        <w:rPr>
          <w:rFonts w:ascii="Arial" w:hAnsi="Arial" w:cs="Arial"/>
          <w:noProof/>
          <w:sz w:val="20"/>
          <w:szCs w:val="20"/>
          <w:lang w:val="en-US"/>
        </w:rPr>
        <w:drawing>
          <wp:inline distT="0" distB="0" distL="0" distR="0">
            <wp:extent cx="5105400" cy="2800350"/>
            <wp:effectExtent l="19050" t="0" r="19050" b="0"/>
            <wp:docPr id="34"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364FF" w:rsidRDefault="002364FF" w:rsidP="002364FF">
      <w:pPr>
        <w:rPr>
          <w:rFonts w:ascii="Arial" w:hAnsi="Arial" w:cs="Arial"/>
          <w:b/>
          <w:sz w:val="16"/>
          <w:szCs w:val="16"/>
        </w:rPr>
      </w:pPr>
      <w:r w:rsidRPr="00744589">
        <w:rPr>
          <w:rFonts w:ascii="Arial" w:hAnsi="Arial" w:cs="Arial"/>
          <w:b/>
          <w:sz w:val="16"/>
          <w:szCs w:val="16"/>
        </w:rPr>
        <w:t>Source: The Information Centre.</w:t>
      </w:r>
    </w:p>
    <w:p w:rsidR="002364FF" w:rsidRDefault="002364FF" w:rsidP="002364FF">
      <w:pPr>
        <w:rPr>
          <w:rFonts w:ascii="Arial" w:hAnsi="Arial" w:cs="Arial"/>
          <w:sz w:val="20"/>
          <w:szCs w:val="20"/>
        </w:rPr>
      </w:pPr>
      <w:r w:rsidRPr="00C0271A">
        <w:rPr>
          <w:rFonts w:ascii="Arial" w:hAnsi="Arial" w:cs="Arial"/>
          <w:sz w:val="20"/>
          <w:szCs w:val="20"/>
        </w:rPr>
        <w:t xml:space="preserve">Estimated </w:t>
      </w:r>
      <w:r>
        <w:rPr>
          <w:rFonts w:ascii="Arial" w:hAnsi="Arial" w:cs="Arial"/>
          <w:sz w:val="20"/>
          <w:szCs w:val="20"/>
        </w:rPr>
        <w:t>binge drinking in South West London (</w:t>
      </w:r>
      <w:fldSimple w:instr=" REF _Ref264279467 \h  \* MERGEFORMAT ">
        <w:r w:rsidR="004E6A50" w:rsidRPr="004E6A50">
          <w:rPr>
            <w:rFonts w:ascii="Arial" w:hAnsi="Arial" w:cs="Arial"/>
            <w:sz w:val="20"/>
            <w:szCs w:val="20"/>
          </w:rPr>
          <w:t xml:space="preserve">Figure </w:t>
        </w:r>
        <w:r w:rsidR="004E6A50" w:rsidRPr="004E6A50">
          <w:rPr>
            <w:rFonts w:ascii="Arial" w:hAnsi="Arial" w:cs="Arial"/>
            <w:noProof/>
            <w:sz w:val="20"/>
            <w:szCs w:val="20"/>
          </w:rPr>
          <w:t>4</w:t>
        </w:r>
      </w:fldSimple>
      <w:r>
        <w:rPr>
          <w:rFonts w:ascii="Arial" w:hAnsi="Arial" w:cs="Arial"/>
          <w:sz w:val="20"/>
          <w:szCs w:val="20"/>
        </w:rPr>
        <w:t>) is below the national average (18.0% - 95%CI 17.4% - 18.6%) but comparable to the London average (12.7% - 95%CI 11.4% - 14.0%) if only based on population characteristics. Wandsworth has the highest model estimated binge drinking prevalence amongst adults in SWL at 13.9% (95%CI 12.0% - 16.2%), while the lowest is in Croydon at 11.0% (9.6% - 12.6%), however all estimates for SWL do not show much variance. These estimates are model based i.e. they are based on population characteristics extracted from census data for example and are not based on a survey sample. They do not take into consideration local variation, for example the effects of local campaigns. Due to this it is not strictly appropriate to compare between areas and these data should not be used to monitor performance (The Information Centre 2008). Also consideration of the 95% confidence intervals is needed when assessing the data.</w:t>
      </w:r>
    </w:p>
    <w:p w:rsidR="00704AB8" w:rsidRDefault="00704AB8" w:rsidP="001F2601">
      <w:pPr>
        <w:pStyle w:val="Heading2"/>
        <w:numPr>
          <w:ilvl w:val="1"/>
          <w:numId w:val="1"/>
        </w:numPr>
        <w:spacing w:after="240"/>
        <w:rPr>
          <w:rFonts w:ascii="Arial" w:hAnsi="Arial" w:cs="Arial"/>
          <w:color w:val="auto"/>
          <w:sz w:val="24"/>
          <w:szCs w:val="24"/>
        </w:rPr>
      </w:pPr>
      <w:bookmarkStart w:id="12" w:name="_Toc276037828"/>
      <w:r>
        <w:rPr>
          <w:rFonts w:ascii="Arial" w:hAnsi="Arial" w:cs="Arial"/>
          <w:color w:val="auto"/>
          <w:sz w:val="24"/>
          <w:szCs w:val="24"/>
        </w:rPr>
        <w:t>Smoking</w:t>
      </w:r>
      <w:bookmarkEnd w:id="12"/>
      <w:r w:rsidR="00D604B0">
        <w:rPr>
          <w:rFonts w:ascii="Arial" w:hAnsi="Arial" w:cs="Arial"/>
          <w:color w:val="auto"/>
          <w:sz w:val="24"/>
          <w:szCs w:val="24"/>
        </w:rPr>
        <w:t xml:space="preserve"> </w:t>
      </w:r>
    </w:p>
    <w:p w:rsidR="00696BBD" w:rsidRDefault="004346E3" w:rsidP="00C50B3F">
      <w:pPr>
        <w:rPr>
          <w:rFonts w:ascii="Arial" w:hAnsi="Arial" w:cs="Arial"/>
          <w:color w:val="403838"/>
          <w:sz w:val="20"/>
          <w:szCs w:val="20"/>
        </w:rPr>
      </w:pPr>
      <w:r>
        <w:rPr>
          <w:rFonts w:ascii="Arial" w:hAnsi="Arial" w:cs="Arial"/>
          <w:sz w:val="20"/>
          <w:szCs w:val="20"/>
        </w:rPr>
        <w:t>R</w:t>
      </w:r>
      <w:r w:rsidR="00D604B0" w:rsidRPr="00D604B0">
        <w:rPr>
          <w:rFonts w:ascii="Arial" w:hAnsi="Arial" w:cs="Arial"/>
          <w:sz w:val="20"/>
          <w:szCs w:val="20"/>
        </w:rPr>
        <w:t xml:space="preserve">ecent </w:t>
      </w:r>
      <w:r w:rsidR="000E0EB5" w:rsidRPr="00D604B0">
        <w:rPr>
          <w:rFonts w:ascii="Arial" w:hAnsi="Arial" w:cs="Arial"/>
          <w:sz w:val="20"/>
          <w:szCs w:val="20"/>
        </w:rPr>
        <w:t>review</w:t>
      </w:r>
      <w:r>
        <w:rPr>
          <w:rFonts w:ascii="Arial" w:hAnsi="Arial" w:cs="Arial"/>
          <w:sz w:val="20"/>
          <w:szCs w:val="20"/>
        </w:rPr>
        <w:t>s/meta analysis</w:t>
      </w:r>
      <w:r w:rsidR="000E0EB5" w:rsidRPr="00D604B0">
        <w:rPr>
          <w:rFonts w:ascii="Arial" w:hAnsi="Arial" w:cs="Arial"/>
          <w:sz w:val="20"/>
          <w:szCs w:val="20"/>
        </w:rPr>
        <w:t xml:space="preserve"> </w:t>
      </w:r>
      <w:r>
        <w:rPr>
          <w:rFonts w:ascii="Arial" w:hAnsi="Arial" w:cs="Arial"/>
          <w:sz w:val="20"/>
          <w:szCs w:val="20"/>
        </w:rPr>
        <w:t>(</w:t>
      </w:r>
      <w:proofErr w:type="spellStart"/>
      <w:r>
        <w:rPr>
          <w:rFonts w:ascii="Arial" w:hAnsi="Arial" w:cs="Arial"/>
          <w:sz w:val="20"/>
          <w:szCs w:val="20"/>
        </w:rPr>
        <w:t>Botteri</w:t>
      </w:r>
      <w:proofErr w:type="spellEnd"/>
      <w:r>
        <w:rPr>
          <w:rFonts w:ascii="Arial" w:hAnsi="Arial" w:cs="Arial"/>
          <w:sz w:val="20"/>
          <w:szCs w:val="20"/>
        </w:rPr>
        <w:t xml:space="preserve"> et al. 2008, Liang et al. 2009, Chan and </w:t>
      </w:r>
      <w:proofErr w:type="spellStart"/>
      <w:r>
        <w:rPr>
          <w:rFonts w:ascii="Arial" w:hAnsi="Arial" w:cs="Arial"/>
          <w:sz w:val="20"/>
          <w:szCs w:val="20"/>
        </w:rPr>
        <w:t>Giovannucci</w:t>
      </w:r>
      <w:proofErr w:type="spellEnd"/>
      <w:r>
        <w:rPr>
          <w:rFonts w:ascii="Arial" w:hAnsi="Arial" w:cs="Arial"/>
          <w:sz w:val="20"/>
          <w:szCs w:val="20"/>
        </w:rPr>
        <w:t xml:space="preserve"> </w:t>
      </w:r>
      <w:r w:rsidRPr="00D604B0">
        <w:rPr>
          <w:rFonts w:ascii="Arial" w:hAnsi="Arial" w:cs="Arial"/>
          <w:sz w:val="20"/>
          <w:szCs w:val="20"/>
        </w:rPr>
        <w:t>20</w:t>
      </w:r>
      <w:r>
        <w:rPr>
          <w:rFonts w:ascii="Arial" w:hAnsi="Arial" w:cs="Arial"/>
          <w:sz w:val="20"/>
          <w:szCs w:val="20"/>
        </w:rPr>
        <w:t>10) state</w:t>
      </w:r>
      <w:r w:rsidR="00D604B0" w:rsidRPr="00D604B0">
        <w:rPr>
          <w:rFonts w:ascii="Arial" w:hAnsi="Arial" w:cs="Arial"/>
          <w:sz w:val="20"/>
          <w:szCs w:val="20"/>
        </w:rPr>
        <w:t xml:space="preserve"> that there is compelling evidence indicating </w:t>
      </w:r>
      <w:r w:rsidR="000E0EB5" w:rsidRPr="00D604B0">
        <w:rPr>
          <w:rFonts w:ascii="Arial" w:hAnsi="Arial" w:cs="Arial"/>
          <w:sz w:val="20"/>
          <w:szCs w:val="20"/>
        </w:rPr>
        <w:t xml:space="preserve">that smoking </w:t>
      </w:r>
      <w:r>
        <w:rPr>
          <w:rFonts w:ascii="Arial" w:hAnsi="Arial" w:cs="Arial"/>
          <w:sz w:val="20"/>
          <w:szCs w:val="20"/>
        </w:rPr>
        <w:t>is</w:t>
      </w:r>
      <w:r w:rsidR="000E0EB5" w:rsidRPr="00D604B0">
        <w:rPr>
          <w:rFonts w:ascii="Arial" w:hAnsi="Arial" w:cs="Arial"/>
          <w:sz w:val="20"/>
          <w:szCs w:val="20"/>
        </w:rPr>
        <w:t xml:space="preserve"> associated with </w:t>
      </w:r>
      <w:r>
        <w:rPr>
          <w:rFonts w:ascii="Arial" w:hAnsi="Arial" w:cs="Arial"/>
          <w:sz w:val="20"/>
          <w:szCs w:val="20"/>
        </w:rPr>
        <w:t>a higher risk</w:t>
      </w:r>
      <w:r w:rsidR="000E0EB5" w:rsidRPr="00D604B0">
        <w:rPr>
          <w:rFonts w:ascii="Arial" w:hAnsi="Arial" w:cs="Arial"/>
          <w:sz w:val="20"/>
          <w:szCs w:val="20"/>
        </w:rPr>
        <w:t xml:space="preserve"> of colorectal cancer</w:t>
      </w:r>
      <w:r w:rsidR="00C3439C">
        <w:rPr>
          <w:rFonts w:ascii="Arial" w:hAnsi="Arial" w:cs="Arial"/>
          <w:sz w:val="20"/>
          <w:szCs w:val="20"/>
        </w:rPr>
        <w:t xml:space="preserve"> (CRC)</w:t>
      </w:r>
      <w:r w:rsidR="000E0EB5" w:rsidRPr="00D604B0">
        <w:rPr>
          <w:rFonts w:ascii="Arial" w:hAnsi="Arial" w:cs="Arial"/>
          <w:sz w:val="20"/>
          <w:szCs w:val="20"/>
        </w:rPr>
        <w:t>.</w:t>
      </w:r>
      <w:r w:rsidR="00D604B0">
        <w:rPr>
          <w:rFonts w:ascii="Arial" w:hAnsi="Arial" w:cs="Arial"/>
          <w:sz w:val="20"/>
          <w:szCs w:val="20"/>
        </w:rPr>
        <w:t xml:space="preserve"> </w:t>
      </w:r>
      <w:r w:rsidR="00696BBD">
        <w:rPr>
          <w:rFonts w:ascii="Arial" w:hAnsi="Arial" w:cs="Arial"/>
          <w:sz w:val="20"/>
          <w:szCs w:val="20"/>
        </w:rPr>
        <w:t>Another study found this</w:t>
      </w:r>
      <w:r w:rsidR="001C3DAB">
        <w:rPr>
          <w:rFonts w:ascii="Arial" w:hAnsi="Arial" w:cs="Arial"/>
          <w:sz w:val="20"/>
          <w:szCs w:val="20"/>
        </w:rPr>
        <w:t xml:space="preserve"> as well as </w:t>
      </w:r>
      <w:r w:rsidR="001A31AC">
        <w:rPr>
          <w:rFonts w:ascii="Arial" w:hAnsi="Arial" w:cs="Arial"/>
          <w:sz w:val="20"/>
          <w:szCs w:val="20"/>
        </w:rPr>
        <w:t xml:space="preserve">a possible indication of a dose-response relationship </w:t>
      </w:r>
      <w:r w:rsidR="001A31AC" w:rsidRPr="001A31AC">
        <w:rPr>
          <w:rFonts w:ascii="Arial" w:hAnsi="Arial" w:cs="Arial"/>
          <w:sz w:val="20"/>
          <w:szCs w:val="20"/>
        </w:rPr>
        <w:t>(</w:t>
      </w:r>
      <w:proofErr w:type="spellStart"/>
      <w:r w:rsidR="001A31AC" w:rsidRPr="001A31AC">
        <w:rPr>
          <w:rFonts w:ascii="Arial" w:hAnsi="Arial" w:cs="Arial"/>
          <w:sz w:val="20"/>
          <w:szCs w:val="20"/>
        </w:rPr>
        <w:t>Tsoi</w:t>
      </w:r>
      <w:proofErr w:type="spellEnd"/>
      <w:r w:rsidR="001A31AC" w:rsidRPr="001A31AC">
        <w:rPr>
          <w:rFonts w:ascii="Arial" w:hAnsi="Arial" w:cs="Arial"/>
          <w:sz w:val="20"/>
          <w:szCs w:val="20"/>
        </w:rPr>
        <w:t xml:space="preserve"> et al. 2009).</w:t>
      </w:r>
      <w:r w:rsidR="008E7269">
        <w:rPr>
          <w:rFonts w:ascii="Arial" w:hAnsi="Arial" w:cs="Arial"/>
          <w:sz w:val="20"/>
          <w:szCs w:val="20"/>
        </w:rPr>
        <w:t xml:space="preserve"> Some studies have also shown that the strength of the protective effect of fruit and vegetable consumption depends on smoking status (</w:t>
      </w:r>
      <w:r w:rsidR="008E7269" w:rsidRPr="008E7269">
        <w:rPr>
          <w:rStyle w:val="Strong"/>
          <w:rFonts w:ascii="Arial" w:hAnsi="Arial" w:cs="Arial"/>
          <w:b w:val="0"/>
          <w:color w:val="403838"/>
          <w:sz w:val="20"/>
          <w:szCs w:val="20"/>
        </w:rPr>
        <w:t xml:space="preserve">van </w:t>
      </w:r>
      <w:proofErr w:type="spellStart"/>
      <w:r w:rsidR="008E7269" w:rsidRPr="008E7269">
        <w:rPr>
          <w:rStyle w:val="Strong"/>
          <w:rFonts w:ascii="Arial" w:hAnsi="Arial" w:cs="Arial"/>
          <w:b w:val="0"/>
          <w:color w:val="403838"/>
          <w:sz w:val="20"/>
          <w:szCs w:val="20"/>
        </w:rPr>
        <w:t>Duijnhoven</w:t>
      </w:r>
      <w:proofErr w:type="spellEnd"/>
      <w:r w:rsidR="008E7269" w:rsidRPr="008E7269">
        <w:rPr>
          <w:rStyle w:val="Strong"/>
          <w:rFonts w:ascii="Arial" w:hAnsi="Arial" w:cs="Arial"/>
          <w:b w:val="0"/>
          <w:color w:val="403838"/>
          <w:sz w:val="20"/>
          <w:szCs w:val="20"/>
        </w:rPr>
        <w:t xml:space="preserve"> et al. 2009</w:t>
      </w:r>
      <w:r w:rsidR="008E7269">
        <w:rPr>
          <w:rStyle w:val="Strong"/>
          <w:rFonts w:ascii="Arial" w:hAnsi="Arial" w:cs="Arial"/>
          <w:b w:val="0"/>
          <w:color w:val="403838"/>
          <w:sz w:val="20"/>
          <w:szCs w:val="20"/>
        </w:rPr>
        <w:t xml:space="preserve">, </w:t>
      </w:r>
      <w:proofErr w:type="spellStart"/>
      <w:r w:rsidR="008E7269" w:rsidRPr="008E7269">
        <w:rPr>
          <w:rFonts w:ascii="Arial" w:hAnsi="Arial" w:cs="Arial"/>
          <w:sz w:val="20"/>
          <w:szCs w:val="20"/>
        </w:rPr>
        <w:t>Chaiter</w:t>
      </w:r>
      <w:proofErr w:type="spellEnd"/>
      <w:r w:rsidR="008E7269" w:rsidRPr="008E7269">
        <w:rPr>
          <w:rFonts w:ascii="Arial" w:hAnsi="Arial" w:cs="Arial"/>
          <w:sz w:val="20"/>
          <w:szCs w:val="20"/>
        </w:rPr>
        <w:t xml:space="preserve"> et </w:t>
      </w:r>
      <w:r w:rsidR="008E7269" w:rsidRPr="00F556B0">
        <w:rPr>
          <w:rFonts w:ascii="Arial" w:hAnsi="Arial" w:cs="Arial"/>
          <w:sz w:val="20"/>
          <w:szCs w:val="20"/>
        </w:rPr>
        <w:t>al 2009).</w:t>
      </w:r>
      <w:r w:rsidR="008E7269">
        <w:rPr>
          <w:rFonts w:ascii="Arial" w:hAnsi="Arial" w:cs="Arial"/>
          <w:b/>
          <w:sz w:val="20"/>
          <w:szCs w:val="20"/>
        </w:rPr>
        <w:t xml:space="preserve"> </w:t>
      </w:r>
      <w:r w:rsidR="00696BBD" w:rsidRPr="00696BBD">
        <w:rPr>
          <w:rFonts w:ascii="Arial" w:hAnsi="Arial" w:cs="Arial"/>
          <w:color w:val="403838"/>
          <w:sz w:val="20"/>
          <w:szCs w:val="20"/>
        </w:rPr>
        <w:t>The relation between fruit and vegetables and the risk of CRC</w:t>
      </w:r>
      <w:r w:rsidR="00696BBD" w:rsidRPr="00696BBD">
        <w:rPr>
          <w:rFonts w:ascii="Arial" w:hAnsi="Arial" w:cs="Arial"/>
          <w:color w:val="403838"/>
          <w:sz w:val="20"/>
          <w:szCs w:val="20"/>
          <w:vertAlign w:val="superscript"/>
        </w:rPr>
        <w:t xml:space="preserve"> </w:t>
      </w:r>
      <w:r w:rsidR="00696BBD" w:rsidRPr="00696BBD">
        <w:rPr>
          <w:rFonts w:ascii="Arial" w:hAnsi="Arial" w:cs="Arial"/>
          <w:color w:val="403838"/>
          <w:sz w:val="20"/>
          <w:szCs w:val="20"/>
        </w:rPr>
        <w:t>differed according to smoking status</w:t>
      </w:r>
      <w:r w:rsidR="00696BBD" w:rsidRPr="00696BBD">
        <w:rPr>
          <w:rFonts w:ascii="Arial" w:hAnsi="Arial" w:cs="Arial"/>
          <w:color w:val="0A0905"/>
          <w:sz w:val="20"/>
          <w:szCs w:val="20"/>
        </w:rPr>
        <w:t xml:space="preserve"> in the European Prospective Investigation into Cancer and Nutrition (</w:t>
      </w:r>
      <w:r w:rsidR="00696BBD" w:rsidRPr="00696BBD">
        <w:rPr>
          <w:rStyle w:val="Strong"/>
          <w:rFonts w:ascii="Arial" w:hAnsi="Arial" w:cs="Arial"/>
          <w:b w:val="0"/>
          <w:color w:val="403838"/>
          <w:sz w:val="20"/>
          <w:szCs w:val="20"/>
        </w:rPr>
        <w:t xml:space="preserve">van </w:t>
      </w:r>
      <w:proofErr w:type="spellStart"/>
      <w:r w:rsidR="00696BBD" w:rsidRPr="00696BBD">
        <w:rPr>
          <w:rStyle w:val="Strong"/>
          <w:rFonts w:ascii="Arial" w:hAnsi="Arial" w:cs="Arial"/>
          <w:b w:val="0"/>
          <w:color w:val="403838"/>
          <w:sz w:val="20"/>
          <w:szCs w:val="20"/>
        </w:rPr>
        <w:t>Duijnhoven</w:t>
      </w:r>
      <w:proofErr w:type="spellEnd"/>
      <w:r w:rsidR="00696BBD" w:rsidRPr="00696BBD">
        <w:rPr>
          <w:rStyle w:val="Strong"/>
          <w:rFonts w:ascii="Arial" w:hAnsi="Arial" w:cs="Arial"/>
          <w:b w:val="0"/>
          <w:color w:val="403838"/>
          <w:sz w:val="20"/>
          <w:szCs w:val="20"/>
        </w:rPr>
        <w:t xml:space="preserve"> et al.</w:t>
      </w:r>
      <w:r w:rsidR="00696BBD" w:rsidRPr="00696BBD">
        <w:rPr>
          <w:rFonts w:ascii="Arial" w:hAnsi="Arial" w:cs="Arial"/>
          <w:color w:val="0A0905"/>
          <w:sz w:val="20"/>
          <w:szCs w:val="20"/>
        </w:rPr>
        <w:t xml:space="preserve"> 2009)</w:t>
      </w:r>
      <w:r w:rsidR="00696BBD" w:rsidRPr="00696BBD">
        <w:rPr>
          <w:rFonts w:ascii="Arial" w:hAnsi="Arial" w:cs="Arial"/>
          <w:b/>
          <w:sz w:val="20"/>
          <w:szCs w:val="20"/>
        </w:rPr>
        <w:t xml:space="preserve"> </w:t>
      </w:r>
      <w:r w:rsidR="00696BBD" w:rsidRPr="00696BBD">
        <w:rPr>
          <w:rFonts w:ascii="Arial" w:hAnsi="Arial" w:cs="Arial"/>
          <w:color w:val="403838"/>
          <w:sz w:val="20"/>
          <w:szCs w:val="20"/>
        </w:rPr>
        <w:t>in which an inverse association</w:t>
      </w:r>
      <w:r w:rsidR="00696BBD" w:rsidRPr="00696BBD">
        <w:rPr>
          <w:rFonts w:ascii="Arial" w:hAnsi="Arial" w:cs="Arial"/>
          <w:color w:val="403838"/>
          <w:sz w:val="20"/>
          <w:szCs w:val="20"/>
          <w:vertAlign w:val="superscript"/>
        </w:rPr>
        <w:t xml:space="preserve"> </w:t>
      </w:r>
      <w:r w:rsidR="00696BBD" w:rsidRPr="00696BBD">
        <w:rPr>
          <w:rFonts w:ascii="Arial" w:hAnsi="Arial" w:cs="Arial"/>
          <w:color w:val="403838"/>
          <w:sz w:val="20"/>
          <w:szCs w:val="20"/>
        </w:rPr>
        <w:t>for never and former smokers and a statistically non-significant</w:t>
      </w:r>
      <w:r w:rsidR="00696BBD" w:rsidRPr="00696BBD">
        <w:rPr>
          <w:rFonts w:ascii="Arial" w:hAnsi="Arial" w:cs="Arial"/>
          <w:color w:val="403838"/>
          <w:sz w:val="20"/>
          <w:szCs w:val="20"/>
          <w:vertAlign w:val="superscript"/>
        </w:rPr>
        <w:t xml:space="preserve"> </w:t>
      </w:r>
      <w:r w:rsidR="00696BBD" w:rsidRPr="00696BBD">
        <w:rPr>
          <w:rFonts w:ascii="Arial" w:hAnsi="Arial" w:cs="Arial"/>
          <w:color w:val="403838"/>
          <w:sz w:val="20"/>
          <w:szCs w:val="20"/>
        </w:rPr>
        <w:t>positive association for current smokers was observed. This</w:t>
      </w:r>
      <w:r w:rsidR="00696BBD" w:rsidRPr="00696BBD">
        <w:rPr>
          <w:rFonts w:ascii="Arial" w:hAnsi="Arial" w:cs="Arial"/>
          <w:color w:val="403838"/>
          <w:sz w:val="20"/>
          <w:szCs w:val="20"/>
          <w:vertAlign w:val="superscript"/>
        </w:rPr>
        <w:t xml:space="preserve"> </w:t>
      </w:r>
      <w:r w:rsidR="00696BBD" w:rsidRPr="00696BBD">
        <w:rPr>
          <w:rFonts w:ascii="Arial" w:hAnsi="Arial" w:cs="Arial"/>
          <w:color w:val="403838"/>
          <w:sz w:val="20"/>
          <w:szCs w:val="20"/>
        </w:rPr>
        <w:t>pattern was even more pronounced for vegetable consumption.</w:t>
      </w:r>
      <w:r w:rsidR="00696BBD" w:rsidRPr="00696BBD">
        <w:rPr>
          <w:rFonts w:ascii="Arial" w:hAnsi="Arial" w:cs="Arial"/>
          <w:color w:val="403838"/>
          <w:sz w:val="20"/>
          <w:szCs w:val="20"/>
          <w:vertAlign w:val="superscript"/>
        </w:rPr>
        <w:t xml:space="preserve"> </w:t>
      </w:r>
      <w:r w:rsidR="00696BBD" w:rsidRPr="00696BBD">
        <w:rPr>
          <w:rFonts w:ascii="Arial" w:hAnsi="Arial" w:cs="Arial"/>
          <w:color w:val="403838"/>
          <w:sz w:val="20"/>
          <w:szCs w:val="20"/>
        </w:rPr>
        <w:t>The associations between vegetables and CRC risk were larger</w:t>
      </w:r>
      <w:r w:rsidR="00696BBD" w:rsidRPr="00696BBD">
        <w:rPr>
          <w:rFonts w:ascii="Arial" w:hAnsi="Arial" w:cs="Arial"/>
          <w:color w:val="403838"/>
          <w:sz w:val="20"/>
          <w:szCs w:val="20"/>
          <w:vertAlign w:val="superscript"/>
        </w:rPr>
        <w:t xml:space="preserve"> </w:t>
      </w:r>
      <w:r w:rsidR="00696BBD" w:rsidRPr="00696BBD">
        <w:rPr>
          <w:rFonts w:ascii="Arial" w:hAnsi="Arial" w:cs="Arial"/>
          <w:color w:val="403838"/>
          <w:sz w:val="20"/>
          <w:szCs w:val="20"/>
        </w:rPr>
        <w:t>for heavy smokers and recent quitters than for mild smokers</w:t>
      </w:r>
      <w:r w:rsidR="00696BBD" w:rsidRPr="00696BBD">
        <w:rPr>
          <w:rFonts w:ascii="Arial" w:hAnsi="Arial" w:cs="Arial"/>
          <w:color w:val="403838"/>
          <w:sz w:val="20"/>
          <w:szCs w:val="20"/>
          <w:vertAlign w:val="superscript"/>
        </w:rPr>
        <w:t xml:space="preserve"> </w:t>
      </w:r>
      <w:r w:rsidR="00696BBD" w:rsidRPr="00696BBD">
        <w:rPr>
          <w:rFonts w:ascii="Arial" w:hAnsi="Arial" w:cs="Arial"/>
          <w:color w:val="403838"/>
          <w:sz w:val="20"/>
          <w:szCs w:val="20"/>
        </w:rPr>
        <w:t>and long-term quitters. This pattern seems to be consistent</w:t>
      </w:r>
      <w:r w:rsidR="00696BBD" w:rsidRPr="00696BBD">
        <w:rPr>
          <w:rFonts w:ascii="Arial" w:hAnsi="Arial" w:cs="Arial"/>
          <w:color w:val="403838"/>
          <w:sz w:val="20"/>
          <w:szCs w:val="20"/>
          <w:vertAlign w:val="superscript"/>
        </w:rPr>
        <w:t xml:space="preserve"> </w:t>
      </w:r>
      <w:r w:rsidR="00696BBD" w:rsidRPr="00696BBD">
        <w:rPr>
          <w:rFonts w:ascii="Arial" w:hAnsi="Arial" w:cs="Arial"/>
          <w:color w:val="403838"/>
          <w:sz w:val="20"/>
          <w:szCs w:val="20"/>
        </w:rPr>
        <w:t>with effect modification by smoking status, which thus suggests</w:t>
      </w:r>
      <w:r w:rsidR="00696BBD" w:rsidRPr="00696BBD">
        <w:rPr>
          <w:rFonts w:ascii="Arial" w:hAnsi="Arial" w:cs="Arial"/>
          <w:color w:val="403838"/>
          <w:sz w:val="20"/>
          <w:szCs w:val="20"/>
          <w:vertAlign w:val="superscript"/>
        </w:rPr>
        <w:t xml:space="preserve"> </w:t>
      </w:r>
      <w:r w:rsidR="00696BBD" w:rsidRPr="00696BBD">
        <w:rPr>
          <w:rFonts w:ascii="Arial" w:hAnsi="Arial" w:cs="Arial"/>
          <w:color w:val="403838"/>
          <w:sz w:val="20"/>
          <w:szCs w:val="20"/>
        </w:rPr>
        <w:t>that smoking may negate the potential beneficial effect of vegetables</w:t>
      </w:r>
      <w:r w:rsidR="00696BBD" w:rsidRPr="00696BBD">
        <w:rPr>
          <w:rFonts w:ascii="Arial" w:hAnsi="Arial" w:cs="Arial"/>
          <w:color w:val="403838"/>
          <w:sz w:val="20"/>
          <w:szCs w:val="20"/>
          <w:vertAlign w:val="superscript"/>
        </w:rPr>
        <w:t xml:space="preserve"> </w:t>
      </w:r>
      <w:r w:rsidR="00696BBD" w:rsidRPr="00696BBD">
        <w:rPr>
          <w:rFonts w:ascii="Arial" w:hAnsi="Arial" w:cs="Arial"/>
          <w:color w:val="403838"/>
          <w:sz w:val="20"/>
          <w:szCs w:val="20"/>
        </w:rPr>
        <w:t>on CRC risk.</w:t>
      </w:r>
      <w:r w:rsidR="00030BCC">
        <w:rPr>
          <w:rFonts w:ascii="Arial" w:hAnsi="Arial" w:cs="Arial"/>
          <w:color w:val="403838"/>
          <w:sz w:val="20"/>
          <w:szCs w:val="20"/>
        </w:rPr>
        <w:t xml:space="preserve"> </w:t>
      </w:r>
    </w:p>
    <w:p w:rsidR="00C50B3F" w:rsidRDefault="00C50B3F" w:rsidP="00C50B3F">
      <w:pPr>
        <w:rPr>
          <w:rFonts w:ascii="Arial" w:hAnsi="Arial" w:cs="Arial"/>
          <w:sz w:val="20"/>
          <w:szCs w:val="20"/>
        </w:rPr>
      </w:pPr>
      <w:r w:rsidRPr="00D079C7">
        <w:rPr>
          <w:rFonts w:ascii="Arial" w:hAnsi="Arial" w:cs="Arial"/>
          <w:sz w:val="20"/>
          <w:szCs w:val="20"/>
        </w:rPr>
        <w:t xml:space="preserve">Results from the Health Survey for England </w:t>
      </w:r>
      <w:r w:rsidR="00D079C7" w:rsidRPr="00D079C7">
        <w:rPr>
          <w:rFonts w:ascii="Arial" w:hAnsi="Arial" w:cs="Arial"/>
          <w:sz w:val="20"/>
          <w:szCs w:val="20"/>
        </w:rPr>
        <w:t>(</w:t>
      </w:r>
      <w:r w:rsidR="00D079C7">
        <w:rPr>
          <w:rFonts w:ascii="Arial" w:hAnsi="Arial" w:cs="Arial"/>
          <w:sz w:val="20"/>
          <w:szCs w:val="20"/>
        </w:rPr>
        <w:t xml:space="preserve">The Information Centre </w:t>
      </w:r>
      <w:r w:rsidR="00D079C7" w:rsidRPr="00D447DB">
        <w:rPr>
          <w:rFonts w:ascii="Arial" w:hAnsi="Arial" w:cs="Arial"/>
          <w:sz w:val="20"/>
          <w:szCs w:val="20"/>
        </w:rPr>
        <w:t>2006)</w:t>
      </w:r>
      <w:r w:rsidRPr="00C50B3F">
        <w:rPr>
          <w:rFonts w:ascii="Arial" w:hAnsi="Arial" w:cs="Arial"/>
          <w:sz w:val="20"/>
          <w:szCs w:val="20"/>
        </w:rPr>
        <w:t xml:space="preserve"> showed more variation in smoking rates for BME communities compared with the population as a whole.  Following age-standardisation, Bangladeshi and Irish men were more likely to smoke than the general male population, while Indian men were found to be less likely to smoke than the general male population.  The picture is very different for women as after age-standardisation none of the female BME groups were more likely to smoke than the general female population.  Black African, South Asian and Chinese women were found to be less likely to smoke than the general female population.  These results were however based on self-reported smoking behaviour which is likely to underestimate smoking prevalence.</w:t>
      </w:r>
    </w:p>
    <w:p w:rsidR="005D0E9C" w:rsidRDefault="00704AB8" w:rsidP="005D0E9C">
      <w:pPr>
        <w:rPr>
          <w:rFonts w:ascii="Arial" w:hAnsi="Arial" w:cs="Arial"/>
          <w:sz w:val="20"/>
          <w:szCs w:val="20"/>
        </w:rPr>
      </w:pPr>
      <w:r>
        <w:rPr>
          <w:rFonts w:ascii="Arial" w:hAnsi="Arial" w:cs="Arial"/>
          <w:sz w:val="20"/>
          <w:szCs w:val="20"/>
        </w:rPr>
        <w:t xml:space="preserve">Overall, the </w:t>
      </w:r>
      <w:r w:rsidR="00224DA4">
        <w:rPr>
          <w:rFonts w:ascii="Arial" w:hAnsi="Arial" w:cs="Arial"/>
          <w:sz w:val="20"/>
          <w:szCs w:val="20"/>
        </w:rPr>
        <w:t xml:space="preserve">model </w:t>
      </w:r>
      <w:r>
        <w:rPr>
          <w:rFonts w:ascii="Arial" w:hAnsi="Arial" w:cs="Arial"/>
          <w:sz w:val="20"/>
          <w:szCs w:val="20"/>
        </w:rPr>
        <w:t xml:space="preserve">estimated smoking prevalence across the 6 boroughs of SWL </w:t>
      </w:r>
      <w:r w:rsidR="00172D2C">
        <w:rPr>
          <w:rFonts w:ascii="Arial" w:hAnsi="Arial" w:cs="Arial"/>
          <w:sz w:val="20"/>
          <w:szCs w:val="20"/>
        </w:rPr>
        <w:t>to be</w:t>
      </w:r>
      <w:r>
        <w:rPr>
          <w:rFonts w:ascii="Arial" w:hAnsi="Arial" w:cs="Arial"/>
          <w:sz w:val="20"/>
          <w:szCs w:val="20"/>
        </w:rPr>
        <w:t xml:space="preserve"> similar </w:t>
      </w:r>
      <w:r w:rsidRPr="00704AB8">
        <w:rPr>
          <w:rFonts w:ascii="Arial" w:hAnsi="Arial" w:cs="Arial"/>
          <w:sz w:val="20"/>
          <w:szCs w:val="20"/>
        </w:rPr>
        <w:t>(</w:t>
      </w:r>
      <w:fldSimple w:instr=" REF _Ref263418665 \h  \* MERGEFORMAT ">
        <w:r w:rsidR="004E6A50" w:rsidRPr="004E6A50">
          <w:rPr>
            <w:rFonts w:ascii="Arial" w:hAnsi="Arial" w:cs="Arial"/>
            <w:sz w:val="20"/>
            <w:szCs w:val="20"/>
          </w:rPr>
          <w:t xml:space="preserve">Figure </w:t>
        </w:r>
        <w:r w:rsidR="004E6A50" w:rsidRPr="004E6A50">
          <w:rPr>
            <w:rFonts w:ascii="Arial" w:hAnsi="Arial" w:cs="Arial"/>
            <w:noProof/>
            <w:sz w:val="20"/>
            <w:szCs w:val="20"/>
          </w:rPr>
          <w:t>5</w:t>
        </w:r>
      </w:fldSimple>
      <w:r w:rsidRPr="00704AB8">
        <w:rPr>
          <w:rFonts w:ascii="Arial" w:hAnsi="Arial" w:cs="Arial"/>
          <w:sz w:val="20"/>
          <w:szCs w:val="20"/>
        </w:rPr>
        <w:t>)</w:t>
      </w:r>
      <w:r>
        <w:rPr>
          <w:rFonts w:ascii="Arial" w:hAnsi="Arial" w:cs="Arial"/>
          <w:sz w:val="20"/>
          <w:szCs w:val="20"/>
        </w:rPr>
        <w:t xml:space="preserve"> ranging from 19.3%</w:t>
      </w:r>
      <w:r w:rsidR="00694A08">
        <w:rPr>
          <w:rFonts w:ascii="Arial" w:hAnsi="Arial" w:cs="Arial"/>
          <w:sz w:val="20"/>
          <w:szCs w:val="20"/>
        </w:rPr>
        <w:t xml:space="preserve"> (95%CI 16.1% – 23.0%)</w:t>
      </w:r>
      <w:r w:rsidR="001650BF">
        <w:rPr>
          <w:rFonts w:ascii="Arial" w:hAnsi="Arial" w:cs="Arial"/>
          <w:sz w:val="20"/>
          <w:szCs w:val="20"/>
        </w:rPr>
        <w:t xml:space="preserve"> in Richmond </w:t>
      </w:r>
      <w:r>
        <w:rPr>
          <w:rFonts w:ascii="Arial" w:hAnsi="Arial" w:cs="Arial"/>
          <w:sz w:val="20"/>
          <w:szCs w:val="20"/>
        </w:rPr>
        <w:t>to 2</w:t>
      </w:r>
      <w:r w:rsidR="002B3DA8">
        <w:rPr>
          <w:rFonts w:ascii="Arial" w:hAnsi="Arial" w:cs="Arial"/>
          <w:sz w:val="20"/>
          <w:szCs w:val="20"/>
        </w:rPr>
        <w:t>5.4</w:t>
      </w:r>
      <w:r>
        <w:rPr>
          <w:rFonts w:ascii="Arial" w:hAnsi="Arial" w:cs="Arial"/>
          <w:sz w:val="20"/>
          <w:szCs w:val="20"/>
        </w:rPr>
        <w:t xml:space="preserve">% </w:t>
      </w:r>
      <w:r w:rsidR="00694A08">
        <w:rPr>
          <w:rFonts w:ascii="Arial" w:hAnsi="Arial" w:cs="Arial"/>
          <w:sz w:val="20"/>
          <w:szCs w:val="20"/>
        </w:rPr>
        <w:t xml:space="preserve">(95%CI 22.1% – 29.1%) </w:t>
      </w:r>
      <w:r>
        <w:rPr>
          <w:rFonts w:ascii="Arial" w:hAnsi="Arial" w:cs="Arial"/>
          <w:sz w:val="20"/>
          <w:szCs w:val="20"/>
        </w:rPr>
        <w:t xml:space="preserve">in </w:t>
      </w:r>
      <w:r w:rsidR="002B3DA8">
        <w:rPr>
          <w:rFonts w:ascii="Arial" w:hAnsi="Arial" w:cs="Arial"/>
          <w:sz w:val="20"/>
          <w:szCs w:val="20"/>
        </w:rPr>
        <w:t>Sutton</w:t>
      </w:r>
      <w:r w:rsidR="00CE0DD9">
        <w:rPr>
          <w:rFonts w:ascii="Arial" w:hAnsi="Arial" w:cs="Arial"/>
          <w:sz w:val="20"/>
          <w:szCs w:val="20"/>
        </w:rPr>
        <w:t xml:space="preserve"> (</w:t>
      </w:r>
      <w:fldSimple w:instr=" REF _Ref263418665 \h  \* MERGEFORMAT ">
        <w:r w:rsidR="004E6A50" w:rsidRPr="004E6A50">
          <w:rPr>
            <w:rFonts w:ascii="Arial" w:hAnsi="Arial" w:cs="Arial"/>
            <w:sz w:val="20"/>
            <w:szCs w:val="20"/>
          </w:rPr>
          <w:t xml:space="preserve">Figure </w:t>
        </w:r>
        <w:r w:rsidR="004E6A50" w:rsidRPr="004E6A50">
          <w:rPr>
            <w:rFonts w:ascii="Arial" w:hAnsi="Arial" w:cs="Arial"/>
            <w:noProof/>
            <w:sz w:val="20"/>
            <w:szCs w:val="20"/>
          </w:rPr>
          <w:t>5</w:t>
        </w:r>
      </w:fldSimple>
      <w:r w:rsidR="00CE0DD9">
        <w:rPr>
          <w:rFonts w:ascii="Arial" w:hAnsi="Arial" w:cs="Arial"/>
          <w:sz w:val="20"/>
          <w:szCs w:val="20"/>
        </w:rPr>
        <w:t>)</w:t>
      </w:r>
      <w:r>
        <w:rPr>
          <w:rFonts w:ascii="Arial" w:hAnsi="Arial" w:cs="Arial"/>
          <w:sz w:val="20"/>
          <w:szCs w:val="20"/>
        </w:rPr>
        <w:t xml:space="preserve">. </w:t>
      </w:r>
      <w:r w:rsidR="00172D2C">
        <w:rPr>
          <w:rFonts w:ascii="Arial" w:hAnsi="Arial" w:cs="Arial"/>
          <w:sz w:val="20"/>
          <w:szCs w:val="20"/>
        </w:rPr>
        <w:t>As with the fruit and vegetable data t</w:t>
      </w:r>
      <w:r>
        <w:rPr>
          <w:rFonts w:ascii="Arial" w:hAnsi="Arial" w:cs="Arial"/>
          <w:sz w:val="20"/>
          <w:szCs w:val="20"/>
        </w:rPr>
        <w:t>hese rates are also comparable with the London and national averages.</w:t>
      </w:r>
      <w:r w:rsidR="00137095">
        <w:rPr>
          <w:rFonts w:ascii="Arial" w:hAnsi="Arial" w:cs="Arial"/>
          <w:sz w:val="20"/>
          <w:szCs w:val="20"/>
        </w:rPr>
        <w:t xml:space="preserve"> </w:t>
      </w:r>
      <w:r w:rsidR="005D0E9C">
        <w:rPr>
          <w:rFonts w:ascii="Arial" w:hAnsi="Arial" w:cs="Arial"/>
          <w:sz w:val="20"/>
          <w:szCs w:val="20"/>
        </w:rPr>
        <w:t>These estimates are model based i.e. they are based on population characteristics extracted from census data for example and are not based on a survey sample. They do not take into consideration local variation, for example the effects of local campaigns. Due to this it is not strictly appropriate to compare between areas and these data should not be used to monitor performance (The Information Centre 2008).</w:t>
      </w:r>
      <w:r w:rsidR="00694A08">
        <w:rPr>
          <w:rFonts w:ascii="Arial" w:hAnsi="Arial" w:cs="Arial"/>
          <w:sz w:val="20"/>
          <w:szCs w:val="20"/>
        </w:rPr>
        <w:t xml:space="preserve"> Also consideration of the 95% confidence intervals is needed when assessing the data. </w:t>
      </w:r>
    </w:p>
    <w:p w:rsidR="002364FF" w:rsidRDefault="002364FF" w:rsidP="005D0E9C">
      <w:pPr>
        <w:rPr>
          <w:rFonts w:ascii="Arial" w:hAnsi="Arial" w:cs="Arial"/>
          <w:sz w:val="20"/>
          <w:szCs w:val="20"/>
        </w:rPr>
      </w:pPr>
    </w:p>
    <w:p w:rsidR="002364FF" w:rsidRDefault="002364FF" w:rsidP="005D0E9C">
      <w:pPr>
        <w:rPr>
          <w:rFonts w:ascii="Arial" w:hAnsi="Arial" w:cs="Arial"/>
          <w:sz w:val="20"/>
          <w:szCs w:val="20"/>
        </w:rPr>
      </w:pPr>
    </w:p>
    <w:p w:rsidR="002364FF" w:rsidRDefault="002364FF" w:rsidP="005D0E9C">
      <w:pPr>
        <w:rPr>
          <w:rFonts w:ascii="Arial" w:hAnsi="Arial" w:cs="Arial"/>
          <w:sz w:val="20"/>
          <w:szCs w:val="20"/>
        </w:rPr>
      </w:pPr>
    </w:p>
    <w:p w:rsidR="00B408C1" w:rsidRDefault="00B408C1" w:rsidP="005D0E9C">
      <w:pPr>
        <w:rPr>
          <w:rFonts w:ascii="Arial" w:hAnsi="Arial" w:cs="Arial"/>
          <w:sz w:val="20"/>
          <w:szCs w:val="20"/>
        </w:rPr>
      </w:pPr>
    </w:p>
    <w:p w:rsidR="00563488" w:rsidRPr="00923D22" w:rsidRDefault="00563488" w:rsidP="00C47883">
      <w:pPr>
        <w:pStyle w:val="Caption"/>
        <w:spacing w:after="0"/>
        <w:rPr>
          <w:rFonts w:ascii="Arial" w:hAnsi="Arial" w:cs="Arial"/>
          <w:color w:val="auto"/>
          <w:sz w:val="20"/>
          <w:szCs w:val="20"/>
        </w:rPr>
      </w:pPr>
      <w:bookmarkStart w:id="13" w:name="_Ref263418665"/>
      <w:r w:rsidRPr="00923D22">
        <w:rPr>
          <w:rFonts w:ascii="Arial" w:hAnsi="Arial" w:cs="Arial"/>
          <w:color w:val="auto"/>
        </w:rPr>
        <w:t xml:space="preserve">Figure </w:t>
      </w:r>
      <w:r w:rsidR="00AF55AD" w:rsidRPr="00923D22">
        <w:rPr>
          <w:rFonts w:ascii="Arial" w:hAnsi="Arial" w:cs="Arial"/>
          <w:color w:val="auto"/>
        </w:rPr>
        <w:fldChar w:fldCharType="begin"/>
      </w:r>
      <w:r w:rsidRPr="00923D22">
        <w:rPr>
          <w:rFonts w:ascii="Arial" w:hAnsi="Arial" w:cs="Arial"/>
          <w:color w:val="auto"/>
        </w:rPr>
        <w:instrText xml:space="preserve"> SEQ Figure \* ARABIC </w:instrText>
      </w:r>
      <w:r w:rsidR="00AF55AD" w:rsidRPr="00923D22">
        <w:rPr>
          <w:rFonts w:ascii="Arial" w:hAnsi="Arial" w:cs="Arial"/>
          <w:color w:val="auto"/>
        </w:rPr>
        <w:fldChar w:fldCharType="separate"/>
      </w:r>
      <w:r w:rsidR="004E6A50">
        <w:rPr>
          <w:rFonts w:ascii="Arial" w:hAnsi="Arial" w:cs="Arial"/>
          <w:noProof/>
          <w:color w:val="auto"/>
        </w:rPr>
        <w:t>5</w:t>
      </w:r>
      <w:r w:rsidR="00AF55AD" w:rsidRPr="00923D22">
        <w:rPr>
          <w:rFonts w:ascii="Arial" w:hAnsi="Arial" w:cs="Arial"/>
          <w:color w:val="auto"/>
        </w:rPr>
        <w:fldChar w:fldCharType="end"/>
      </w:r>
      <w:bookmarkEnd w:id="13"/>
      <w:r w:rsidRPr="00923D22">
        <w:rPr>
          <w:rFonts w:ascii="Arial" w:hAnsi="Arial" w:cs="Arial"/>
          <w:color w:val="auto"/>
        </w:rPr>
        <w:t xml:space="preserve">: Model </w:t>
      </w:r>
      <w:r w:rsidR="00E46BDA" w:rsidRPr="00923D22">
        <w:rPr>
          <w:rFonts w:ascii="Arial" w:hAnsi="Arial" w:cs="Arial"/>
          <w:color w:val="auto"/>
        </w:rPr>
        <w:t>b</w:t>
      </w:r>
      <w:r w:rsidRPr="00923D22">
        <w:rPr>
          <w:rFonts w:ascii="Arial" w:hAnsi="Arial" w:cs="Arial"/>
          <w:color w:val="auto"/>
        </w:rPr>
        <w:t xml:space="preserve">ased </w:t>
      </w:r>
      <w:r w:rsidR="00E46BDA" w:rsidRPr="00923D22">
        <w:rPr>
          <w:rFonts w:ascii="Arial" w:hAnsi="Arial" w:cs="Arial"/>
          <w:color w:val="auto"/>
        </w:rPr>
        <w:t>e</w:t>
      </w:r>
      <w:r w:rsidRPr="00923D22">
        <w:rPr>
          <w:rFonts w:ascii="Arial" w:hAnsi="Arial" w:cs="Arial"/>
          <w:color w:val="auto"/>
        </w:rPr>
        <w:t xml:space="preserve">stimates of </w:t>
      </w:r>
      <w:r w:rsidR="00E46BDA" w:rsidRPr="00923D22">
        <w:rPr>
          <w:rFonts w:ascii="Arial" w:hAnsi="Arial" w:cs="Arial"/>
          <w:color w:val="auto"/>
        </w:rPr>
        <w:t>smoking in a</w:t>
      </w:r>
      <w:r w:rsidRPr="00923D22">
        <w:rPr>
          <w:rFonts w:ascii="Arial" w:hAnsi="Arial" w:cs="Arial"/>
          <w:color w:val="auto"/>
        </w:rPr>
        <w:t xml:space="preserve">dults </w:t>
      </w:r>
      <w:r w:rsidR="00E46BDA" w:rsidRPr="00923D22">
        <w:rPr>
          <w:rFonts w:ascii="Arial" w:hAnsi="Arial" w:cs="Arial"/>
          <w:color w:val="auto"/>
        </w:rPr>
        <w:t xml:space="preserve">in </w:t>
      </w:r>
      <w:r w:rsidRPr="00923D22">
        <w:rPr>
          <w:rFonts w:ascii="Arial" w:hAnsi="Arial" w:cs="Arial"/>
          <w:color w:val="auto"/>
        </w:rPr>
        <w:t>South West London compared with England</w:t>
      </w:r>
      <w:r w:rsidR="00E46BDA" w:rsidRPr="00923D22">
        <w:rPr>
          <w:rFonts w:ascii="Arial" w:hAnsi="Arial" w:cs="Arial"/>
          <w:color w:val="auto"/>
        </w:rPr>
        <w:t>,</w:t>
      </w:r>
      <w:r w:rsidRPr="00923D22">
        <w:rPr>
          <w:rFonts w:ascii="Arial" w:hAnsi="Arial" w:cs="Arial"/>
          <w:color w:val="auto"/>
        </w:rPr>
        <w:t xml:space="preserve"> 2003-2005.</w:t>
      </w:r>
    </w:p>
    <w:p w:rsidR="001446CB" w:rsidRDefault="002B3DA8" w:rsidP="00704AB8">
      <w:pPr>
        <w:spacing w:after="0"/>
        <w:rPr>
          <w:rFonts w:ascii="Arial" w:hAnsi="Arial" w:cs="Arial"/>
          <w:sz w:val="20"/>
          <w:szCs w:val="20"/>
        </w:rPr>
      </w:pPr>
      <w:r w:rsidRPr="002B3DA8">
        <w:rPr>
          <w:rFonts w:ascii="Arial" w:hAnsi="Arial" w:cs="Arial"/>
          <w:noProof/>
          <w:sz w:val="20"/>
          <w:szCs w:val="20"/>
          <w:lang w:val="en-US"/>
        </w:rPr>
        <w:drawing>
          <wp:inline distT="0" distB="0" distL="0" distR="0">
            <wp:extent cx="4981575" cy="2619375"/>
            <wp:effectExtent l="19050" t="0" r="9525" b="0"/>
            <wp:docPr id="1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04AB8" w:rsidRDefault="00704AB8" w:rsidP="00C50B3F">
      <w:pPr>
        <w:rPr>
          <w:rFonts w:ascii="Arial" w:hAnsi="Arial" w:cs="Arial"/>
          <w:b/>
          <w:sz w:val="16"/>
          <w:szCs w:val="16"/>
        </w:rPr>
      </w:pPr>
      <w:r w:rsidRPr="00704AB8">
        <w:rPr>
          <w:rFonts w:ascii="Arial" w:hAnsi="Arial" w:cs="Arial"/>
          <w:b/>
          <w:sz w:val="16"/>
          <w:szCs w:val="16"/>
        </w:rPr>
        <w:t>Source: The Information Centre 2010.</w:t>
      </w:r>
    </w:p>
    <w:p w:rsidR="00554B1C" w:rsidRPr="006670E0" w:rsidRDefault="00554B1C" w:rsidP="00554B1C">
      <w:pPr>
        <w:autoSpaceDE w:val="0"/>
        <w:autoSpaceDN w:val="0"/>
        <w:adjustRightInd w:val="0"/>
        <w:rPr>
          <w:rFonts w:ascii="Arial" w:hAnsi="Arial" w:cs="Arial"/>
          <w:sz w:val="20"/>
          <w:szCs w:val="20"/>
        </w:rPr>
      </w:pPr>
      <w:r w:rsidRPr="006670E0">
        <w:rPr>
          <w:rFonts w:ascii="Arial" w:hAnsi="Arial" w:cs="Arial"/>
          <w:sz w:val="20"/>
          <w:szCs w:val="20"/>
        </w:rPr>
        <w:t>Although SW London has followed the national trend with a reduction in the prevalence of smoking this masks significant health inequalities with smoking rates highest in the most deprived populations. In some super output areas in Croydon, Wandsworth and Sutton the prevalence reaches 41%</w:t>
      </w:r>
      <w:r>
        <w:rPr>
          <w:rFonts w:ascii="Arial" w:hAnsi="Arial" w:cs="Arial"/>
          <w:sz w:val="20"/>
          <w:szCs w:val="20"/>
        </w:rPr>
        <w:t xml:space="preserve"> (</w:t>
      </w:r>
      <w:fldSimple w:instr=" REF _Ref268610136 \h  \* MERGEFORMAT ">
        <w:r w:rsidR="004E6A50" w:rsidRPr="004E6A50">
          <w:rPr>
            <w:rFonts w:ascii="Arial" w:hAnsi="Arial" w:cs="Arial"/>
            <w:sz w:val="20"/>
            <w:szCs w:val="20"/>
          </w:rPr>
          <w:t xml:space="preserve">Map </w:t>
        </w:r>
        <w:r w:rsidR="004E6A50" w:rsidRPr="004E6A50">
          <w:rPr>
            <w:rFonts w:ascii="Arial" w:hAnsi="Arial" w:cs="Arial"/>
            <w:noProof/>
            <w:sz w:val="20"/>
            <w:szCs w:val="20"/>
          </w:rPr>
          <w:t>1</w:t>
        </w:r>
      </w:fldSimple>
      <w:r>
        <w:rPr>
          <w:rFonts w:ascii="Arial" w:hAnsi="Arial" w:cs="Arial"/>
          <w:sz w:val="20"/>
          <w:szCs w:val="20"/>
        </w:rPr>
        <w:t>).</w:t>
      </w:r>
    </w:p>
    <w:p w:rsidR="00554B1C" w:rsidRPr="006670E0" w:rsidRDefault="00554B1C" w:rsidP="00554B1C">
      <w:pPr>
        <w:pStyle w:val="Caption"/>
        <w:rPr>
          <w:rFonts w:ascii="Arial" w:hAnsi="Arial" w:cs="Arial"/>
          <w:b w:val="0"/>
          <w:color w:val="auto"/>
          <w:sz w:val="24"/>
          <w:szCs w:val="24"/>
        </w:rPr>
      </w:pPr>
      <w:bookmarkStart w:id="14" w:name="_Ref268610136"/>
      <w:r w:rsidRPr="006670E0">
        <w:rPr>
          <w:rFonts w:ascii="Arial" w:hAnsi="Arial" w:cs="Arial"/>
          <w:color w:val="auto"/>
        </w:rPr>
        <w:t xml:space="preserve">Map </w:t>
      </w:r>
      <w:r w:rsidR="00AF55AD" w:rsidRPr="006670E0">
        <w:rPr>
          <w:rFonts w:ascii="Arial" w:hAnsi="Arial" w:cs="Arial"/>
          <w:color w:val="auto"/>
        </w:rPr>
        <w:fldChar w:fldCharType="begin"/>
      </w:r>
      <w:r w:rsidRPr="006670E0">
        <w:rPr>
          <w:rFonts w:ascii="Arial" w:hAnsi="Arial" w:cs="Arial"/>
          <w:color w:val="auto"/>
        </w:rPr>
        <w:instrText xml:space="preserve"> SEQ Map \* ARABIC </w:instrText>
      </w:r>
      <w:r w:rsidR="00AF55AD" w:rsidRPr="006670E0">
        <w:rPr>
          <w:rFonts w:ascii="Arial" w:hAnsi="Arial" w:cs="Arial"/>
          <w:color w:val="auto"/>
        </w:rPr>
        <w:fldChar w:fldCharType="separate"/>
      </w:r>
      <w:r w:rsidR="004E6A50">
        <w:rPr>
          <w:rFonts w:ascii="Arial" w:hAnsi="Arial" w:cs="Arial"/>
          <w:noProof/>
          <w:color w:val="auto"/>
        </w:rPr>
        <w:t>1</w:t>
      </w:r>
      <w:r w:rsidR="00AF55AD" w:rsidRPr="006670E0">
        <w:rPr>
          <w:rFonts w:ascii="Arial" w:hAnsi="Arial" w:cs="Arial"/>
          <w:color w:val="auto"/>
        </w:rPr>
        <w:fldChar w:fldCharType="end"/>
      </w:r>
      <w:bookmarkEnd w:id="14"/>
      <w:r w:rsidRPr="006670E0">
        <w:rPr>
          <w:rFonts w:ascii="Arial" w:hAnsi="Arial" w:cs="Arial"/>
          <w:color w:val="auto"/>
        </w:rPr>
        <w:t>: Estimates of smoking prevalence in adults (16+) in the SWL sector, 2003-05.</w:t>
      </w:r>
    </w:p>
    <w:p w:rsidR="00554B1C" w:rsidRDefault="00554B1C" w:rsidP="00554B1C">
      <w:pPr>
        <w:rPr>
          <w:rFonts w:ascii="Arial" w:hAnsi="Arial" w:cs="Arial"/>
          <w:b/>
          <w:sz w:val="16"/>
          <w:szCs w:val="16"/>
        </w:rPr>
      </w:pPr>
      <w:r>
        <w:rPr>
          <w:rFonts w:ascii="Arial" w:hAnsi="Arial" w:cs="Arial"/>
          <w:b/>
          <w:noProof/>
          <w:sz w:val="16"/>
          <w:szCs w:val="16"/>
          <w:lang w:val="en-US"/>
        </w:rPr>
        <w:drawing>
          <wp:inline distT="0" distB="0" distL="0" distR="0">
            <wp:extent cx="4578985" cy="3226455"/>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4578985" cy="3226455"/>
                    </a:xfrm>
                    <a:prstGeom prst="rect">
                      <a:avLst/>
                    </a:prstGeom>
                    <a:noFill/>
                    <a:ln w="9525">
                      <a:noFill/>
                      <a:miter lim="800000"/>
                      <a:headEnd/>
                      <a:tailEnd/>
                    </a:ln>
                  </pic:spPr>
                </pic:pic>
              </a:graphicData>
            </a:graphic>
          </wp:inline>
        </w:drawing>
      </w:r>
    </w:p>
    <w:p w:rsidR="00554B1C" w:rsidRPr="006670E0" w:rsidRDefault="00554B1C" w:rsidP="00554B1C">
      <w:pPr>
        <w:autoSpaceDE w:val="0"/>
        <w:autoSpaceDN w:val="0"/>
        <w:adjustRightInd w:val="0"/>
        <w:spacing w:after="0" w:line="240" w:lineRule="auto"/>
        <w:rPr>
          <w:rFonts w:ascii="Arial" w:hAnsi="Arial" w:cs="Arial"/>
          <w:b/>
          <w:bCs/>
          <w:sz w:val="16"/>
          <w:szCs w:val="16"/>
        </w:rPr>
      </w:pPr>
      <w:r w:rsidRPr="006670E0">
        <w:rPr>
          <w:rFonts w:ascii="Arial" w:hAnsi="Arial" w:cs="Arial"/>
          <w:b/>
          <w:iCs/>
          <w:sz w:val="16"/>
          <w:szCs w:val="16"/>
        </w:rPr>
        <w:t xml:space="preserve">Source: </w:t>
      </w:r>
      <w:proofErr w:type="spellStart"/>
      <w:r w:rsidRPr="006670E0">
        <w:rPr>
          <w:rFonts w:ascii="Arial" w:hAnsi="Arial" w:cs="Arial"/>
          <w:b/>
          <w:iCs/>
          <w:sz w:val="16"/>
          <w:szCs w:val="16"/>
        </w:rPr>
        <w:t>HSfE</w:t>
      </w:r>
      <w:proofErr w:type="spellEnd"/>
      <w:r w:rsidRPr="006670E0">
        <w:rPr>
          <w:rFonts w:ascii="Arial" w:hAnsi="Arial" w:cs="Arial"/>
          <w:b/>
          <w:iCs/>
          <w:sz w:val="16"/>
          <w:szCs w:val="16"/>
        </w:rPr>
        <w:t xml:space="preserve"> 2006; map by SWL Public Health Intelligence from </w:t>
      </w:r>
      <w:r w:rsidRPr="006670E0">
        <w:rPr>
          <w:rFonts w:ascii="Arial" w:hAnsi="Arial" w:cs="Arial"/>
          <w:b/>
          <w:bCs/>
          <w:sz w:val="16"/>
          <w:szCs w:val="16"/>
        </w:rPr>
        <w:t>Staying Healthy Strategy for South West London 2010-2016</w:t>
      </w:r>
    </w:p>
    <w:p w:rsidR="00554B1C" w:rsidRDefault="00554B1C" w:rsidP="00C50B3F">
      <w:pPr>
        <w:rPr>
          <w:rFonts w:ascii="Arial" w:hAnsi="Arial" w:cs="Arial"/>
          <w:b/>
          <w:sz w:val="16"/>
          <w:szCs w:val="16"/>
        </w:rPr>
      </w:pPr>
    </w:p>
    <w:p w:rsidR="00A700FD" w:rsidRDefault="00A700FD" w:rsidP="00C50B3F">
      <w:pPr>
        <w:rPr>
          <w:rFonts w:ascii="Arial" w:hAnsi="Arial" w:cs="Arial"/>
          <w:b/>
          <w:sz w:val="16"/>
          <w:szCs w:val="16"/>
        </w:rPr>
      </w:pPr>
    </w:p>
    <w:p w:rsidR="004224B4" w:rsidRDefault="00704AB8" w:rsidP="001F2601">
      <w:pPr>
        <w:pStyle w:val="Heading2"/>
        <w:numPr>
          <w:ilvl w:val="1"/>
          <w:numId w:val="1"/>
        </w:numPr>
        <w:spacing w:after="240"/>
        <w:rPr>
          <w:rFonts w:ascii="Arial" w:hAnsi="Arial" w:cs="Arial"/>
          <w:color w:val="auto"/>
          <w:sz w:val="24"/>
          <w:szCs w:val="24"/>
        </w:rPr>
      </w:pPr>
      <w:bookmarkStart w:id="15" w:name="_Toc276037829"/>
      <w:r>
        <w:rPr>
          <w:rFonts w:ascii="Arial" w:hAnsi="Arial" w:cs="Arial"/>
          <w:color w:val="auto"/>
          <w:sz w:val="24"/>
          <w:szCs w:val="24"/>
        </w:rPr>
        <w:t>Multiple Deprivation</w:t>
      </w:r>
      <w:bookmarkEnd w:id="15"/>
    </w:p>
    <w:p w:rsidR="00477350" w:rsidRDefault="00AF55AD" w:rsidP="00477350">
      <w:pPr>
        <w:rPr>
          <w:rFonts w:ascii="Arial" w:hAnsi="Arial" w:cs="Arial"/>
          <w:sz w:val="20"/>
          <w:szCs w:val="20"/>
        </w:rPr>
      </w:pPr>
      <w:fldSimple w:instr=" REF _Ref263422108 \h  \* MERGEFORMAT ">
        <w:r w:rsidR="004E6A50" w:rsidRPr="004E6A50">
          <w:rPr>
            <w:rFonts w:ascii="Arial" w:hAnsi="Arial" w:cs="Arial"/>
            <w:sz w:val="20"/>
            <w:szCs w:val="20"/>
          </w:rPr>
          <w:t xml:space="preserve">Figure </w:t>
        </w:r>
        <w:r w:rsidR="004E6A50" w:rsidRPr="004E6A50">
          <w:rPr>
            <w:rFonts w:ascii="Arial" w:hAnsi="Arial" w:cs="Arial"/>
            <w:noProof/>
            <w:sz w:val="20"/>
            <w:szCs w:val="20"/>
          </w:rPr>
          <w:t>6</w:t>
        </w:r>
      </w:fldSimple>
      <w:r w:rsidR="00682890">
        <w:rPr>
          <w:rFonts w:ascii="Arial" w:hAnsi="Arial" w:cs="Arial"/>
          <w:sz w:val="20"/>
          <w:szCs w:val="20"/>
        </w:rPr>
        <w:t xml:space="preserve"> </w:t>
      </w:r>
      <w:r w:rsidR="00487E4F">
        <w:rPr>
          <w:rFonts w:ascii="Arial" w:hAnsi="Arial" w:cs="Arial"/>
          <w:sz w:val="20"/>
          <w:szCs w:val="20"/>
        </w:rPr>
        <w:t xml:space="preserve">shows the age standardised </w:t>
      </w:r>
      <w:r w:rsidR="009E5900">
        <w:rPr>
          <w:rFonts w:ascii="Arial" w:hAnsi="Arial" w:cs="Arial"/>
          <w:sz w:val="20"/>
          <w:szCs w:val="20"/>
        </w:rPr>
        <w:t>colorectal</w:t>
      </w:r>
      <w:r w:rsidR="00487E4F">
        <w:rPr>
          <w:rFonts w:ascii="Arial" w:hAnsi="Arial" w:cs="Arial"/>
          <w:sz w:val="20"/>
          <w:szCs w:val="20"/>
        </w:rPr>
        <w:t xml:space="preserve"> cancer incidence across England. The graph shows that there is significant variation between deprivation quintiles</w:t>
      </w:r>
      <w:r w:rsidR="00065D8B">
        <w:rPr>
          <w:rFonts w:ascii="Arial" w:hAnsi="Arial" w:cs="Arial"/>
          <w:sz w:val="20"/>
          <w:szCs w:val="20"/>
        </w:rPr>
        <w:t xml:space="preserve"> for males but not for females. For men, as </w:t>
      </w:r>
      <w:r w:rsidR="00487E4F">
        <w:rPr>
          <w:rFonts w:ascii="Arial" w:hAnsi="Arial" w:cs="Arial"/>
          <w:sz w:val="20"/>
          <w:szCs w:val="20"/>
        </w:rPr>
        <w:t xml:space="preserve">deprivation increases the incidence of </w:t>
      </w:r>
      <w:r w:rsidR="00065D8B">
        <w:rPr>
          <w:rFonts w:ascii="Arial" w:hAnsi="Arial" w:cs="Arial"/>
          <w:sz w:val="20"/>
          <w:szCs w:val="20"/>
        </w:rPr>
        <w:t>colorectal</w:t>
      </w:r>
      <w:r w:rsidR="00487E4F">
        <w:rPr>
          <w:rFonts w:ascii="Arial" w:hAnsi="Arial" w:cs="Arial"/>
          <w:sz w:val="20"/>
          <w:szCs w:val="20"/>
        </w:rPr>
        <w:t xml:space="preserve"> cancer increases. </w:t>
      </w:r>
      <w:r w:rsidR="00963DD6">
        <w:rPr>
          <w:rFonts w:ascii="Arial" w:hAnsi="Arial" w:cs="Arial"/>
          <w:sz w:val="20"/>
          <w:szCs w:val="20"/>
        </w:rPr>
        <w:t xml:space="preserve">While the difference between the least and most deprived groups is significant </w:t>
      </w:r>
      <w:r w:rsidR="00AD17D7">
        <w:rPr>
          <w:rFonts w:ascii="Arial" w:hAnsi="Arial" w:cs="Arial"/>
          <w:sz w:val="20"/>
          <w:szCs w:val="20"/>
        </w:rPr>
        <w:t>the ratio</w:t>
      </w:r>
      <w:r w:rsidR="00E77BFB">
        <w:rPr>
          <w:rFonts w:ascii="Arial" w:hAnsi="Arial" w:cs="Arial"/>
          <w:sz w:val="20"/>
          <w:szCs w:val="20"/>
        </w:rPr>
        <w:t xml:space="preserve"> between both age standardised incidence rates is only 1.1</w:t>
      </w:r>
      <w:r w:rsidR="001A34FC">
        <w:rPr>
          <w:rFonts w:ascii="Arial" w:hAnsi="Arial" w:cs="Arial"/>
          <w:sz w:val="20"/>
          <w:szCs w:val="20"/>
        </w:rPr>
        <w:t xml:space="preserve"> (</w:t>
      </w:r>
      <w:r w:rsidR="00215AA8">
        <w:rPr>
          <w:rFonts w:ascii="Arial" w:hAnsi="Arial" w:cs="Arial"/>
          <w:sz w:val="20"/>
          <w:szCs w:val="20"/>
        </w:rPr>
        <w:t>National Cancer Intelligence Network 2010a</w:t>
      </w:r>
      <w:r w:rsidR="001A34FC">
        <w:rPr>
          <w:rFonts w:ascii="Arial" w:hAnsi="Arial" w:cs="Arial"/>
          <w:sz w:val="20"/>
          <w:szCs w:val="20"/>
        </w:rPr>
        <w:t>)</w:t>
      </w:r>
      <w:r w:rsidR="00D87F05">
        <w:rPr>
          <w:rFonts w:ascii="Arial" w:hAnsi="Arial" w:cs="Arial"/>
          <w:sz w:val="20"/>
          <w:szCs w:val="20"/>
        </w:rPr>
        <w:t>.</w:t>
      </w:r>
      <w:r w:rsidR="00E77BFB">
        <w:rPr>
          <w:rFonts w:ascii="Arial" w:hAnsi="Arial" w:cs="Arial"/>
          <w:sz w:val="20"/>
          <w:szCs w:val="20"/>
        </w:rPr>
        <w:t xml:space="preserve"> </w:t>
      </w:r>
      <w:r w:rsidR="00AD17D7">
        <w:rPr>
          <w:rFonts w:ascii="Arial" w:hAnsi="Arial" w:cs="Arial"/>
          <w:sz w:val="20"/>
          <w:szCs w:val="20"/>
        </w:rPr>
        <w:t>A</w:t>
      </w:r>
      <w:r w:rsidR="00573124">
        <w:rPr>
          <w:rFonts w:ascii="Arial" w:hAnsi="Arial" w:cs="Arial"/>
          <w:sz w:val="20"/>
          <w:szCs w:val="20"/>
        </w:rPr>
        <w:t xml:space="preserve"> study specific to the </w:t>
      </w:r>
      <w:r w:rsidR="00007D4C">
        <w:rPr>
          <w:rFonts w:ascii="Arial" w:hAnsi="Arial" w:cs="Arial"/>
          <w:sz w:val="20"/>
          <w:szCs w:val="20"/>
        </w:rPr>
        <w:t xml:space="preserve">South </w:t>
      </w:r>
      <w:r w:rsidR="00573124">
        <w:rPr>
          <w:rFonts w:ascii="Arial" w:hAnsi="Arial" w:cs="Arial"/>
          <w:sz w:val="20"/>
          <w:szCs w:val="20"/>
        </w:rPr>
        <w:t xml:space="preserve">Thames </w:t>
      </w:r>
      <w:r w:rsidR="00007D4C">
        <w:rPr>
          <w:rFonts w:ascii="Arial" w:hAnsi="Arial" w:cs="Arial"/>
          <w:sz w:val="20"/>
          <w:szCs w:val="20"/>
        </w:rPr>
        <w:t>region</w:t>
      </w:r>
      <w:r w:rsidR="00573124">
        <w:rPr>
          <w:rFonts w:ascii="Arial" w:hAnsi="Arial" w:cs="Arial"/>
          <w:sz w:val="20"/>
          <w:szCs w:val="20"/>
        </w:rPr>
        <w:t xml:space="preserve"> </w:t>
      </w:r>
      <w:r w:rsidR="00007D4C">
        <w:rPr>
          <w:rFonts w:ascii="Arial" w:hAnsi="Arial" w:cs="Arial"/>
          <w:sz w:val="20"/>
          <w:szCs w:val="20"/>
        </w:rPr>
        <w:t xml:space="preserve">(Pollock and Vickers 1997) </w:t>
      </w:r>
      <w:r w:rsidR="00573124">
        <w:rPr>
          <w:rFonts w:ascii="Arial" w:hAnsi="Arial" w:cs="Arial"/>
          <w:sz w:val="20"/>
          <w:szCs w:val="20"/>
        </w:rPr>
        <w:t xml:space="preserve">also found no significant difference between extreme deprivation groups in 1997 but did find a significantly lower 5-year relative survival rate for those residing in areas of most deprivation compared to those in areas of least deprivation. </w:t>
      </w:r>
      <w:r w:rsidR="00E77BFB">
        <w:rPr>
          <w:rFonts w:ascii="Arial" w:hAnsi="Arial" w:cs="Arial"/>
          <w:sz w:val="20"/>
          <w:szCs w:val="20"/>
        </w:rPr>
        <w:t xml:space="preserve">A possible contributing factor to the lack of </w:t>
      </w:r>
      <w:r w:rsidR="00AD17D7">
        <w:rPr>
          <w:rFonts w:ascii="Arial" w:hAnsi="Arial" w:cs="Arial"/>
          <w:sz w:val="20"/>
          <w:szCs w:val="20"/>
        </w:rPr>
        <w:t>variation</w:t>
      </w:r>
      <w:r w:rsidR="00E77BFB">
        <w:rPr>
          <w:rFonts w:ascii="Arial" w:hAnsi="Arial" w:cs="Arial"/>
          <w:sz w:val="20"/>
          <w:szCs w:val="20"/>
        </w:rPr>
        <w:t xml:space="preserve"> in incidence between deprivation groups may be due to the fact that those living in deprived areas are less likely to </w:t>
      </w:r>
      <w:r w:rsidR="00E77BFB" w:rsidRPr="00E77BFB">
        <w:rPr>
          <w:rFonts w:ascii="Arial" w:hAnsi="Arial" w:cs="Arial"/>
          <w:sz w:val="20"/>
          <w:szCs w:val="20"/>
        </w:rPr>
        <w:t>take</w:t>
      </w:r>
      <w:r w:rsidR="00AD17D7">
        <w:rPr>
          <w:rFonts w:ascii="Arial" w:hAnsi="Arial" w:cs="Arial"/>
          <w:sz w:val="20"/>
          <w:szCs w:val="20"/>
        </w:rPr>
        <w:t xml:space="preserve"> up</w:t>
      </w:r>
      <w:r w:rsidR="00E77BFB" w:rsidRPr="00E77BFB">
        <w:rPr>
          <w:rFonts w:ascii="Arial" w:hAnsi="Arial" w:cs="Arial"/>
          <w:sz w:val="20"/>
          <w:szCs w:val="20"/>
        </w:rPr>
        <w:t xml:space="preserve"> the offer of bowel screening (</w:t>
      </w:r>
      <w:proofErr w:type="spellStart"/>
      <w:r w:rsidR="00E77BFB" w:rsidRPr="00E77BFB">
        <w:rPr>
          <w:rFonts w:ascii="Arial" w:hAnsi="Arial" w:cs="Arial"/>
          <w:sz w:val="20"/>
          <w:szCs w:val="20"/>
        </w:rPr>
        <w:t>Whynes</w:t>
      </w:r>
      <w:proofErr w:type="spellEnd"/>
      <w:r w:rsidR="00E77BFB" w:rsidRPr="00E77BFB">
        <w:rPr>
          <w:rFonts w:ascii="Arial" w:hAnsi="Arial" w:cs="Arial"/>
          <w:sz w:val="20"/>
          <w:szCs w:val="20"/>
        </w:rPr>
        <w:t xml:space="preserve"> et al. 2003)</w:t>
      </w:r>
      <w:r w:rsidR="00E77BFB">
        <w:rPr>
          <w:rFonts w:ascii="Arial" w:hAnsi="Arial" w:cs="Arial"/>
          <w:sz w:val="20"/>
          <w:szCs w:val="20"/>
        </w:rPr>
        <w:t xml:space="preserve">. As a result, with more affluent groups </w:t>
      </w:r>
      <w:r w:rsidR="00DC5BC2">
        <w:rPr>
          <w:rFonts w:ascii="Arial" w:hAnsi="Arial" w:cs="Arial"/>
          <w:sz w:val="20"/>
          <w:szCs w:val="20"/>
        </w:rPr>
        <w:t>screened the detection of colorectal cancer may result in a more even incidence rate.</w:t>
      </w:r>
    </w:p>
    <w:p w:rsidR="00E46BDA" w:rsidRPr="00E46BDA" w:rsidRDefault="00E46BDA" w:rsidP="0039588B">
      <w:pPr>
        <w:pStyle w:val="Caption"/>
        <w:spacing w:after="0"/>
        <w:rPr>
          <w:rFonts w:ascii="Arial" w:hAnsi="Arial" w:cs="Arial"/>
          <w:color w:val="auto"/>
          <w:sz w:val="20"/>
          <w:szCs w:val="20"/>
        </w:rPr>
      </w:pPr>
      <w:bookmarkStart w:id="16" w:name="_Ref263422108"/>
      <w:r w:rsidRPr="00E46BDA">
        <w:rPr>
          <w:rFonts w:ascii="Arial" w:hAnsi="Arial" w:cs="Arial"/>
          <w:color w:val="auto"/>
        </w:rPr>
        <w:t xml:space="preserve">Figure </w:t>
      </w:r>
      <w:r w:rsidR="00AF55AD" w:rsidRPr="00E46BDA">
        <w:rPr>
          <w:rFonts w:ascii="Arial" w:hAnsi="Arial" w:cs="Arial"/>
          <w:color w:val="auto"/>
        </w:rPr>
        <w:fldChar w:fldCharType="begin"/>
      </w:r>
      <w:r w:rsidRPr="00E46BDA">
        <w:rPr>
          <w:rFonts w:ascii="Arial" w:hAnsi="Arial" w:cs="Arial"/>
          <w:color w:val="auto"/>
        </w:rPr>
        <w:instrText xml:space="preserve"> SEQ Figure \* ARABIC </w:instrText>
      </w:r>
      <w:r w:rsidR="00AF55AD" w:rsidRPr="00E46BDA">
        <w:rPr>
          <w:rFonts w:ascii="Arial" w:hAnsi="Arial" w:cs="Arial"/>
          <w:color w:val="auto"/>
        </w:rPr>
        <w:fldChar w:fldCharType="separate"/>
      </w:r>
      <w:r w:rsidR="004E6A50">
        <w:rPr>
          <w:rFonts w:ascii="Arial" w:hAnsi="Arial" w:cs="Arial"/>
          <w:noProof/>
          <w:color w:val="auto"/>
        </w:rPr>
        <w:t>6</w:t>
      </w:r>
      <w:r w:rsidR="00AF55AD" w:rsidRPr="00E46BDA">
        <w:rPr>
          <w:rFonts w:ascii="Arial" w:hAnsi="Arial" w:cs="Arial"/>
          <w:color w:val="auto"/>
        </w:rPr>
        <w:fldChar w:fldCharType="end"/>
      </w:r>
      <w:bookmarkEnd w:id="16"/>
      <w:r>
        <w:rPr>
          <w:rFonts w:ascii="Arial" w:hAnsi="Arial" w:cs="Arial"/>
          <w:color w:val="auto"/>
        </w:rPr>
        <w:t xml:space="preserve">: </w:t>
      </w:r>
      <w:r w:rsidR="00E77BFB">
        <w:rPr>
          <w:rFonts w:ascii="Arial" w:hAnsi="Arial" w:cs="Arial"/>
          <w:color w:val="auto"/>
        </w:rPr>
        <w:t>Colorectal</w:t>
      </w:r>
      <w:r>
        <w:rPr>
          <w:rFonts w:ascii="Arial" w:hAnsi="Arial" w:cs="Arial"/>
          <w:color w:val="auto"/>
        </w:rPr>
        <w:t xml:space="preserve"> c</w:t>
      </w:r>
      <w:r w:rsidRPr="00E46BDA">
        <w:rPr>
          <w:rFonts w:ascii="Arial" w:hAnsi="Arial" w:cs="Arial"/>
          <w:color w:val="auto"/>
        </w:rPr>
        <w:t xml:space="preserve">ancer </w:t>
      </w:r>
      <w:r>
        <w:rPr>
          <w:rFonts w:ascii="Arial" w:hAnsi="Arial" w:cs="Arial"/>
          <w:color w:val="auto"/>
        </w:rPr>
        <w:t>i</w:t>
      </w:r>
      <w:r w:rsidRPr="00E46BDA">
        <w:rPr>
          <w:rFonts w:ascii="Arial" w:hAnsi="Arial" w:cs="Arial"/>
          <w:color w:val="auto"/>
        </w:rPr>
        <w:t xml:space="preserve">ncidence by </w:t>
      </w:r>
      <w:r>
        <w:rPr>
          <w:rFonts w:ascii="Arial" w:hAnsi="Arial" w:cs="Arial"/>
          <w:color w:val="auto"/>
        </w:rPr>
        <w:t>i</w:t>
      </w:r>
      <w:r w:rsidRPr="00E46BDA">
        <w:rPr>
          <w:rFonts w:ascii="Arial" w:hAnsi="Arial" w:cs="Arial"/>
          <w:color w:val="auto"/>
        </w:rPr>
        <w:t xml:space="preserve">ndex of multiple </w:t>
      </w:r>
      <w:proofErr w:type="gramStart"/>
      <w:r w:rsidRPr="00E46BDA">
        <w:rPr>
          <w:rFonts w:ascii="Arial" w:hAnsi="Arial" w:cs="Arial"/>
          <w:color w:val="auto"/>
        </w:rPr>
        <w:t>deprivation</w:t>
      </w:r>
      <w:proofErr w:type="gramEnd"/>
      <w:r w:rsidRPr="00E46BDA">
        <w:rPr>
          <w:rFonts w:ascii="Arial" w:hAnsi="Arial" w:cs="Arial"/>
          <w:color w:val="auto"/>
        </w:rPr>
        <w:t xml:space="preserve"> 2000-2004.</w:t>
      </w:r>
    </w:p>
    <w:p w:rsidR="00E46BDA" w:rsidRDefault="00065D8B" w:rsidP="0039588B">
      <w:pPr>
        <w:spacing w:after="0"/>
      </w:pPr>
      <w:r w:rsidRPr="00065D8B">
        <w:rPr>
          <w:noProof/>
          <w:lang w:val="en-US"/>
        </w:rPr>
        <w:drawing>
          <wp:inline distT="0" distB="0" distL="0" distR="0">
            <wp:extent cx="5731510" cy="2047875"/>
            <wp:effectExtent l="19050" t="0" r="2159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4046E" w:rsidRPr="0094046E" w:rsidRDefault="0094046E" w:rsidP="00477350">
      <w:pPr>
        <w:rPr>
          <w:rFonts w:ascii="Arial" w:hAnsi="Arial" w:cs="Arial"/>
          <w:b/>
          <w:sz w:val="16"/>
          <w:szCs w:val="16"/>
        </w:rPr>
      </w:pPr>
      <w:r w:rsidRPr="0094046E">
        <w:rPr>
          <w:rFonts w:ascii="Arial" w:hAnsi="Arial" w:cs="Arial"/>
          <w:b/>
          <w:sz w:val="16"/>
          <w:szCs w:val="16"/>
        </w:rPr>
        <w:t>Source: National Cancer Intelligence Network, 2008.</w:t>
      </w:r>
    </w:p>
    <w:p w:rsidR="00A55AEC" w:rsidRDefault="00A77C5F" w:rsidP="00704AB8">
      <w:pPr>
        <w:rPr>
          <w:rFonts w:ascii="Arial" w:hAnsi="Arial" w:cs="Arial"/>
          <w:sz w:val="20"/>
          <w:szCs w:val="20"/>
        </w:rPr>
      </w:pPr>
      <w:r>
        <w:rPr>
          <w:rFonts w:ascii="Arial" w:hAnsi="Arial" w:cs="Arial"/>
          <w:sz w:val="20"/>
          <w:szCs w:val="20"/>
        </w:rPr>
        <w:t xml:space="preserve">In SWL the main areas </w:t>
      </w:r>
      <w:r w:rsidR="00D471E4">
        <w:rPr>
          <w:rFonts w:ascii="Arial" w:hAnsi="Arial" w:cs="Arial"/>
          <w:sz w:val="20"/>
          <w:szCs w:val="20"/>
        </w:rPr>
        <w:t>of high</w:t>
      </w:r>
      <w:r>
        <w:rPr>
          <w:rFonts w:ascii="Arial" w:hAnsi="Arial" w:cs="Arial"/>
          <w:sz w:val="20"/>
          <w:szCs w:val="20"/>
        </w:rPr>
        <w:t xml:space="preserve"> deprivation </w:t>
      </w:r>
      <w:r w:rsidR="00D471E4">
        <w:rPr>
          <w:rFonts w:ascii="Arial" w:hAnsi="Arial" w:cs="Arial"/>
          <w:sz w:val="20"/>
          <w:szCs w:val="20"/>
        </w:rPr>
        <w:t xml:space="preserve">are in Wandsworth (Battersea, </w:t>
      </w:r>
      <w:proofErr w:type="spellStart"/>
      <w:r w:rsidR="00D471E4">
        <w:rPr>
          <w:rFonts w:ascii="Arial" w:hAnsi="Arial" w:cs="Arial"/>
          <w:sz w:val="20"/>
          <w:szCs w:val="20"/>
        </w:rPr>
        <w:t>Roehampton</w:t>
      </w:r>
      <w:proofErr w:type="spellEnd"/>
      <w:r w:rsidR="00D471E4">
        <w:rPr>
          <w:rFonts w:ascii="Arial" w:hAnsi="Arial" w:cs="Arial"/>
          <w:sz w:val="20"/>
          <w:szCs w:val="20"/>
        </w:rPr>
        <w:t xml:space="preserve">, Tooting), Sutton </w:t>
      </w:r>
      <w:r w:rsidR="001650BF">
        <w:rPr>
          <w:rFonts w:ascii="Arial" w:hAnsi="Arial" w:cs="Arial"/>
          <w:sz w:val="20"/>
          <w:szCs w:val="20"/>
        </w:rPr>
        <w:t>&amp;</w:t>
      </w:r>
      <w:r w:rsidR="00D471E4">
        <w:rPr>
          <w:rFonts w:ascii="Arial" w:hAnsi="Arial" w:cs="Arial"/>
          <w:sz w:val="20"/>
          <w:szCs w:val="20"/>
        </w:rPr>
        <w:t xml:space="preserve"> Merton (Morden, </w:t>
      </w:r>
      <w:proofErr w:type="spellStart"/>
      <w:r w:rsidR="00D471E4">
        <w:rPr>
          <w:rFonts w:ascii="Arial" w:hAnsi="Arial" w:cs="Arial"/>
          <w:sz w:val="20"/>
          <w:szCs w:val="20"/>
        </w:rPr>
        <w:t>Carlshalton</w:t>
      </w:r>
      <w:proofErr w:type="spellEnd"/>
      <w:r w:rsidR="00D471E4">
        <w:rPr>
          <w:rFonts w:ascii="Arial" w:hAnsi="Arial" w:cs="Arial"/>
          <w:sz w:val="20"/>
          <w:szCs w:val="20"/>
        </w:rPr>
        <w:t>) and Croydon (Croydon centre and surrounding</w:t>
      </w:r>
      <w:r w:rsidR="00FF1892">
        <w:rPr>
          <w:rFonts w:ascii="Arial" w:hAnsi="Arial" w:cs="Arial"/>
          <w:sz w:val="20"/>
          <w:szCs w:val="20"/>
        </w:rPr>
        <w:t xml:space="preserve"> area</w:t>
      </w:r>
      <w:r w:rsidR="00D471E4">
        <w:rPr>
          <w:rFonts w:ascii="Arial" w:hAnsi="Arial" w:cs="Arial"/>
          <w:sz w:val="20"/>
          <w:szCs w:val="20"/>
        </w:rPr>
        <w:t>,</w:t>
      </w:r>
      <w:r w:rsidR="00AD17D7">
        <w:rPr>
          <w:rFonts w:ascii="Arial" w:hAnsi="Arial" w:cs="Arial"/>
          <w:sz w:val="20"/>
          <w:szCs w:val="20"/>
        </w:rPr>
        <w:t xml:space="preserve"> and</w:t>
      </w:r>
      <w:r w:rsidR="00D471E4">
        <w:rPr>
          <w:rFonts w:ascii="Arial" w:hAnsi="Arial" w:cs="Arial"/>
          <w:sz w:val="20"/>
          <w:szCs w:val="20"/>
        </w:rPr>
        <w:t xml:space="preserve"> </w:t>
      </w:r>
    </w:p>
    <w:p w:rsidR="00D471E4" w:rsidRPr="00D471E4" w:rsidRDefault="00AF55AD" w:rsidP="00D471E4">
      <w:pPr>
        <w:pStyle w:val="Caption"/>
        <w:rPr>
          <w:rFonts w:ascii="Arial" w:hAnsi="Arial" w:cs="Arial"/>
          <w:color w:val="auto"/>
          <w:sz w:val="20"/>
          <w:szCs w:val="20"/>
        </w:rPr>
      </w:pPr>
      <w:r w:rsidRPr="00AF55AD">
        <w:rPr>
          <w:rFonts w:ascii="Arial" w:hAnsi="Arial" w:cs="Arial"/>
          <w:noProof/>
          <w:color w:val="auto"/>
          <w:lang w:val="en-US" w:eastAsia="zh-TW"/>
        </w:rPr>
        <w:pict>
          <v:shape id="_x0000_s1026" type="#_x0000_t202" style="position:absolute;margin-left:296.25pt;margin-top:7.35pt;width:175.6pt;height:105.35pt;z-index:251661312;mso-height-percent:200;mso-position-vertical:absolute;mso-height-percent:200;mso-width-relative:margin;mso-height-relative:margin" filled="f" stroked="f">
            <v:textbox style="mso-next-textbox:#_x0000_s1026;mso-fit-shape-to-text:t">
              <w:txbxContent>
                <w:p w:rsidR="00ED74A6" w:rsidRDefault="00ED74A6">
                  <w:r>
                    <w:rPr>
                      <w:noProof/>
                      <w:lang w:val="en-US"/>
                    </w:rPr>
                    <w:drawing>
                      <wp:inline distT="0" distB="0" distL="0" distR="0">
                        <wp:extent cx="2008632" cy="1094232"/>
                        <wp:effectExtent l="19050" t="0" r="0" b="0"/>
                        <wp:docPr id="8" name="Picture 7" descr="Map-SWLCN_DeprivationLeg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SWLCN_DeprivationLegend.jpg"/>
                                <pic:cNvPicPr/>
                              </pic:nvPicPr>
                              <pic:blipFill>
                                <a:blip r:embed="rId16"/>
                                <a:stretch>
                                  <a:fillRect/>
                                </a:stretch>
                              </pic:blipFill>
                              <pic:spPr>
                                <a:xfrm>
                                  <a:off x="0" y="0"/>
                                  <a:ext cx="2008632" cy="1094232"/>
                                </a:xfrm>
                                <a:prstGeom prst="rect">
                                  <a:avLst/>
                                </a:prstGeom>
                              </pic:spPr>
                            </pic:pic>
                          </a:graphicData>
                        </a:graphic>
                      </wp:inline>
                    </w:drawing>
                  </w:r>
                </w:p>
              </w:txbxContent>
            </v:textbox>
          </v:shape>
        </w:pict>
      </w:r>
      <w:r w:rsidR="00D471E4" w:rsidRPr="00D471E4">
        <w:rPr>
          <w:rFonts w:ascii="Arial" w:hAnsi="Arial" w:cs="Arial"/>
          <w:color w:val="auto"/>
        </w:rPr>
        <w:t xml:space="preserve">Map </w:t>
      </w:r>
      <w:r w:rsidRPr="00D471E4">
        <w:rPr>
          <w:rFonts w:ascii="Arial" w:hAnsi="Arial" w:cs="Arial"/>
          <w:color w:val="auto"/>
        </w:rPr>
        <w:fldChar w:fldCharType="begin"/>
      </w:r>
      <w:r w:rsidR="00D471E4" w:rsidRPr="00D471E4">
        <w:rPr>
          <w:rFonts w:ascii="Arial" w:hAnsi="Arial" w:cs="Arial"/>
          <w:color w:val="auto"/>
        </w:rPr>
        <w:instrText xml:space="preserve"> SEQ Map \* ARABIC </w:instrText>
      </w:r>
      <w:r w:rsidRPr="00D471E4">
        <w:rPr>
          <w:rFonts w:ascii="Arial" w:hAnsi="Arial" w:cs="Arial"/>
          <w:color w:val="auto"/>
        </w:rPr>
        <w:fldChar w:fldCharType="separate"/>
      </w:r>
      <w:r w:rsidR="004E6A50">
        <w:rPr>
          <w:rFonts w:ascii="Arial" w:hAnsi="Arial" w:cs="Arial"/>
          <w:noProof/>
          <w:color w:val="auto"/>
        </w:rPr>
        <w:t>2</w:t>
      </w:r>
      <w:r w:rsidRPr="00D471E4">
        <w:rPr>
          <w:rFonts w:ascii="Arial" w:hAnsi="Arial" w:cs="Arial"/>
          <w:color w:val="auto"/>
        </w:rPr>
        <w:fldChar w:fldCharType="end"/>
      </w:r>
      <w:r w:rsidR="00D471E4" w:rsidRPr="00D471E4">
        <w:rPr>
          <w:rFonts w:ascii="Arial" w:hAnsi="Arial" w:cs="Arial"/>
          <w:color w:val="auto"/>
        </w:rPr>
        <w:t xml:space="preserve">: Index of multiple </w:t>
      </w:r>
      <w:proofErr w:type="gramStart"/>
      <w:r w:rsidR="00D471E4" w:rsidRPr="00D471E4">
        <w:rPr>
          <w:rFonts w:ascii="Arial" w:hAnsi="Arial" w:cs="Arial"/>
          <w:color w:val="auto"/>
        </w:rPr>
        <w:t>deprivation</w:t>
      </w:r>
      <w:proofErr w:type="gramEnd"/>
      <w:r w:rsidR="009C530C">
        <w:rPr>
          <w:rFonts w:ascii="Arial" w:hAnsi="Arial" w:cs="Arial"/>
          <w:color w:val="auto"/>
        </w:rPr>
        <w:t>, South West London</w:t>
      </w:r>
      <w:r w:rsidR="00D471E4" w:rsidRPr="00D471E4">
        <w:rPr>
          <w:rFonts w:ascii="Arial" w:hAnsi="Arial" w:cs="Arial"/>
          <w:color w:val="auto"/>
        </w:rPr>
        <w:t>, 2007</w:t>
      </w:r>
      <w:r w:rsidR="002F7C3F">
        <w:rPr>
          <w:rFonts w:ascii="Arial" w:hAnsi="Arial" w:cs="Arial"/>
          <w:color w:val="auto"/>
        </w:rPr>
        <w:t xml:space="preserve"> (SWL Scale).</w:t>
      </w:r>
    </w:p>
    <w:p w:rsidR="00A77C5F" w:rsidRDefault="00A77C5F" w:rsidP="00D471E4">
      <w:pPr>
        <w:spacing w:after="0"/>
        <w:rPr>
          <w:rFonts w:ascii="Arial" w:hAnsi="Arial" w:cs="Arial"/>
          <w:sz w:val="20"/>
          <w:szCs w:val="20"/>
        </w:rPr>
      </w:pPr>
      <w:r>
        <w:rPr>
          <w:rFonts w:ascii="Arial" w:hAnsi="Arial" w:cs="Arial"/>
          <w:noProof/>
          <w:sz w:val="20"/>
          <w:szCs w:val="20"/>
          <w:lang w:val="en-US"/>
        </w:rPr>
        <w:drawing>
          <wp:inline distT="0" distB="0" distL="0" distR="0">
            <wp:extent cx="4629150" cy="2970410"/>
            <wp:effectExtent l="19050" t="0" r="0" b="0"/>
            <wp:docPr id="6" name="Picture 5" descr="Map-SWLCN_Depriv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SWLCN_Deprivation.jpg"/>
                    <pic:cNvPicPr/>
                  </pic:nvPicPr>
                  <pic:blipFill>
                    <a:blip r:embed="rId17" cstate="print"/>
                    <a:stretch>
                      <a:fillRect/>
                    </a:stretch>
                  </pic:blipFill>
                  <pic:spPr>
                    <a:xfrm>
                      <a:off x="0" y="0"/>
                      <a:ext cx="4640673" cy="2977804"/>
                    </a:xfrm>
                    <a:prstGeom prst="rect">
                      <a:avLst/>
                    </a:prstGeom>
                  </pic:spPr>
                </pic:pic>
              </a:graphicData>
            </a:graphic>
          </wp:inline>
        </w:drawing>
      </w:r>
    </w:p>
    <w:p w:rsidR="00D471E4" w:rsidRPr="00D471E4" w:rsidRDefault="00D471E4" w:rsidP="00704AB8">
      <w:pPr>
        <w:rPr>
          <w:rFonts w:ascii="Arial" w:hAnsi="Arial" w:cs="Arial"/>
          <w:b/>
          <w:sz w:val="16"/>
          <w:szCs w:val="16"/>
        </w:rPr>
      </w:pPr>
      <w:r w:rsidRPr="00D471E4">
        <w:rPr>
          <w:rFonts w:ascii="Arial" w:hAnsi="Arial" w:cs="Arial"/>
          <w:b/>
          <w:sz w:val="16"/>
          <w:szCs w:val="16"/>
        </w:rPr>
        <w:t>Source: Department of Local Government and communities, 2007.</w:t>
      </w:r>
    </w:p>
    <w:p w:rsidR="00D471E4" w:rsidRDefault="00AD17D7" w:rsidP="00704AB8">
      <w:pPr>
        <w:rPr>
          <w:rFonts w:ascii="Arial" w:hAnsi="Arial" w:cs="Arial"/>
          <w:sz w:val="20"/>
          <w:szCs w:val="20"/>
        </w:rPr>
      </w:pPr>
      <w:proofErr w:type="gramStart"/>
      <w:r>
        <w:rPr>
          <w:rFonts w:ascii="Arial" w:hAnsi="Arial" w:cs="Arial"/>
          <w:sz w:val="20"/>
          <w:szCs w:val="20"/>
        </w:rPr>
        <w:t xml:space="preserve">New </w:t>
      </w:r>
      <w:proofErr w:type="spellStart"/>
      <w:r w:rsidR="00D471E4">
        <w:rPr>
          <w:rFonts w:ascii="Arial" w:hAnsi="Arial" w:cs="Arial"/>
          <w:sz w:val="20"/>
          <w:szCs w:val="20"/>
        </w:rPr>
        <w:t>Addington</w:t>
      </w:r>
      <w:proofErr w:type="spellEnd"/>
      <w:r w:rsidR="00D471E4">
        <w:rPr>
          <w:rFonts w:ascii="Arial" w:hAnsi="Arial" w:cs="Arial"/>
          <w:sz w:val="20"/>
          <w:szCs w:val="20"/>
        </w:rPr>
        <w:t>).</w:t>
      </w:r>
      <w:proofErr w:type="gramEnd"/>
      <w:r w:rsidR="00D471E4">
        <w:rPr>
          <w:rFonts w:ascii="Arial" w:hAnsi="Arial" w:cs="Arial"/>
          <w:sz w:val="20"/>
          <w:szCs w:val="20"/>
        </w:rPr>
        <w:t xml:space="preserve"> </w:t>
      </w:r>
    </w:p>
    <w:p w:rsidR="000A6A5C" w:rsidRDefault="00252009" w:rsidP="001F2601">
      <w:pPr>
        <w:pStyle w:val="Heading2"/>
        <w:numPr>
          <w:ilvl w:val="1"/>
          <w:numId w:val="1"/>
        </w:numPr>
        <w:spacing w:after="240"/>
        <w:rPr>
          <w:rFonts w:ascii="Arial" w:hAnsi="Arial" w:cs="Arial"/>
          <w:color w:val="auto"/>
          <w:sz w:val="24"/>
          <w:szCs w:val="24"/>
        </w:rPr>
      </w:pPr>
      <w:bookmarkStart w:id="17" w:name="_Toc276037830"/>
      <w:r>
        <w:rPr>
          <w:rFonts w:ascii="Arial" w:hAnsi="Arial" w:cs="Arial"/>
          <w:color w:val="auto"/>
          <w:sz w:val="24"/>
          <w:szCs w:val="24"/>
        </w:rPr>
        <w:t>Age</w:t>
      </w:r>
      <w:bookmarkEnd w:id="17"/>
    </w:p>
    <w:p w:rsidR="00252009" w:rsidRPr="007A4BBC" w:rsidRDefault="004A66B6" w:rsidP="00252009">
      <w:pPr>
        <w:rPr>
          <w:rFonts w:ascii="Arial" w:hAnsi="Arial" w:cs="Arial"/>
          <w:color w:val="000000"/>
          <w:sz w:val="20"/>
          <w:szCs w:val="20"/>
        </w:rPr>
      </w:pPr>
      <w:r w:rsidRPr="004A66B6">
        <w:rPr>
          <w:rFonts w:ascii="Arial" w:hAnsi="Arial" w:cs="Arial"/>
          <w:color w:val="000000"/>
          <w:sz w:val="20"/>
          <w:szCs w:val="20"/>
        </w:rPr>
        <w:t xml:space="preserve">The biggest single risk factor </w:t>
      </w:r>
      <w:r>
        <w:rPr>
          <w:rFonts w:ascii="Arial" w:hAnsi="Arial" w:cs="Arial"/>
          <w:color w:val="000000"/>
          <w:sz w:val="20"/>
          <w:szCs w:val="20"/>
        </w:rPr>
        <w:t xml:space="preserve">for colorectal cancer </w:t>
      </w:r>
      <w:r w:rsidRPr="004A66B6">
        <w:rPr>
          <w:rFonts w:ascii="Arial" w:hAnsi="Arial" w:cs="Arial"/>
          <w:color w:val="000000"/>
          <w:sz w:val="20"/>
          <w:szCs w:val="20"/>
        </w:rPr>
        <w:t xml:space="preserve">is age. More than 8 out of 10 bowel cancers (84%) </w:t>
      </w:r>
      <w:r w:rsidR="007A4BBC">
        <w:rPr>
          <w:rFonts w:ascii="Arial" w:hAnsi="Arial" w:cs="Arial"/>
          <w:color w:val="000000"/>
          <w:sz w:val="20"/>
          <w:szCs w:val="20"/>
        </w:rPr>
        <w:t>in 2007 in the UK were</w:t>
      </w:r>
      <w:r w:rsidRPr="004A66B6">
        <w:rPr>
          <w:rFonts w:ascii="Arial" w:hAnsi="Arial" w:cs="Arial"/>
          <w:color w:val="000000"/>
          <w:sz w:val="20"/>
          <w:szCs w:val="20"/>
        </w:rPr>
        <w:t xml:space="preserve"> diagnosed in people aged 60 or over</w:t>
      </w:r>
      <w:r w:rsidR="00A47042" w:rsidRPr="00180046">
        <w:rPr>
          <w:rFonts w:ascii="Arial" w:hAnsi="Arial" w:cs="Arial"/>
          <w:sz w:val="20"/>
          <w:szCs w:val="20"/>
        </w:rPr>
        <w:t xml:space="preserve"> (Office of National Statistics</w:t>
      </w:r>
      <w:r w:rsidR="00790CC5" w:rsidRPr="00180046">
        <w:rPr>
          <w:rFonts w:ascii="Arial" w:hAnsi="Arial" w:cs="Arial"/>
          <w:sz w:val="20"/>
          <w:szCs w:val="20"/>
        </w:rPr>
        <w:t xml:space="preserve"> 2010</w:t>
      </w:r>
      <w:r w:rsidR="00A47042" w:rsidRPr="00180046">
        <w:rPr>
          <w:rFonts w:ascii="Arial" w:hAnsi="Arial" w:cs="Arial"/>
          <w:sz w:val="20"/>
          <w:szCs w:val="20"/>
        </w:rPr>
        <w:t>).</w:t>
      </w:r>
      <w:r w:rsidR="00180046" w:rsidRPr="00180046">
        <w:rPr>
          <w:rFonts w:ascii="Arial" w:hAnsi="Arial" w:cs="Arial"/>
          <w:sz w:val="20"/>
          <w:szCs w:val="20"/>
        </w:rPr>
        <w:t xml:space="preserve"> </w:t>
      </w:r>
    </w:p>
    <w:p w:rsidR="0016374D" w:rsidRPr="0016374D" w:rsidRDefault="0016374D" w:rsidP="00FA0D0F">
      <w:pPr>
        <w:pStyle w:val="Caption"/>
        <w:spacing w:after="0"/>
        <w:rPr>
          <w:rFonts w:ascii="Arial" w:hAnsi="Arial" w:cs="Arial"/>
          <w:color w:val="auto"/>
        </w:rPr>
      </w:pPr>
      <w:bookmarkStart w:id="18" w:name="_Ref263672849"/>
      <w:r w:rsidRPr="0016374D">
        <w:rPr>
          <w:rFonts w:ascii="Arial" w:hAnsi="Arial" w:cs="Arial"/>
          <w:color w:val="auto"/>
        </w:rPr>
        <w:t xml:space="preserve">Figure </w:t>
      </w:r>
      <w:r w:rsidR="00AF55AD" w:rsidRPr="0016374D">
        <w:rPr>
          <w:rFonts w:ascii="Arial" w:hAnsi="Arial" w:cs="Arial"/>
          <w:color w:val="auto"/>
        </w:rPr>
        <w:fldChar w:fldCharType="begin"/>
      </w:r>
      <w:r w:rsidRPr="0016374D">
        <w:rPr>
          <w:rFonts w:ascii="Arial" w:hAnsi="Arial" w:cs="Arial"/>
          <w:color w:val="auto"/>
        </w:rPr>
        <w:instrText xml:space="preserve"> SEQ Figure \* ARABIC </w:instrText>
      </w:r>
      <w:r w:rsidR="00AF55AD" w:rsidRPr="0016374D">
        <w:rPr>
          <w:rFonts w:ascii="Arial" w:hAnsi="Arial" w:cs="Arial"/>
          <w:color w:val="auto"/>
        </w:rPr>
        <w:fldChar w:fldCharType="separate"/>
      </w:r>
      <w:r w:rsidR="004E6A50">
        <w:rPr>
          <w:rFonts w:ascii="Arial" w:hAnsi="Arial" w:cs="Arial"/>
          <w:noProof/>
          <w:color w:val="auto"/>
        </w:rPr>
        <w:t>7</w:t>
      </w:r>
      <w:r w:rsidR="00AF55AD" w:rsidRPr="0016374D">
        <w:rPr>
          <w:rFonts w:ascii="Arial" w:hAnsi="Arial" w:cs="Arial"/>
          <w:color w:val="auto"/>
        </w:rPr>
        <w:fldChar w:fldCharType="end"/>
      </w:r>
      <w:bookmarkEnd w:id="18"/>
      <w:r w:rsidRPr="0016374D">
        <w:rPr>
          <w:rFonts w:ascii="Arial" w:hAnsi="Arial" w:cs="Arial"/>
          <w:color w:val="auto"/>
        </w:rPr>
        <w:t xml:space="preserve">: Projected increase in the </w:t>
      </w:r>
      <w:r w:rsidR="00E37168">
        <w:rPr>
          <w:rFonts w:ascii="Arial" w:hAnsi="Arial" w:cs="Arial"/>
          <w:color w:val="auto"/>
        </w:rPr>
        <w:t>proportion (</w:t>
      </w:r>
      <w:r w:rsidR="001537D9">
        <w:rPr>
          <w:rFonts w:ascii="Arial" w:hAnsi="Arial" w:cs="Arial"/>
          <w:color w:val="auto"/>
        </w:rPr>
        <w:t xml:space="preserve">Percent </w:t>
      </w:r>
      <w:r w:rsidR="00E37168">
        <w:rPr>
          <w:rFonts w:ascii="Arial" w:hAnsi="Arial" w:cs="Arial"/>
          <w:color w:val="auto"/>
        </w:rPr>
        <w:t xml:space="preserve">of total population) of </w:t>
      </w:r>
      <w:r w:rsidRPr="0016374D">
        <w:rPr>
          <w:rFonts w:ascii="Arial" w:hAnsi="Arial" w:cs="Arial"/>
          <w:color w:val="auto"/>
        </w:rPr>
        <w:t xml:space="preserve">65+ </w:t>
      </w:r>
      <w:proofErr w:type="gramStart"/>
      <w:r w:rsidRPr="0016374D">
        <w:rPr>
          <w:rFonts w:ascii="Arial" w:hAnsi="Arial" w:cs="Arial"/>
          <w:color w:val="auto"/>
        </w:rPr>
        <w:t>population</w:t>
      </w:r>
      <w:proofErr w:type="gramEnd"/>
      <w:r w:rsidRPr="0016374D">
        <w:rPr>
          <w:rFonts w:ascii="Arial" w:hAnsi="Arial" w:cs="Arial"/>
          <w:color w:val="auto"/>
        </w:rPr>
        <w:t xml:space="preserve"> in South West London, 2010-2030.</w:t>
      </w:r>
    </w:p>
    <w:p w:rsidR="00180046" w:rsidRPr="00252009" w:rsidRDefault="004145BF" w:rsidP="00FA0D0F">
      <w:pPr>
        <w:spacing w:after="0"/>
        <w:rPr>
          <w:rFonts w:ascii="Arial" w:hAnsi="Arial" w:cs="Arial"/>
          <w:sz w:val="20"/>
          <w:szCs w:val="20"/>
        </w:rPr>
      </w:pPr>
      <w:r w:rsidRPr="004145BF">
        <w:rPr>
          <w:rFonts w:ascii="Arial" w:hAnsi="Arial" w:cs="Arial"/>
          <w:noProof/>
          <w:sz w:val="20"/>
          <w:szCs w:val="20"/>
          <w:lang w:val="en-US"/>
        </w:rPr>
        <w:drawing>
          <wp:inline distT="0" distB="0" distL="0" distR="0">
            <wp:extent cx="5731510" cy="3086100"/>
            <wp:effectExtent l="19050" t="0" r="21590" b="0"/>
            <wp:docPr id="46"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52009" w:rsidRDefault="0016374D" w:rsidP="0016374D">
      <w:pPr>
        <w:rPr>
          <w:rFonts w:ascii="Arial" w:hAnsi="Arial" w:cs="Arial"/>
          <w:b/>
          <w:sz w:val="16"/>
          <w:szCs w:val="16"/>
        </w:rPr>
      </w:pPr>
      <w:r w:rsidRPr="0016374D">
        <w:rPr>
          <w:rFonts w:ascii="Arial" w:hAnsi="Arial" w:cs="Arial"/>
          <w:b/>
          <w:sz w:val="16"/>
          <w:szCs w:val="16"/>
        </w:rPr>
        <w:t>Source: Greater London Authority, Population Projections 2009 Round, London Plan, Borough SYA.</w:t>
      </w:r>
    </w:p>
    <w:p w:rsidR="00DC0D89" w:rsidRPr="00923D22" w:rsidRDefault="00AF55AD" w:rsidP="0016374D">
      <w:pPr>
        <w:rPr>
          <w:rFonts w:ascii="Arial" w:hAnsi="Arial" w:cs="Arial"/>
          <w:sz w:val="20"/>
          <w:szCs w:val="20"/>
        </w:rPr>
      </w:pPr>
      <w:fldSimple w:instr=" REF _Ref263672849 \h  \* MERGEFORMAT ">
        <w:r w:rsidR="004E6A50" w:rsidRPr="004E6A50">
          <w:rPr>
            <w:rFonts w:ascii="Arial" w:hAnsi="Arial" w:cs="Arial"/>
            <w:sz w:val="20"/>
            <w:szCs w:val="20"/>
          </w:rPr>
          <w:t xml:space="preserve">Figure </w:t>
        </w:r>
        <w:r w:rsidR="004E6A50" w:rsidRPr="004E6A50">
          <w:rPr>
            <w:rFonts w:ascii="Arial" w:hAnsi="Arial" w:cs="Arial"/>
            <w:noProof/>
            <w:sz w:val="20"/>
            <w:szCs w:val="20"/>
          </w:rPr>
          <w:t>7</w:t>
        </w:r>
      </w:fldSimple>
      <w:r w:rsidR="0016374D" w:rsidRPr="00923D22">
        <w:rPr>
          <w:rFonts w:ascii="Arial" w:hAnsi="Arial" w:cs="Arial"/>
          <w:sz w:val="20"/>
          <w:szCs w:val="20"/>
        </w:rPr>
        <w:t xml:space="preserve"> shows that there is a steady</w:t>
      </w:r>
      <w:r w:rsidR="00E37168" w:rsidRPr="00923D22">
        <w:rPr>
          <w:rFonts w:ascii="Arial" w:hAnsi="Arial" w:cs="Arial"/>
          <w:sz w:val="20"/>
          <w:szCs w:val="20"/>
        </w:rPr>
        <w:t xml:space="preserve"> projected</w:t>
      </w:r>
      <w:r w:rsidR="0016374D" w:rsidRPr="00923D22">
        <w:rPr>
          <w:rFonts w:ascii="Arial" w:hAnsi="Arial" w:cs="Arial"/>
          <w:sz w:val="20"/>
          <w:szCs w:val="20"/>
        </w:rPr>
        <w:t xml:space="preserve"> increase in the 65 and older population across each borough in SWL except Wandsworth which has a predominantly younger population. However Wandsworth still experienc</w:t>
      </w:r>
      <w:r w:rsidR="00E37168" w:rsidRPr="00923D22">
        <w:rPr>
          <w:rFonts w:ascii="Arial" w:hAnsi="Arial" w:cs="Arial"/>
          <w:sz w:val="20"/>
          <w:szCs w:val="20"/>
        </w:rPr>
        <w:t>es the highest cancer mortality in SWL. The highest proportion of total population that is 65 and over is found in Sutton, accounting for 1</w:t>
      </w:r>
      <w:r w:rsidR="002F758A">
        <w:rPr>
          <w:rFonts w:ascii="Arial" w:hAnsi="Arial" w:cs="Arial"/>
          <w:sz w:val="20"/>
          <w:szCs w:val="20"/>
        </w:rPr>
        <w:t>3.5</w:t>
      </w:r>
      <w:r w:rsidR="00E37168" w:rsidRPr="00923D22">
        <w:rPr>
          <w:rFonts w:ascii="Arial" w:hAnsi="Arial" w:cs="Arial"/>
          <w:sz w:val="20"/>
          <w:szCs w:val="20"/>
        </w:rPr>
        <w:t>% of the projected population in 2010. The lowest proportion is in Wandsworth at 8.2% of the population. The highest increase</w:t>
      </w:r>
      <w:r w:rsidR="002F758A">
        <w:rPr>
          <w:rFonts w:ascii="Arial" w:hAnsi="Arial" w:cs="Arial"/>
          <w:sz w:val="20"/>
          <w:szCs w:val="20"/>
        </w:rPr>
        <w:t>, from 2010, to 2030,</w:t>
      </w:r>
      <w:r w:rsidR="00E37168" w:rsidRPr="00923D22">
        <w:rPr>
          <w:rFonts w:ascii="Arial" w:hAnsi="Arial" w:cs="Arial"/>
          <w:sz w:val="20"/>
          <w:szCs w:val="20"/>
        </w:rPr>
        <w:t xml:space="preserve"> in the 65 and over population is projected to occur in Sutton with an increase of 3.9% followed by Croydon (3.6%) and Kingston (3.0%). By 2030 it is projected that nearly one in five (18.8%) women in Sutton will be 65 or older. Overall, males that are 65 and over </w:t>
      </w:r>
      <w:r w:rsidR="003808F3" w:rsidRPr="00923D22">
        <w:rPr>
          <w:rFonts w:ascii="Arial" w:hAnsi="Arial" w:cs="Arial"/>
          <w:sz w:val="20"/>
          <w:szCs w:val="20"/>
        </w:rPr>
        <w:t>account for 10.3% of the projected male population in SWL in 2010, while women account for 12.9%. These proportions are projected to increase to 11.2% and 13.5% respectively by 2020 and to 12.8% and 15.2% by 2030.</w:t>
      </w:r>
      <w:r w:rsidR="00EE62A8">
        <w:rPr>
          <w:rFonts w:ascii="Arial" w:hAnsi="Arial" w:cs="Arial"/>
          <w:sz w:val="20"/>
          <w:szCs w:val="20"/>
        </w:rPr>
        <w:t xml:space="preserve"> </w:t>
      </w:r>
    </w:p>
    <w:p w:rsidR="00345CD5" w:rsidRDefault="00345CD5" w:rsidP="001F2601">
      <w:pPr>
        <w:pStyle w:val="Heading2"/>
        <w:numPr>
          <w:ilvl w:val="1"/>
          <w:numId w:val="1"/>
        </w:numPr>
        <w:spacing w:after="240"/>
        <w:rPr>
          <w:rFonts w:ascii="Arial" w:hAnsi="Arial" w:cs="Arial"/>
          <w:color w:val="auto"/>
          <w:sz w:val="24"/>
          <w:szCs w:val="24"/>
        </w:rPr>
      </w:pPr>
      <w:bookmarkStart w:id="19" w:name="_Toc276037831"/>
      <w:r>
        <w:rPr>
          <w:rFonts w:ascii="Arial" w:hAnsi="Arial" w:cs="Arial"/>
          <w:color w:val="auto"/>
          <w:sz w:val="24"/>
          <w:szCs w:val="24"/>
        </w:rPr>
        <w:t>Ethnicity</w:t>
      </w:r>
      <w:bookmarkEnd w:id="19"/>
    </w:p>
    <w:p w:rsidR="00BF2B6C" w:rsidRDefault="00BF2B6C" w:rsidP="007C0F53">
      <w:pPr>
        <w:autoSpaceDE w:val="0"/>
        <w:autoSpaceDN w:val="0"/>
        <w:adjustRightInd w:val="0"/>
        <w:rPr>
          <w:rFonts w:ascii="Arial" w:hAnsi="Arial" w:cs="Arial"/>
          <w:sz w:val="20"/>
          <w:szCs w:val="20"/>
        </w:rPr>
      </w:pPr>
      <w:r w:rsidRPr="00E24146">
        <w:rPr>
          <w:rFonts w:ascii="Arial" w:hAnsi="Arial" w:cs="Arial"/>
          <w:sz w:val="20"/>
          <w:szCs w:val="20"/>
        </w:rPr>
        <w:t xml:space="preserve">Ethnicity has an effect on the health and well being of individuals, to a lesser or greater extent depending on the type of cancer. </w:t>
      </w:r>
      <w:r w:rsidR="00E24146" w:rsidRPr="00E24146">
        <w:rPr>
          <w:rFonts w:ascii="Arial" w:hAnsi="Arial" w:cs="Arial"/>
          <w:sz w:val="20"/>
          <w:szCs w:val="20"/>
        </w:rPr>
        <w:t>As part of the Cancer Reform Strategy the National Cancer Inequalities Initiative (NCEI) was launched with the aim to reduce inequalities in cancer incidence and survival for several different groups where inequality exists; one such grouping is Black and Minority Ethnic (BME) populations.</w:t>
      </w:r>
      <w:r w:rsidR="00E24146">
        <w:rPr>
          <w:rFonts w:ascii="Arial" w:hAnsi="Arial" w:cs="Arial"/>
          <w:sz w:val="20"/>
          <w:szCs w:val="20"/>
        </w:rPr>
        <w:t xml:space="preserve"> </w:t>
      </w:r>
      <w:r>
        <w:rPr>
          <w:rFonts w:ascii="Arial" w:hAnsi="Arial" w:cs="Arial"/>
          <w:sz w:val="20"/>
          <w:szCs w:val="20"/>
        </w:rPr>
        <w:t xml:space="preserve">Historically </w:t>
      </w:r>
      <w:r w:rsidR="00E24146">
        <w:rPr>
          <w:rFonts w:ascii="Arial" w:hAnsi="Arial" w:cs="Arial"/>
          <w:sz w:val="20"/>
          <w:szCs w:val="20"/>
        </w:rPr>
        <w:t xml:space="preserve">though </w:t>
      </w:r>
      <w:r>
        <w:rPr>
          <w:rFonts w:ascii="Arial" w:hAnsi="Arial" w:cs="Arial"/>
          <w:sz w:val="20"/>
          <w:szCs w:val="20"/>
        </w:rPr>
        <w:t xml:space="preserve">the recording of ethnicity </w:t>
      </w:r>
      <w:r w:rsidR="00A50503">
        <w:rPr>
          <w:rFonts w:ascii="Arial" w:hAnsi="Arial" w:cs="Arial"/>
          <w:sz w:val="20"/>
          <w:szCs w:val="20"/>
        </w:rPr>
        <w:t>for routinely collected cancer data has been incomplete and of poor quality (</w:t>
      </w:r>
      <w:r w:rsidR="00A50503">
        <w:rPr>
          <w:rFonts w:ascii="Arial" w:hAnsi="Arial" w:cs="Arial"/>
          <w:color w:val="000000"/>
          <w:sz w:val="20"/>
          <w:szCs w:val="20"/>
        </w:rPr>
        <w:t>Department of Health 2007</w:t>
      </w:r>
      <w:r w:rsidR="00A50503">
        <w:rPr>
          <w:rFonts w:ascii="Arial" w:hAnsi="Arial" w:cs="Arial"/>
          <w:sz w:val="20"/>
          <w:szCs w:val="20"/>
        </w:rPr>
        <w:t xml:space="preserve">). </w:t>
      </w:r>
      <w:r w:rsidR="00E24146">
        <w:rPr>
          <w:rFonts w:ascii="Arial" w:hAnsi="Arial" w:cs="Arial"/>
          <w:sz w:val="20"/>
          <w:szCs w:val="20"/>
        </w:rPr>
        <w:t xml:space="preserve">As a result work </w:t>
      </w:r>
      <w:r w:rsidR="00A04759">
        <w:rPr>
          <w:rFonts w:ascii="Arial" w:hAnsi="Arial" w:cs="Arial"/>
          <w:sz w:val="20"/>
          <w:szCs w:val="20"/>
        </w:rPr>
        <w:t>on</w:t>
      </w:r>
      <w:r w:rsidR="00E24146">
        <w:rPr>
          <w:rFonts w:ascii="Arial" w:hAnsi="Arial" w:cs="Arial"/>
          <w:sz w:val="20"/>
          <w:szCs w:val="20"/>
        </w:rPr>
        <w:t xml:space="preserve"> cancer and ethnicity has been limited in the UK, with mortality studies using place of birth information (</w:t>
      </w:r>
      <w:proofErr w:type="spellStart"/>
      <w:r w:rsidR="00E24146">
        <w:rPr>
          <w:rFonts w:ascii="Arial" w:hAnsi="Arial" w:cs="Arial"/>
          <w:sz w:val="20"/>
          <w:szCs w:val="20"/>
        </w:rPr>
        <w:t>Grulich</w:t>
      </w:r>
      <w:proofErr w:type="spellEnd"/>
      <w:r w:rsidR="00E24146">
        <w:rPr>
          <w:rFonts w:ascii="Arial" w:hAnsi="Arial" w:cs="Arial"/>
          <w:sz w:val="20"/>
          <w:szCs w:val="20"/>
        </w:rPr>
        <w:t xml:space="preserve"> et al. 1992, </w:t>
      </w:r>
      <w:proofErr w:type="spellStart"/>
      <w:r w:rsidR="0089346C">
        <w:rPr>
          <w:rFonts w:ascii="Barmeno-Regular" w:hAnsi="Barmeno-Regular" w:cs="Barmeno-Regular"/>
          <w:sz w:val="20"/>
          <w:szCs w:val="20"/>
        </w:rPr>
        <w:t>Swerdlow</w:t>
      </w:r>
      <w:proofErr w:type="spellEnd"/>
      <w:r w:rsidR="0089346C">
        <w:rPr>
          <w:rFonts w:ascii="Barmeno-Regular" w:hAnsi="Barmeno-Regular" w:cs="Barmeno-Regular"/>
          <w:sz w:val="20"/>
          <w:szCs w:val="20"/>
        </w:rPr>
        <w:t xml:space="preserve"> et al. 1995, Wild et al. 2006</w:t>
      </w:r>
      <w:r w:rsidR="00E24146">
        <w:rPr>
          <w:rFonts w:ascii="Arial" w:hAnsi="Arial" w:cs="Arial"/>
          <w:sz w:val="20"/>
          <w:szCs w:val="20"/>
        </w:rPr>
        <w:t>) while incidence work has only been carried out on the south Asian ethnic population (</w:t>
      </w:r>
      <w:r w:rsidR="0089346C">
        <w:rPr>
          <w:rFonts w:ascii="Barmeno-Regular" w:hAnsi="Barmeno-Regular" w:cs="Barmeno-Regular"/>
          <w:sz w:val="20"/>
          <w:szCs w:val="20"/>
        </w:rPr>
        <w:t xml:space="preserve">Winter et al. 1999, </w:t>
      </w:r>
      <w:r w:rsidR="008008FB">
        <w:rPr>
          <w:rFonts w:ascii="Barmeno-Regular" w:hAnsi="Barmeno-Regular" w:cs="Barmeno-Regular"/>
          <w:sz w:val="20"/>
          <w:szCs w:val="20"/>
        </w:rPr>
        <w:t xml:space="preserve">dos Santos Silva et al. 2003, </w:t>
      </w:r>
      <w:proofErr w:type="spellStart"/>
      <w:r w:rsidR="008008FB">
        <w:rPr>
          <w:rFonts w:ascii="Barmeno-Regular" w:hAnsi="Barmeno-Regular" w:cs="Barmeno-Regular"/>
          <w:sz w:val="20"/>
          <w:szCs w:val="20"/>
        </w:rPr>
        <w:t>Farooq</w:t>
      </w:r>
      <w:proofErr w:type="spellEnd"/>
      <w:r w:rsidR="008008FB">
        <w:rPr>
          <w:rFonts w:ascii="Barmeno-Regular" w:hAnsi="Barmeno-Regular" w:cs="Barmeno-Regular"/>
          <w:sz w:val="20"/>
          <w:szCs w:val="20"/>
        </w:rPr>
        <w:t xml:space="preserve"> and Coleman 2005</w:t>
      </w:r>
      <w:r w:rsidR="00E24146">
        <w:rPr>
          <w:rFonts w:ascii="Arial" w:hAnsi="Arial" w:cs="Arial"/>
          <w:sz w:val="20"/>
          <w:szCs w:val="20"/>
        </w:rPr>
        <w:t>).</w:t>
      </w:r>
      <w:r w:rsidR="007C0F53">
        <w:rPr>
          <w:rFonts w:ascii="Arial" w:hAnsi="Arial" w:cs="Arial"/>
          <w:sz w:val="20"/>
          <w:szCs w:val="20"/>
        </w:rPr>
        <w:t xml:space="preserve"> </w:t>
      </w:r>
    </w:p>
    <w:p w:rsidR="008C75ED" w:rsidRDefault="007C0F53" w:rsidP="00512019">
      <w:pPr>
        <w:autoSpaceDE w:val="0"/>
        <w:autoSpaceDN w:val="0"/>
        <w:adjustRightInd w:val="0"/>
        <w:spacing w:after="0"/>
        <w:rPr>
          <w:rFonts w:ascii="Barmeno-Regular" w:hAnsi="Barmeno-Regular" w:cs="Barmeno-Regular"/>
          <w:sz w:val="20"/>
          <w:szCs w:val="20"/>
        </w:rPr>
      </w:pPr>
      <w:r>
        <w:rPr>
          <w:rFonts w:ascii="Arial" w:hAnsi="Arial" w:cs="Arial"/>
          <w:sz w:val="20"/>
          <w:szCs w:val="20"/>
        </w:rPr>
        <w:t xml:space="preserve">However as part of the </w:t>
      </w:r>
      <w:r w:rsidRPr="00E24146">
        <w:rPr>
          <w:rFonts w:ascii="Arial" w:hAnsi="Arial" w:cs="Arial"/>
          <w:sz w:val="20"/>
          <w:szCs w:val="20"/>
        </w:rPr>
        <w:t>National Cancer Inequalities Initiative</w:t>
      </w:r>
      <w:r>
        <w:rPr>
          <w:rFonts w:ascii="Arial" w:hAnsi="Arial" w:cs="Arial"/>
          <w:sz w:val="20"/>
          <w:szCs w:val="20"/>
        </w:rPr>
        <w:t xml:space="preserve">, the National Cancer Intelligence Network (NCIN) and Cancer Research UK produced analysis on incidence and survival by major ethnic group </w:t>
      </w:r>
      <w:r w:rsidR="00E945A2">
        <w:rPr>
          <w:rFonts w:ascii="Arial" w:hAnsi="Arial" w:cs="Arial"/>
          <w:sz w:val="20"/>
          <w:szCs w:val="20"/>
        </w:rPr>
        <w:t xml:space="preserve">for the period 2002-2006, in 2009 (National Cancer Intelligence Network 2009b). It found </w:t>
      </w:r>
      <w:r w:rsidR="006E5DD5">
        <w:rPr>
          <w:rFonts w:ascii="Arial" w:hAnsi="Arial" w:cs="Arial"/>
          <w:sz w:val="20"/>
          <w:szCs w:val="20"/>
        </w:rPr>
        <w:t>Asian</w:t>
      </w:r>
      <w:r w:rsidR="00345CD5" w:rsidRPr="00345CD5">
        <w:rPr>
          <w:rFonts w:ascii="Arial" w:hAnsi="Arial" w:cs="Arial"/>
          <w:sz w:val="20"/>
          <w:szCs w:val="20"/>
        </w:rPr>
        <w:t xml:space="preserve"> </w:t>
      </w:r>
      <w:r w:rsidR="006E5DD5">
        <w:rPr>
          <w:rFonts w:ascii="Arial" w:hAnsi="Arial" w:cs="Arial"/>
          <w:sz w:val="20"/>
          <w:szCs w:val="20"/>
        </w:rPr>
        <w:t xml:space="preserve">and Black ethnicities </w:t>
      </w:r>
      <w:r w:rsidR="00345CD5" w:rsidRPr="00345CD5">
        <w:rPr>
          <w:rFonts w:ascii="Arial" w:hAnsi="Arial" w:cs="Arial"/>
          <w:sz w:val="20"/>
          <w:szCs w:val="20"/>
        </w:rPr>
        <w:t xml:space="preserve">were at </w:t>
      </w:r>
      <w:r w:rsidR="006E5DD5">
        <w:rPr>
          <w:rFonts w:ascii="Arial" w:hAnsi="Arial" w:cs="Arial"/>
          <w:sz w:val="20"/>
          <w:szCs w:val="20"/>
        </w:rPr>
        <w:t xml:space="preserve">a </w:t>
      </w:r>
      <w:r w:rsidR="00345CD5" w:rsidRPr="00345CD5">
        <w:rPr>
          <w:rFonts w:ascii="Arial" w:hAnsi="Arial" w:cs="Arial"/>
          <w:sz w:val="20"/>
          <w:szCs w:val="20"/>
        </w:rPr>
        <w:t xml:space="preserve">significantly lower risk of getting </w:t>
      </w:r>
      <w:r w:rsidR="008C75ED">
        <w:rPr>
          <w:rFonts w:ascii="Arial" w:hAnsi="Arial" w:cs="Arial"/>
          <w:sz w:val="20"/>
          <w:szCs w:val="20"/>
        </w:rPr>
        <w:t>colorectal</w:t>
      </w:r>
      <w:r w:rsidR="00345CD5" w:rsidRPr="00345CD5">
        <w:rPr>
          <w:rFonts w:ascii="Arial" w:hAnsi="Arial" w:cs="Arial"/>
          <w:sz w:val="20"/>
          <w:szCs w:val="20"/>
        </w:rPr>
        <w:t xml:space="preserve"> </w:t>
      </w:r>
      <w:r w:rsidR="00003052">
        <w:rPr>
          <w:rFonts w:ascii="Arial" w:hAnsi="Arial" w:cs="Arial"/>
          <w:sz w:val="20"/>
          <w:szCs w:val="20"/>
        </w:rPr>
        <w:t>cancer</w:t>
      </w:r>
      <w:r w:rsidR="008C75ED">
        <w:rPr>
          <w:rFonts w:ascii="Arial" w:hAnsi="Arial" w:cs="Arial"/>
          <w:sz w:val="20"/>
          <w:szCs w:val="20"/>
        </w:rPr>
        <w:t xml:space="preserve"> compared with White ethnicity; however there was no difference between ethnicities in survival rates. </w:t>
      </w:r>
      <w:r w:rsidR="008C75ED">
        <w:rPr>
          <w:rFonts w:ascii="Barmeno-Regular" w:hAnsi="Barmeno-Regular" w:cs="Barmeno-Regular"/>
          <w:sz w:val="20"/>
          <w:szCs w:val="20"/>
        </w:rPr>
        <w:t>Both the Chinese and Mixed ethnic groups tended to have significantly lower incidence rates of color</w:t>
      </w:r>
      <w:r w:rsidR="00F31015">
        <w:rPr>
          <w:rFonts w:ascii="Barmeno-Regular" w:hAnsi="Barmeno-Regular" w:cs="Barmeno-Regular"/>
          <w:sz w:val="20"/>
          <w:szCs w:val="20"/>
        </w:rPr>
        <w:t>ectal cancer compared to White ethnicity.</w:t>
      </w:r>
    </w:p>
    <w:p w:rsidR="008C75ED" w:rsidRPr="008C75ED" w:rsidRDefault="008C75ED" w:rsidP="008C75ED">
      <w:pPr>
        <w:autoSpaceDE w:val="0"/>
        <w:autoSpaceDN w:val="0"/>
        <w:adjustRightInd w:val="0"/>
        <w:spacing w:after="0" w:line="240" w:lineRule="auto"/>
        <w:rPr>
          <w:rFonts w:ascii="Barmeno-Regular" w:hAnsi="Barmeno-Regular" w:cs="Barmeno-Regular"/>
          <w:sz w:val="20"/>
          <w:szCs w:val="20"/>
        </w:rPr>
      </w:pPr>
      <w:r w:rsidRPr="008C75ED">
        <w:rPr>
          <w:rFonts w:ascii="Barmeno-Regular" w:hAnsi="Barmeno-Regular" w:cs="Barmeno-Regular"/>
          <w:sz w:val="20"/>
          <w:szCs w:val="20"/>
        </w:rPr>
        <w:t xml:space="preserve"> </w:t>
      </w:r>
    </w:p>
    <w:p w:rsidR="004B2F74" w:rsidRDefault="00171FFD" w:rsidP="004B2F74">
      <w:pPr>
        <w:autoSpaceDE w:val="0"/>
        <w:autoSpaceDN w:val="0"/>
        <w:adjustRightInd w:val="0"/>
        <w:rPr>
          <w:rFonts w:ascii="Arial" w:hAnsi="Arial" w:cs="Arial"/>
          <w:sz w:val="20"/>
          <w:szCs w:val="20"/>
        </w:rPr>
      </w:pPr>
      <w:r>
        <w:rPr>
          <w:rFonts w:ascii="Arial" w:hAnsi="Arial" w:cs="Arial"/>
          <w:sz w:val="20"/>
          <w:szCs w:val="20"/>
        </w:rPr>
        <w:t>The study found</w:t>
      </w:r>
      <w:r w:rsidR="006E5DD5">
        <w:rPr>
          <w:rFonts w:ascii="Arial" w:hAnsi="Arial" w:cs="Arial"/>
          <w:sz w:val="20"/>
          <w:szCs w:val="20"/>
        </w:rPr>
        <w:t xml:space="preserve"> that Asian males had a </w:t>
      </w:r>
      <w:r>
        <w:rPr>
          <w:rFonts w:ascii="Arial" w:hAnsi="Arial" w:cs="Arial"/>
          <w:sz w:val="20"/>
          <w:szCs w:val="20"/>
        </w:rPr>
        <w:t>50% to 64</w:t>
      </w:r>
      <w:r w:rsidR="006E5DD5">
        <w:rPr>
          <w:rFonts w:ascii="Arial" w:hAnsi="Arial" w:cs="Arial"/>
          <w:sz w:val="20"/>
          <w:szCs w:val="20"/>
        </w:rPr>
        <w:t xml:space="preserve">% less chance of getting </w:t>
      </w:r>
      <w:r>
        <w:rPr>
          <w:rFonts w:ascii="Arial" w:hAnsi="Arial" w:cs="Arial"/>
          <w:sz w:val="20"/>
          <w:szCs w:val="20"/>
        </w:rPr>
        <w:t>colorectal</w:t>
      </w:r>
      <w:r w:rsidR="006E5DD5">
        <w:rPr>
          <w:rFonts w:ascii="Arial" w:hAnsi="Arial" w:cs="Arial"/>
          <w:sz w:val="20"/>
          <w:szCs w:val="20"/>
        </w:rPr>
        <w:t xml:space="preserve"> cancer while fem</w:t>
      </w:r>
      <w:r>
        <w:rPr>
          <w:rFonts w:ascii="Arial" w:hAnsi="Arial" w:cs="Arial"/>
          <w:sz w:val="20"/>
          <w:szCs w:val="20"/>
        </w:rPr>
        <w:t>ales were estimated to have a 50% to 66</w:t>
      </w:r>
      <w:r w:rsidR="006E5DD5">
        <w:rPr>
          <w:rFonts w:ascii="Arial" w:hAnsi="Arial" w:cs="Arial"/>
          <w:sz w:val="20"/>
          <w:szCs w:val="20"/>
        </w:rPr>
        <w:t xml:space="preserve">% less chance. </w:t>
      </w:r>
      <w:r w:rsidR="00F86A81">
        <w:rPr>
          <w:rFonts w:ascii="Arial" w:hAnsi="Arial" w:cs="Arial"/>
          <w:sz w:val="20"/>
          <w:szCs w:val="20"/>
        </w:rPr>
        <w:t>For</w:t>
      </w:r>
      <w:r w:rsidR="006E5DD5">
        <w:rPr>
          <w:rFonts w:ascii="Arial" w:hAnsi="Arial" w:cs="Arial"/>
          <w:sz w:val="20"/>
          <w:szCs w:val="20"/>
        </w:rPr>
        <w:t xml:space="preserve"> Black </w:t>
      </w:r>
      <w:r>
        <w:rPr>
          <w:rFonts w:ascii="Arial" w:hAnsi="Arial" w:cs="Arial"/>
          <w:sz w:val="20"/>
          <w:szCs w:val="20"/>
        </w:rPr>
        <w:t>and</w:t>
      </w:r>
      <w:r w:rsidR="006E5DD5">
        <w:rPr>
          <w:rFonts w:ascii="Arial" w:hAnsi="Arial" w:cs="Arial"/>
          <w:sz w:val="20"/>
          <w:szCs w:val="20"/>
        </w:rPr>
        <w:t xml:space="preserve"> White</w:t>
      </w:r>
      <w:r w:rsidR="00F86A81">
        <w:rPr>
          <w:rFonts w:ascii="Arial" w:hAnsi="Arial" w:cs="Arial"/>
          <w:sz w:val="20"/>
          <w:szCs w:val="20"/>
        </w:rPr>
        <w:t xml:space="preserve"> ethnicity</w:t>
      </w:r>
      <w:r w:rsidR="006E5DD5">
        <w:rPr>
          <w:rFonts w:ascii="Arial" w:hAnsi="Arial" w:cs="Arial"/>
          <w:sz w:val="20"/>
          <w:szCs w:val="20"/>
        </w:rPr>
        <w:t xml:space="preserve">, </w:t>
      </w:r>
      <w:r>
        <w:rPr>
          <w:rFonts w:ascii="Arial" w:hAnsi="Arial" w:cs="Arial"/>
          <w:sz w:val="20"/>
          <w:szCs w:val="20"/>
        </w:rPr>
        <w:t>Black males had a 20</w:t>
      </w:r>
      <w:r w:rsidR="006E5DD5">
        <w:rPr>
          <w:rFonts w:ascii="Arial" w:hAnsi="Arial" w:cs="Arial"/>
          <w:sz w:val="20"/>
          <w:szCs w:val="20"/>
        </w:rPr>
        <w:t xml:space="preserve">% to </w:t>
      </w:r>
      <w:r>
        <w:rPr>
          <w:rFonts w:ascii="Arial" w:hAnsi="Arial" w:cs="Arial"/>
          <w:sz w:val="20"/>
          <w:szCs w:val="20"/>
        </w:rPr>
        <w:t>4</w:t>
      </w:r>
      <w:r w:rsidR="006E5DD5">
        <w:rPr>
          <w:rFonts w:ascii="Arial" w:hAnsi="Arial" w:cs="Arial"/>
          <w:sz w:val="20"/>
          <w:szCs w:val="20"/>
        </w:rPr>
        <w:t xml:space="preserve">5% less chance of getting </w:t>
      </w:r>
      <w:r>
        <w:rPr>
          <w:rFonts w:ascii="Arial" w:hAnsi="Arial" w:cs="Arial"/>
          <w:sz w:val="20"/>
          <w:szCs w:val="20"/>
        </w:rPr>
        <w:t>colorectal</w:t>
      </w:r>
      <w:r w:rsidR="006E5DD5">
        <w:rPr>
          <w:rFonts w:ascii="Arial" w:hAnsi="Arial" w:cs="Arial"/>
          <w:sz w:val="20"/>
          <w:szCs w:val="20"/>
        </w:rPr>
        <w:t xml:space="preserve"> cancer while females were estimated to have a</w:t>
      </w:r>
      <w:r w:rsidR="00F31015">
        <w:rPr>
          <w:rFonts w:ascii="Arial" w:hAnsi="Arial" w:cs="Arial"/>
          <w:sz w:val="20"/>
          <w:szCs w:val="20"/>
        </w:rPr>
        <w:t>n</w:t>
      </w:r>
      <w:r w:rsidR="006E5DD5">
        <w:rPr>
          <w:rFonts w:ascii="Arial" w:hAnsi="Arial" w:cs="Arial"/>
          <w:sz w:val="20"/>
          <w:szCs w:val="20"/>
        </w:rPr>
        <w:t xml:space="preserve"> </w:t>
      </w:r>
      <w:r>
        <w:rPr>
          <w:rFonts w:ascii="Arial" w:hAnsi="Arial" w:cs="Arial"/>
          <w:sz w:val="20"/>
          <w:szCs w:val="20"/>
        </w:rPr>
        <w:t>8% to 40</w:t>
      </w:r>
      <w:r w:rsidR="006E5DD5">
        <w:rPr>
          <w:rFonts w:ascii="Arial" w:hAnsi="Arial" w:cs="Arial"/>
          <w:sz w:val="20"/>
          <w:szCs w:val="20"/>
        </w:rPr>
        <w:t>% less chance</w:t>
      </w:r>
      <w:r w:rsidR="00F86A81">
        <w:rPr>
          <w:rFonts w:ascii="Arial" w:hAnsi="Arial" w:cs="Arial"/>
          <w:sz w:val="20"/>
          <w:szCs w:val="20"/>
        </w:rPr>
        <w:t xml:space="preserve"> (National Cancer Intelligence Network 2010</w:t>
      </w:r>
      <w:r w:rsidR="001A34FC">
        <w:rPr>
          <w:rFonts w:ascii="Arial" w:hAnsi="Arial" w:cs="Arial"/>
          <w:sz w:val="20"/>
          <w:szCs w:val="20"/>
        </w:rPr>
        <w:t>b</w:t>
      </w:r>
      <w:r w:rsidR="00F86A81">
        <w:rPr>
          <w:rFonts w:ascii="Arial" w:hAnsi="Arial" w:cs="Arial"/>
          <w:sz w:val="20"/>
          <w:szCs w:val="20"/>
        </w:rPr>
        <w:t>)</w:t>
      </w:r>
      <w:r w:rsidR="006E5DD5">
        <w:rPr>
          <w:rFonts w:ascii="Arial" w:hAnsi="Arial" w:cs="Arial"/>
          <w:sz w:val="20"/>
          <w:szCs w:val="20"/>
        </w:rPr>
        <w:t>.</w:t>
      </w:r>
      <w:bookmarkStart w:id="20" w:name="_Ref264286323"/>
      <w:r w:rsidR="004B2F74">
        <w:rPr>
          <w:rFonts w:ascii="Arial" w:hAnsi="Arial" w:cs="Arial"/>
          <w:sz w:val="20"/>
          <w:szCs w:val="20"/>
        </w:rPr>
        <w:t xml:space="preserve"> </w:t>
      </w:r>
      <w:r w:rsidR="004B2F74" w:rsidRPr="004B2F74">
        <w:rPr>
          <w:rFonts w:ascii="Arial" w:hAnsi="Arial" w:cs="Arial"/>
          <w:sz w:val="20"/>
          <w:szCs w:val="20"/>
        </w:rPr>
        <w:t>There were no significant differences in age-standardised relative survival between White, Asian and Black ethnic groups at either one or three years</w:t>
      </w:r>
      <w:r w:rsidR="004B2F74">
        <w:rPr>
          <w:rFonts w:ascii="Arial" w:hAnsi="Arial" w:cs="Arial"/>
          <w:sz w:val="20"/>
          <w:szCs w:val="20"/>
        </w:rPr>
        <w:t xml:space="preserve"> after diagnosis.</w:t>
      </w:r>
    </w:p>
    <w:p w:rsidR="002C201D" w:rsidRPr="00EE62A8" w:rsidRDefault="002C201D" w:rsidP="002C201D">
      <w:pPr>
        <w:autoSpaceDE w:val="0"/>
        <w:autoSpaceDN w:val="0"/>
        <w:adjustRightInd w:val="0"/>
        <w:rPr>
          <w:rFonts w:ascii="Arial" w:hAnsi="Arial" w:cs="Arial"/>
          <w:b/>
          <w:sz w:val="20"/>
          <w:szCs w:val="20"/>
        </w:rPr>
      </w:pPr>
      <w:r w:rsidRPr="00AD2369">
        <w:rPr>
          <w:rFonts w:ascii="Arial" w:hAnsi="Arial" w:cs="Arial"/>
          <w:sz w:val="20"/>
          <w:szCs w:val="20"/>
        </w:rPr>
        <w:t xml:space="preserve">Croydon has the largest non-white resident ethnicity at 40.9% of the total population of the PCT followed by Sutton </w:t>
      </w:r>
      <w:r w:rsidR="001650BF">
        <w:rPr>
          <w:rFonts w:ascii="Arial" w:hAnsi="Arial" w:cs="Arial"/>
          <w:sz w:val="20"/>
          <w:szCs w:val="20"/>
        </w:rPr>
        <w:t>&amp;</w:t>
      </w:r>
      <w:r w:rsidRPr="00AD2369">
        <w:rPr>
          <w:rFonts w:ascii="Arial" w:hAnsi="Arial" w:cs="Arial"/>
          <w:sz w:val="20"/>
          <w:szCs w:val="20"/>
        </w:rPr>
        <w:t xml:space="preserve"> Merton with 23.3% (</w:t>
      </w:r>
      <w:fldSimple w:instr=" REF _Ref275261792 \h  \* MERGEFORMAT ">
        <w:r w:rsidR="004E6A50" w:rsidRPr="004E6A50">
          <w:rPr>
            <w:rFonts w:ascii="Arial" w:hAnsi="Arial" w:cs="Arial"/>
            <w:sz w:val="20"/>
            <w:szCs w:val="20"/>
          </w:rPr>
          <w:t xml:space="preserve">Figure </w:t>
        </w:r>
        <w:r w:rsidR="004E6A50" w:rsidRPr="004E6A50">
          <w:rPr>
            <w:rFonts w:ascii="Arial" w:hAnsi="Arial" w:cs="Arial"/>
            <w:noProof/>
            <w:sz w:val="20"/>
            <w:szCs w:val="20"/>
          </w:rPr>
          <w:t>8</w:t>
        </w:r>
      </w:fldSimple>
      <w:r w:rsidRPr="00AD2369">
        <w:rPr>
          <w:rFonts w:ascii="Arial" w:hAnsi="Arial" w:cs="Arial"/>
          <w:sz w:val="20"/>
          <w:szCs w:val="20"/>
        </w:rPr>
        <w:t>). Richmond has the lowest at 11.7%. The largest resident BME group across all PCTs is Asian, which comprises of Pakistani, Indian, Bangladeshi and other Asian. Croydon has the largest Black population accounting for 21.2% or one in five of the PCT population.</w:t>
      </w:r>
      <w:r w:rsidR="00EE62A8">
        <w:rPr>
          <w:rFonts w:ascii="Arial" w:hAnsi="Arial" w:cs="Arial"/>
          <w:sz w:val="20"/>
          <w:szCs w:val="20"/>
        </w:rPr>
        <w:t xml:space="preserve"> For exact figures see Appendix 1.</w:t>
      </w:r>
    </w:p>
    <w:p w:rsidR="00AB27C8" w:rsidRPr="00AB27C8" w:rsidRDefault="00AB27C8" w:rsidP="004B2F74">
      <w:pPr>
        <w:pStyle w:val="Caption"/>
        <w:spacing w:after="0"/>
        <w:rPr>
          <w:rFonts w:ascii="Arial" w:hAnsi="Arial" w:cs="Arial"/>
          <w:color w:val="auto"/>
          <w:sz w:val="20"/>
          <w:szCs w:val="20"/>
        </w:rPr>
      </w:pPr>
      <w:bookmarkStart w:id="21" w:name="_Ref275261792"/>
      <w:r w:rsidRPr="00AB27C8">
        <w:rPr>
          <w:rFonts w:ascii="Arial" w:hAnsi="Arial" w:cs="Arial"/>
          <w:color w:val="auto"/>
        </w:rPr>
        <w:t xml:space="preserve">Figure </w:t>
      </w:r>
      <w:r w:rsidR="00AF55AD" w:rsidRPr="00AB27C8">
        <w:rPr>
          <w:rFonts w:ascii="Arial" w:hAnsi="Arial" w:cs="Arial"/>
          <w:color w:val="auto"/>
        </w:rPr>
        <w:fldChar w:fldCharType="begin"/>
      </w:r>
      <w:r w:rsidRPr="00AB27C8">
        <w:rPr>
          <w:rFonts w:ascii="Arial" w:hAnsi="Arial" w:cs="Arial"/>
          <w:color w:val="auto"/>
        </w:rPr>
        <w:instrText xml:space="preserve"> SEQ Figure \* ARABIC </w:instrText>
      </w:r>
      <w:r w:rsidR="00AF55AD" w:rsidRPr="00AB27C8">
        <w:rPr>
          <w:rFonts w:ascii="Arial" w:hAnsi="Arial" w:cs="Arial"/>
          <w:color w:val="auto"/>
        </w:rPr>
        <w:fldChar w:fldCharType="separate"/>
      </w:r>
      <w:r w:rsidR="004E6A50">
        <w:rPr>
          <w:rFonts w:ascii="Arial" w:hAnsi="Arial" w:cs="Arial"/>
          <w:noProof/>
          <w:color w:val="auto"/>
        </w:rPr>
        <w:t>8</w:t>
      </w:r>
      <w:r w:rsidR="00AF55AD" w:rsidRPr="00AB27C8">
        <w:rPr>
          <w:rFonts w:ascii="Arial" w:hAnsi="Arial" w:cs="Arial"/>
          <w:color w:val="auto"/>
        </w:rPr>
        <w:fldChar w:fldCharType="end"/>
      </w:r>
      <w:bookmarkEnd w:id="20"/>
      <w:bookmarkEnd w:id="21"/>
      <w:r w:rsidRPr="00AB27C8">
        <w:rPr>
          <w:rFonts w:ascii="Arial" w:hAnsi="Arial" w:cs="Arial"/>
          <w:color w:val="auto"/>
        </w:rPr>
        <w:t xml:space="preserve">: Projected (2010) </w:t>
      </w:r>
      <w:r w:rsidR="00013A5C">
        <w:rPr>
          <w:rFonts w:ascii="Arial" w:hAnsi="Arial" w:cs="Arial"/>
          <w:color w:val="auto"/>
        </w:rPr>
        <w:t xml:space="preserve">resident </w:t>
      </w:r>
      <w:r w:rsidRPr="00AB27C8">
        <w:rPr>
          <w:rFonts w:ascii="Arial" w:hAnsi="Arial" w:cs="Arial"/>
          <w:color w:val="auto"/>
        </w:rPr>
        <w:t>ethnic composition of SWL PCTs, for Males and Females of all ages.</w:t>
      </w:r>
    </w:p>
    <w:p w:rsidR="00AB27C8" w:rsidRDefault="00470721" w:rsidP="00F31015">
      <w:pPr>
        <w:autoSpaceDE w:val="0"/>
        <w:autoSpaceDN w:val="0"/>
        <w:adjustRightInd w:val="0"/>
        <w:spacing w:after="0"/>
        <w:rPr>
          <w:rFonts w:ascii="Arial" w:hAnsi="Arial" w:cs="Arial"/>
          <w:sz w:val="20"/>
          <w:szCs w:val="20"/>
        </w:rPr>
      </w:pPr>
      <w:r w:rsidRPr="00470721">
        <w:rPr>
          <w:rFonts w:ascii="Arial" w:hAnsi="Arial" w:cs="Arial"/>
          <w:noProof/>
          <w:sz w:val="20"/>
          <w:szCs w:val="20"/>
          <w:lang w:val="en-US"/>
        </w:rPr>
        <w:drawing>
          <wp:inline distT="0" distB="0" distL="0" distR="0">
            <wp:extent cx="5731510" cy="3440743"/>
            <wp:effectExtent l="19050" t="0" r="21590" b="7307"/>
            <wp:docPr id="1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B27C8" w:rsidRDefault="00AB27C8" w:rsidP="00D91ADD">
      <w:pPr>
        <w:autoSpaceDE w:val="0"/>
        <w:autoSpaceDN w:val="0"/>
        <w:adjustRightInd w:val="0"/>
        <w:rPr>
          <w:rFonts w:ascii="Arial" w:hAnsi="Arial" w:cs="Arial"/>
          <w:b/>
          <w:color w:val="242121"/>
          <w:kern w:val="36"/>
          <w:sz w:val="16"/>
          <w:szCs w:val="16"/>
        </w:rPr>
      </w:pPr>
      <w:r w:rsidRPr="00AB27C8">
        <w:rPr>
          <w:rFonts w:ascii="Arial" w:hAnsi="Arial" w:cs="Arial"/>
          <w:b/>
          <w:sz w:val="16"/>
          <w:szCs w:val="16"/>
        </w:rPr>
        <w:t xml:space="preserve">Source: </w:t>
      </w:r>
      <w:r w:rsidRPr="00AB27C8">
        <w:rPr>
          <w:rFonts w:ascii="Arial" w:hAnsi="Arial" w:cs="Arial"/>
          <w:b/>
          <w:color w:val="242121"/>
          <w:kern w:val="36"/>
          <w:sz w:val="16"/>
          <w:szCs w:val="16"/>
        </w:rPr>
        <w:t>G</w:t>
      </w:r>
      <w:r>
        <w:rPr>
          <w:rFonts w:ascii="Arial" w:hAnsi="Arial" w:cs="Arial"/>
          <w:b/>
          <w:color w:val="242121"/>
          <w:kern w:val="36"/>
          <w:sz w:val="16"/>
          <w:szCs w:val="16"/>
        </w:rPr>
        <w:t xml:space="preserve">reater </w:t>
      </w:r>
      <w:r w:rsidRPr="00AB27C8">
        <w:rPr>
          <w:rFonts w:ascii="Arial" w:hAnsi="Arial" w:cs="Arial"/>
          <w:b/>
          <w:color w:val="242121"/>
          <w:kern w:val="36"/>
          <w:sz w:val="16"/>
          <w:szCs w:val="16"/>
        </w:rPr>
        <w:t>L</w:t>
      </w:r>
      <w:r>
        <w:rPr>
          <w:rFonts w:ascii="Arial" w:hAnsi="Arial" w:cs="Arial"/>
          <w:b/>
          <w:color w:val="242121"/>
          <w:kern w:val="36"/>
          <w:sz w:val="16"/>
          <w:szCs w:val="16"/>
        </w:rPr>
        <w:t xml:space="preserve">ondon </w:t>
      </w:r>
      <w:r w:rsidRPr="00AB27C8">
        <w:rPr>
          <w:rFonts w:ascii="Arial" w:hAnsi="Arial" w:cs="Arial"/>
          <w:b/>
          <w:color w:val="242121"/>
          <w:kern w:val="36"/>
          <w:sz w:val="16"/>
          <w:szCs w:val="16"/>
        </w:rPr>
        <w:t>A</w:t>
      </w:r>
      <w:r>
        <w:rPr>
          <w:rFonts w:ascii="Arial" w:hAnsi="Arial" w:cs="Arial"/>
          <w:b/>
          <w:color w:val="242121"/>
          <w:kern w:val="36"/>
          <w:sz w:val="16"/>
          <w:szCs w:val="16"/>
        </w:rPr>
        <w:t>uthority</w:t>
      </w:r>
      <w:r w:rsidRPr="00AB27C8">
        <w:rPr>
          <w:rFonts w:ascii="Arial" w:hAnsi="Arial" w:cs="Arial"/>
          <w:b/>
          <w:color w:val="242121"/>
          <w:kern w:val="36"/>
          <w:sz w:val="16"/>
          <w:szCs w:val="16"/>
        </w:rPr>
        <w:t xml:space="preserve"> Ethnic Group Projections 2008 Round, London Plan, Borough.</w:t>
      </w:r>
    </w:p>
    <w:p w:rsidR="00C52633" w:rsidRDefault="00C819F2" w:rsidP="001F2601">
      <w:pPr>
        <w:pStyle w:val="Heading2"/>
        <w:numPr>
          <w:ilvl w:val="1"/>
          <w:numId w:val="1"/>
        </w:numPr>
        <w:spacing w:before="0" w:after="240"/>
        <w:rPr>
          <w:rFonts w:ascii="Arial" w:hAnsi="Arial" w:cs="Arial"/>
          <w:color w:val="auto"/>
          <w:sz w:val="24"/>
          <w:szCs w:val="24"/>
        </w:rPr>
      </w:pPr>
      <w:bookmarkStart w:id="22" w:name="_Toc276037832"/>
      <w:r>
        <w:rPr>
          <w:rFonts w:ascii="Arial" w:hAnsi="Arial" w:cs="Arial"/>
          <w:color w:val="auto"/>
          <w:sz w:val="24"/>
          <w:szCs w:val="24"/>
        </w:rPr>
        <w:t>Physical (in</w:t>
      </w:r>
      <w:proofErr w:type="gramStart"/>
      <w:r>
        <w:rPr>
          <w:rFonts w:ascii="Arial" w:hAnsi="Arial" w:cs="Arial"/>
          <w:color w:val="auto"/>
          <w:sz w:val="24"/>
          <w:szCs w:val="24"/>
        </w:rPr>
        <w:t>)activity</w:t>
      </w:r>
      <w:bookmarkEnd w:id="22"/>
      <w:proofErr w:type="gramEnd"/>
    </w:p>
    <w:p w:rsidR="004D5EFB" w:rsidRPr="004D5EFB" w:rsidRDefault="004D5EFB" w:rsidP="004D5EFB">
      <w:pPr>
        <w:pStyle w:val="fulltext-text"/>
        <w:spacing w:line="276" w:lineRule="auto"/>
        <w:rPr>
          <w:rFonts w:ascii="Arial" w:hAnsi="Arial" w:cs="Arial"/>
          <w:color w:val="0A0905"/>
          <w:sz w:val="20"/>
          <w:szCs w:val="20"/>
        </w:rPr>
      </w:pPr>
      <w:proofErr w:type="spellStart"/>
      <w:r>
        <w:rPr>
          <w:rFonts w:ascii="Arial" w:hAnsi="Arial" w:cs="Arial"/>
          <w:color w:val="0A0905"/>
          <w:sz w:val="20"/>
          <w:szCs w:val="20"/>
        </w:rPr>
        <w:t>Parkin</w:t>
      </w:r>
      <w:proofErr w:type="spellEnd"/>
      <w:r>
        <w:rPr>
          <w:rFonts w:ascii="Arial" w:hAnsi="Arial" w:cs="Arial"/>
          <w:color w:val="0A0905"/>
          <w:sz w:val="20"/>
          <w:szCs w:val="20"/>
        </w:rPr>
        <w:t xml:space="preserve"> et al (2009) states that i</w:t>
      </w:r>
      <w:r w:rsidRPr="004D5EFB">
        <w:rPr>
          <w:rFonts w:ascii="Arial" w:hAnsi="Arial" w:cs="Arial"/>
          <w:color w:val="0A0905"/>
          <w:sz w:val="20"/>
          <w:szCs w:val="20"/>
        </w:rPr>
        <w:t xml:space="preserve">ndividuals with high levels of physical activity throughout their lives are at lower risk for colon cancer. The evidence was considered ‘sufficient’ in the </w:t>
      </w:r>
      <w:r w:rsidR="00F71FCD">
        <w:rPr>
          <w:rFonts w:ascii="Arial" w:hAnsi="Arial" w:cs="Arial"/>
          <w:color w:val="0A0905"/>
          <w:sz w:val="20"/>
          <w:szCs w:val="20"/>
        </w:rPr>
        <w:t xml:space="preserve">IARC (2002) </w:t>
      </w:r>
      <w:r w:rsidR="0073253B" w:rsidRPr="004D5EFB">
        <w:rPr>
          <w:rFonts w:ascii="Arial" w:hAnsi="Arial" w:cs="Arial"/>
          <w:color w:val="0A0905"/>
          <w:sz w:val="20"/>
          <w:szCs w:val="20"/>
        </w:rPr>
        <w:t>evaluation</w:t>
      </w:r>
      <w:r w:rsidRPr="004D5EFB">
        <w:rPr>
          <w:rFonts w:ascii="Arial" w:hAnsi="Arial" w:cs="Arial"/>
          <w:color w:val="0A0905"/>
          <w:sz w:val="20"/>
          <w:szCs w:val="20"/>
        </w:rPr>
        <w:t xml:space="preserve"> and </w:t>
      </w:r>
      <w:r w:rsidR="0073253B">
        <w:rPr>
          <w:rFonts w:ascii="Arial" w:hAnsi="Arial" w:cs="Arial"/>
          <w:color w:val="0A0905"/>
          <w:sz w:val="20"/>
          <w:szCs w:val="20"/>
        </w:rPr>
        <w:t>‘</w:t>
      </w:r>
      <w:r w:rsidRPr="004D5EFB">
        <w:rPr>
          <w:rFonts w:ascii="Arial" w:hAnsi="Arial" w:cs="Arial"/>
          <w:color w:val="0A0905"/>
          <w:sz w:val="20"/>
          <w:szCs w:val="20"/>
        </w:rPr>
        <w:t>convincing</w:t>
      </w:r>
      <w:r w:rsidR="0073253B">
        <w:rPr>
          <w:rFonts w:ascii="Arial" w:hAnsi="Arial" w:cs="Arial"/>
          <w:color w:val="0A0905"/>
          <w:sz w:val="20"/>
          <w:szCs w:val="20"/>
        </w:rPr>
        <w:t>’</w:t>
      </w:r>
      <w:r w:rsidRPr="004D5EFB">
        <w:rPr>
          <w:rFonts w:ascii="Arial" w:hAnsi="Arial" w:cs="Arial"/>
          <w:color w:val="0A0905"/>
          <w:sz w:val="20"/>
          <w:szCs w:val="20"/>
        </w:rPr>
        <w:t xml:space="preserve"> by </w:t>
      </w:r>
      <w:r w:rsidR="00F71FCD" w:rsidRPr="00F71FCD">
        <w:rPr>
          <w:rFonts w:ascii="Arial" w:hAnsi="Arial" w:cs="Arial"/>
          <w:sz w:val="20"/>
          <w:szCs w:val="20"/>
        </w:rPr>
        <w:t>World Cancer Research Fund</w:t>
      </w:r>
      <w:r w:rsidR="00F71FCD" w:rsidRPr="004D5EFB">
        <w:rPr>
          <w:rFonts w:ascii="Arial" w:hAnsi="Arial" w:cs="Arial"/>
          <w:color w:val="0A0905"/>
          <w:sz w:val="20"/>
          <w:szCs w:val="20"/>
        </w:rPr>
        <w:t xml:space="preserve"> </w:t>
      </w:r>
      <w:r w:rsidR="00F71FCD">
        <w:rPr>
          <w:rFonts w:ascii="Arial" w:hAnsi="Arial" w:cs="Arial"/>
          <w:color w:val="0A0905"/>
          <w:sz w:val="20"/>
          <w:szCs w:val="20"/>
        </w:rPr>
        <w:t>(2007) an</w:t>
      </w:r>
      <w:r w:rsidRPr="004D5EFB">
        <w:rPr>
          <w:rFonts w:ascii="Arial" w:hAnsi="Arial" w:cs="Arial"/>
          <w:color w:val="0A0905"/>
          <w:sz w:val="20"/>
          <w:szCs w:val="20"/>
        </w:rPr>
        <w:t xml:space="preserve">d </w:t>
      </w:r>
      <w:r w:rsidR="00F71FCD">
        <w:rPr>
          <w:rFonts w:ascii="Arial" w:hAnsi="Arial" w:cs="Arial"/>
          <w:color w:val="0A0905"/>
          <w:sz w:val="20"/>
          <w:szCs w:val="20"/>
        </w:rPr>
        <w:t>WHO/FAO (2003).</w:t>
      </w:r>
      <w:r w:rsidRPr="004D5EFB">
        <w:rPr>
          <w:rFonts w:ascii="Arial" w:hAnsi="Arial" w:cs="Arial"/>
          <w:color w:val="0A0905"/>
          <w:sz w:val="20"/>
          <w:szCs w:val="20"/>
        </w:rPr>
        <w:t xml:space="preserve"> The relationship between physical exercise and risk of rectal cancer is much less certain </w:t>
      </w:r>
      <w:r w:rsidR="00F71FCD">
        <w:rPr>
          <w:rFonts w:ascii="Arial" w:hAnsi="Arial" w:cs="Arial"/>
          <w:color w:val="0A0905"/>
          <w:sz w:val="20"/>
          <w:szCs w:val="20"/>
        </w:rPr>
        <w:t xml:space="preserve">(IARC 2002, Wei et al. 2004, </w:t>
      </w:r>
      <w:proofErr w:type="spellStart"/>
      <w:r w:rsidR="00F71FCD">
        <w:rPr>
          <w:rFonts w:ascii="Arial" w:hAnsi="Arial" w:cs="Arial"/>
          <w:color w:val="0A0905"/>
          <w:sz w:val="20"/>
          <w:szCs w:val="20"/>
        </w:rPr>
        <w:t>Friedenreich</w:t>
      </w:r>
      <w:proofErr w:type="spellEnd"/>
      <w:r w:rsidR="00F71FCD">
        <w:rPr>
          <w:rFonts w:ascii="Arial" w:hAnsi="Arial" w:cs="Arial"/>
          <w:color w:val="0A0905"/>
          <w:sz w:val="20"/>
          <w:szCs w:val="20"/>
        </w:rPr>
        <w:t xml:space="preserve"> et al. 2006)</w:t>
      </w:r>
      <w:r w:rsidRPr="004D5EFB">
        <w:rPr>
          <w:rFonts w:ascii="Arial" w:hAnsi="Arial" w:cs="Arial"/>
          <w:color w:val="0A0905"/>
          <w:sz w:val="20"/>
          <w:szCs w:val="20"/>
        </w:rPr>
        <w:t xml:space="preserve">, although some studies </w:t>
      </w:r>
      <w:r w:rsidR="00F31015">
        <w:rPr>
          <w:rFonts w:ascii="Arial" w:hAnsi="Arial" w:cs="Arial"/>
          <w:color w:val="0A0905"/>
          <w:sz w:val="20"/>
          <w:szCs w:val="20"/>
        </w:rPr>
        <w:t>describe an inverse relationship</w:t>
      </w:r>
      <w:r w:rsidRPr="004D5EFB">
        <w:rPr>
          <w:rFonts w:ascii="Arial" w:hAnsi="Arial" w:cs="Arial"/>
          <w:color w:val="0A0905"/>
          <w:sz w:val="20"/>
          <w:szCs w:val="20"/>
        </w:rPr>
        <w:t xml:space="preserve"> </w:t>
      </w:r>
      <w:r w:rsidR="00F71FCD">
        <w:rPr>
          <w:rFonts w:ascii="Arial" w:hAnsi="Arial" w:cs="Arial"/>
          <w:color w:val="0A0905"/>
          <w:sz w:val="20"/>
          <w:szCs w:val="20"/>
        </w:rPr>
        <w:t>(Slattery et al. 2003).</w:t>
      </w:r>
      <w:r w:rsidR="0073253B">
        <w:rPr>
          <w:rFonts w:ascii="Arial" w:hAnsi="Arial" w:cs="Arial"/>
          <w:color w:val="0A0905"/>
          <w:sz w:val="20"/>
          <w:szCs w:val="20"/>
        </w:rPr>
        <w:t xml:space="preserve"> </w:t>
      </w:r>
    </w:p>
    <w:p w:rsidR="00377C4D" w:rsidRDefault="00A06CCF" w:rsidP="00C819F2">
      <w:pPr>
        <w:rPr>
          <w:rFonts w:ascii="Arial" w:hAnsi="Arial" w:cs="Arial"/>
          <w:color w:val="0A0905"/>
          <w:sz w:val="20"/>
          <w:szCs w:val="20"/>
        </w:rPr>
      </w:pPr>
      <w:r w:rsidRPr="00377C4D">
        <w:rPr>
          <w:rFonts w:ascii="Arial" w:hAnsi="Arial" w:cs="Arial"/>
          <w:color w:val="0A0905"/>
          <w:sz w:val="20"/>
          <w:szCs w:val="20"/>
        </w:rPr>
        <w:t xml:space="preserve">The latest </w:t>
      </w:r>
      <w:r w:rsidR="00B16F2B" w:rsidRPr="00377C4D">
        <w:rPr>
          <w:rFonts w:ascii="Arial" w:hAnsi="Arial" w:cs="Arial"/>
          <w:color w:val="0A0905"/>
          <w:sz w:val="20"/>
          <w:szCs w:val="20"/>
        </w:rPr>
        <w:t xml:space="preserve">estimated figures </w:t>
      </w:r>
      <w:r w:rsidR="00377C4D" w:rsidRPr="00377C4D">
        <w:rPr>
          <w:rFonts w:ascii="Arial" w:hAnsi="Arial" w:cs="Arial"/>
          <w:color w:val="0A0905"/>
          <w:sz w:val="20"/>
          <w:szCs w:val="20"/>
        </w:rPr>
        <w:t>(</w:t>
      </w:r>
      <w:fldSimple w:instr=" REF _Ref264026370 \h  \* MERGEFORMAT ">
        <w:r w:rsidR="004E6A50" w:rsidRPr="004E6A50">
          <w:rPr>
            <w:rFonts w:ascii="Arial" w:hAnsi="Arial" w:cs="Arial"/>
            <w:sz w:val="20"/>
            <w:szCs w:val="20"/>
          </w:rPr>
          <w:t xml:space="preserve">Figure </w:t>
        </w:r>
        <w:r w:rsidR="004E6A50" w:rsidRPr="004E6A50">
          <w:rPr>
            <w:rFonts w:ascii="Arial" w:hAnsi="Arial" w:cs="Arial"/>
            <w:noProof/>
            <w:sz w:val="20"/>
            <w:szCs w:val="20"/>
          </w:rPr>
          <w:t>9</w:t>
        </w:r>
      </w:fldSimple>
      <w:r w:rsidR="00377C4D">
        <w:rPr>
          <w:rFonts w:ascii="Arial" w:hAnsi="Arial" w:cs="Arial"/>
          <w:color w:val="0A0905"/>
          <w:sz w:val="20"/>
          <w:szCs w:val="20"/>
        </w:rPr>
        <w:t xml:space="preserve">) </w:t>
      </w:r>
      <w:r w:rsidR="00B16F2B">
        <w:rPr>
          <w:rFonts w:ascii="Arial" w:hAnsi="Arial" w:cs="Arial"/>
          <w:color w:val="0A0905"/>
          <w:sz w:val="20"/>
          <w:szCs w:val="20"/>
        </w:rPr>
        <w:t>from the Active</w:t>
      </w:r>
      <w:r>
        <w:rPr>
          <w:rFonts w:ascii="Arial" w:hAnsi="Arial" w:cs="Arial"/>
          <w:color w:val="0A0905"/>
          <w:sz w:val="20"/>
          <w:szCs w:val="20"/>
        </w:rPr>
        <w:t xml:space="preserve"> People </w:t>
      </w:r>
      <w:r w:rsidR="00377C4D">
        <w:rPr>
          <w:rFonts w:ascii="Arial" w:hAnsi="Arial" w:cs="Arial"/>
          <w:color w:val="0A0905"/>
          <w:sz w:val="20"/>
          <w:szCs w:val="20"/>
        </w:rPr>
        <w:t xml:space="preserve">2008-09 </w:t>
      </w:r>
      <w:r>
        <w:rPr>
          <w:rFonts w:ascii="Arial" w:hAnsi="Arial" w:cs="Arial"/>
          <w:color w:val="0A0905"/>
          <w:sz w:val="20"/>
          <w:szCs w:val="20"/>
        </w:rPr>
        <w:t>Survey</w:t>
      </w:r>
      <w:r w:rsidR="00377C4D">
        <w:rPr>
          <w:rFonts w:ascii="Arial" w:hAnsi="Arial" w:cs="Arial"/>
          <w:color w:val="0A0905"/>
          <w:sz w:val="20"/>
          <w:szCs w:val="20"/>
        </w:rPr>
        <w:t xml:space="preserve"> </w:t>
      </w:r>
      <w:r>
        <w:rPr>
          <w:rFonts w:ascii="Arial" w:hAnsi="Arial" w:cs="Arial"/>
          <w:color w:val="0A0905"/>
          <w:sz w:val="20"/>
          <w:szCs w:val="20"/>
        </w:rPr>
        <w:t>by Sport England</w:t>
      </w:r>
      <w:r w:rsidR="00B16F2B">
        <w:rPr>
          <w:rFonts w:ascii="Arial" w:hAnsi="Arial" w:cs="Arial"/>
          <w:color w:val="0A0905"/>
          <w:sz w:val="20"/>
          <w:szCs w:val="20"/>
        </w:rPr>
        <w:t xml:space="preserve"> shows that </w:t>
      </w:r>
      <w:r w:rsidR="00377C4D">
        <w:rPr>
          <w:rFonts w:ascii="Arial" w:hAnsi="Arial" w:cs="Arial"/>
          <w:color w:val="0A0905"/>
          <w:sz w:val="20"/>
          <w:szCs w:val="20"/>
        </w:rPr>
        <w:t xml:space="preserve">more people (aged 16+) in </w:t>
      </w:r>
      <w:r w:rsidR="009D0BA2">
        <w:rPr>
          <w:rFonts w:ascii="Arial" w:hAnsi="Arial" w:cs="Arial"/>
          <w:color w:val="0A0905"/>
          <w:sz w:val="20"/>
          <w:szCs w:val="20"/>
        </w:rPr>
        <w:t xml:space="preserve">the borough of Richmond partake in </w:t>
      </w:r>
      <w:r w:rsidR="009D0BA2" w:rsidRPr="00B16F2B">
        <w:rPr>
          <w:rFonts w:ascii="Arial" w:hAnsi="Arial" w:cs="Arial"/>
          <w:color w:val="0A0905"/>
          <w:sz w:val="20"/>
          <w:szCs w:val="20"/>
        </w:rPr>
        <w:t xml:space="preserve">moderate intensity sport </w:t>
      </w:r>
      <w:r w:rsidR="00377C4D">
        <w:rPr>
          <w:rFonts w:ascii="Arial" w:hAnsi="Arial" w:cs="Arial"/>
          <w:color w:val="0A0905"/>
          <w:sz w:val="20"/>
          <w:szCs w:val="20"/>
        </w:rPr>
        <w:t>than other boroughs in SWL</w:t>
      </w:r>
      <w:r w:rsidR="00B16F2B" w:rsidRPr="00B16F2B">
        <w:rPr>
          <w:rFonts w:ascii="Arial" w:hAnsi="Arial" w:cs="Arial"/>
          <w:color w:val="0A0905"/>
          <w:sz w:val="20"/>
          <w:szCs w:val="20"/>
        </w:rPr>
        <w:t>.</w:t>
      </w:r>
      <w:r w:rsidR="009D0BA2">
        <w:rPr>
          <w:rFonts w:ascii="Arial" w:hAnsi="Arial" w:cs="Arial"/>
          <w:color w:val="0A0905"/>
          <w:sz w:val="20"/>
          <w:szCs w:val="20"/>
        </w:rPr>
        <w:t xml:space="preserve"> </w:t>
      </w:r>
      <w:r w:rsidR="00AD6A5A" w:rsidRPr="00DE36BE">
        <w:rPr>
          <w:rFonts w:ascii="Arial" w:hAnsi="Arial" w:cs="Arial"/>
          <w:color w:val="0A0905"/>
          <w:sz w:val="20"/>
          <w:szCs w:val="20"/>
        </w:rPr>
        <w:t xml:space="preserve">The exact definition is to partake in </w:t>
      </w:r>
      <w:r w:rsidR="00AD6A5A" w:rsidRPr="00DE36BE">
        <w:rPr>
          <w:rFonts w:ascii="Arial" w:hAnsi="Arial" w:cs="Arial"/>
          <w:sz w:val="20"/>
          <w:szCs w:val="20"/>
        </w:rPr>
        <w:t xml:space="preserve">at least 30 minutes of sport at moderate intensity at least three times a week </w:t>
      </w:r>
      <w:r w:rsidR="00A17819">
        <w:rPr>
          <w:rFonts w:ascii="Arial" w:hAnsi="Arial" w:cs="Arial"/>
          <w:color w:val="0A0905"/>
          <w:sz w:val="20"/>
          <w:szCs w:val="20"/>
        </w:rPr>
        <w:t xml:space="preserve">(Further details on this survey can be found at </w:t>
      </w:r>
      <w:hyperlink r:id="rId20" w:history="1">
        <w:r w:rsidR="00A17819" w:rsidRPr="000911E1">
          <w:rPr>
            <w:rStyle w:val="Hyperlink"/>
            <w:rFonts w:ascii="Arial" w:hAnsi="Arial" w:cs="Arial"/>
            <w:sz w:val="20"/>
            <w:szCs w:val="20"/>
          </w:rPr>
          <w:t>http://www.sportengland.org/research/active_people_survey.aspx</w:t>
        </w:r>
      </w:hyperlink>
      <w:r w:rsidR="00A17819">
        <w:rPr>
          <w:rFonts w:ascii="Arial" w:hAnsi="Arial" w:cs="Arial"/>
          <w:color w:val="0A0905"/>
          <w:sz w:val="20"/>
          <w:szCs w:val="20"/>
        </w:rPr>
        <w:t>). Croydon is estimated to be the least active population at 17.8%. All other boroughs record that over one in five are engaged in this level of activity. A high</w:t>
      </w:r>
      <w:r w:rsidR="00377C4D">
        <w:rPr>
          <w:rFonts w:ascii="Arial" w:hAnsi="Arial" w:cs="Arial"/>
          <w:color w:val="0A0905"/>
          <w:sz w:val="20"/>
          <w:szCs w:val="20"/>
        </w:rPr>
        <w:t xml:space="preserve"> proportion seen in Wandsworth, possibly higher than expected given the level </w:t>
      </w:r>
      <w:r w:rsidR="00F31015">
        <w:rPr>
          <w:rFonts w:ascii="Arial" w:hAnsi="Arial" w:cs="Arial"/>
          <w:color w:val="0A0905"/>
          <w:sz w:val="20"/>
          <w:szCs w:val="20"/>
        </w:rPr>
        <w:t xml:space="preserve">of </w:t>
      </w:r>
      <w:r w:rsidR="00377C4D" w:rsidRPr="00377C4D">
        <w:rPr>
          <w:rFonts w:ascii="Arial" w:hAnsi="Arial" w:cs="Arial"/>
          <w:color w:val="0A0905"/>
          <w:sz w:val="20"/>
          <w:szCs w:val="20"/>
        </w:rPr>
        <w:t xml:space="preserve">deprivation in the borough, will partly be due to the borough having a young population as it is likely </w:t>
      </w:r>
      <w:r w:rsidR="00377C4D" w:rsidRPr="00377C4D">
        <w:rPr>
          <w:rFonts w:ascii="Arial" w:hAnsi="Arial" w:cs="Arial"/>
          <w:sz w:val="20"/>
          <w:szCs w:val="20"/>
        </w:rPr>
        <w:t>that a greater proportion of younger people undertake levels of physical activity at the recommended levels than older people</w:t>
      </w:r>
      <w:r w:rsidR="00377C4D" w:rsidRPr="00377C4D">
        <w:rPr>
          <w:rFonts w:ascii="Arial" w:hAnsi="Arial" w:cs="Arial"/>
          <w:color w:val="0A0905"/>
          <w:sz w:val="20"/>
          <w:szCs w:val="20"/>
        </w:rPr>
        <w:t>.</w:t>
      </w:r>
      <w:r w:rsidR="00377C4D">
        <w:rPr>
          <w:rFonts w:ascii="Arial" w:hAnsi="Arial" w:cs="Arial"/>
          <w:color w:val="0A0905"/>
          <w:sz w:val="20"/>
          <w:szCs w:val="20"/>
        </w:rPr>
        <w:t xml:space="preserve"> </w:t>
      </w:r>
    </w:p>
    <w:p w:rsidR="00F72BFE" w:rsidRDefault="00F72BFE" w:rsidP="00F72BFE">
      <w:pPr>
        <w:rPr>
          <w:rFonts w:ascii="Arial" w:hAnsi="Arial" w:cs="Arial"/>
          <w:sz w:val="20"/>
          <w:szCs w:val="20"/>
        </w:rPr>
      </w:pPr>
      <w:r>
        <w:rPr>
          <w:rFonts w:ascii="Arial" w:hAnsi="Arial" w:cs="Arial"/>
          <w:color w:val="0A0905"/>
          <w:sz w:val="20"/>
          <w:szCs w:val="20"/>
        </w:rPr>
        <w:t xml:space="preserve">The figures are not age standardised </w:t>
      </w:r>
      <w:r w:rsidRPr="00377C4D">
        <w:rPr>
          <w:rFonts w:ascii="Arial" w:hAnsi="Arial" w:cs="Arial"/>
          <w:color w:val="0A0905"/>
          <w:sz w:val="20"/>
          <w:szCs w:val="20"/>
        </w:rPr>
        <w:t xml:space="preserve">and </w:t>
      </w:r>
      <w:r w:rsidRPr="00377C4D">
        <w:rPr>
          <w:rFonts w:ascii="Arial" w:hAnsi="Arial" w:cs="Arial"/>
          <w:sz w:val="20"/>
          <w:szCs w:val="20"/>
        </w:rPr>
        <w:t xml:space="preserve">the indicator does not include active recreation such as </w:t>
      </w:r>
      <w:r w:rsidRPr="00912567">
        <w:rPr>
          <w:rFonts w:ascii="Arial" w:hAnsi="Arial" w:cs="Arial"/>
          <w:sz w:val="20"/>
          <w:szCs w:val="20"/>
        </w:rPr>
        <w:t>housework, DIY, activity in ones job or active transport. Also the figures may be prone to respondent bias as the level of physical activity is self-reported.</w:t>
      </w:r>
    </w:p>
    <w:p w:rsidR="00B16F2B" w:rsidRPr="00B16F2B" w:rsidRDefault="00B16F2B" w:rsidP="00A17819">
      <w:pPr>
        <w:pStyle w:val="Caption"/>
        <w:spacing w:after="0"/>
        <w:rPr>
          <w:rFonts w:ascii="Arial" w:hAnsi="Arial" w:cs="Arial"/>
          <w:color w:val="auto"/>
        </w:rPr>
      </w:pPr>
      <w:bookmarkStart w:id="23" w:name="_Ref264026370"/>
      <w:r w:rsidRPr="00B16F2B">
        <w:rPr>
          <w:rFonts w:ascii="Arial" w:hAnsi="Arial" w:cs="Arial"/>
          <w:color w:val="auto"/>
        </w:rPr>
        <w:t xml:space="preserve">Figure </w:t>
      </w:r>
      <w:r w:rsidR="00AF55AD" w:rsidRPr="00B16F2B">
        <w:rPr>
          <w:rFonts w:ascii="Arial" w:hAnsi="Arial" w:cs="Arial"/>
          <w:color w:val="auto"/>
        </w:rPr>
        <w:fldChar w:fldCharType="begin"/>
      </w:r>
      <w:r w:rsidRPr="00B16F2B">
        <w:rPr>
          <w:rFonts w:ascii="Arial" w:hAnsi="Arial" w:cs="Arial"/>
          <w:color w:val="auto"/>
        </w:rPr>
        <w:instrText xml:space="preserve"> SEQ Figure \* ARABIC </w:instrText>
      </w:r>
      <w:r w:rsidR="00AF55AD" w:rsidRPr="00B16F2B">
        <w:rPr>
          <w:rFonts w:ascii="Arial" w:hAnsi="Arial" w:cs="Arial"/>
          <w:color w:val="auto"/>
        </w:rPr>
        <w:fldChar w:fldCharType="separate"/>
      </w:r>
      <w:r w:rsidR="004E6A50">
        <w:rPr>
          <w:rFonts w:ascii="Arial" w:hAnsi="Arial" w:cs="Arial"/>
          <w:noProof/>
          <w:color w:val="auto"/>
        </w:rPr>
        <w:t>9</w:t>
      </w:r>
      <w:r w:rsidR="00AF55AD" w:rsidRPr="00B16F2B">
        <w:rPr>
          <w:rFonts w:ascii="Arial" w:hAnsi="Arial" w:cs="Arial"/>
          <w:color w:val="auto"/>
        </w:rPr>
        <w:fldChar w:fldCharType="end"/>
      </w:r>
      <w:bookmarkEnd w:id="23"/>
      <w:r w:rsidRPr="00B16F2B">
        <w:rPr>
          <w:rFonts w:ascii="Arial" w:hAnsi="Arial" w:cs="Arial"/>
          <w:color w:val="auto"/>
        </w:rPr>
        <w:t>: Estimated proportion of population (aged 16+)</w:t>
      </w:r>
      <w:r w:rsidRPr="00B16F2B">
        <w:rPr>
          <w:rFonts w:ascii="Arial" w:hAnsi="Arial" w:cs="Arial"/>
          <w:noProof/>
          <w:color w:val="auto"/>
        </w:rPr>
        <w:t xml:space="preserve"> to be taking part in</w:t>
      </w:r>
      <w:r w:rsidRPr="00B16F2B">
        <w:rPr>
          <w:rFonts w:ascii="Arial" w:hAnsi="Arial" w:cs="Arial"/>
          <w:color w:val="auto"/>
        </w:rPr>
        <w:t xml:space="preserve"> moderate intensity sport and active recre</w:t>
      </w:r>
      <w:r w:rsidR="00385D54">
        <w:rPr>
          <w:rFonts w:ascii="Arial" w:hAnsi="Arial" w:cs="Arial"/>
          <w:color w:val="auto"/>
        </w:rPr>
        <w:t>ation on at least 3 days a week</w:t>
      </w:r>
      <w:r w:rsidR="00385D54" w:rsidRPr="00385D54">
        <w:rPr>
          <w:rFonts w:ascii="Arial" w:hAnsi="Arial" w:cs="Arial"/>
          <w:color w:val="auto"/>
        </w:rPr>
        <w:t xml:space="preserve">, </w:t>
      </w:r>
      <w:r w:rsidR="00385D54" w:rsidRPr="00385D54">
        <w:rPr>
          <w:rFonts w:ascii="Arial" w:hAnsi="Arial" w:cs="Arial"/>
          <w:color w:val="auto"/>
          <w:sz w:val="16"/>
          <w:szCs w:val="16"/>
        </w:rPr>
        <w:t>2008-09.</w:t>
      </w:r>
    </w:p>
    <w:p w:rsidR="00B16F2B" w:rsidRDefault="00B16F2B" w:rsidP="00A17819">
      <w:pPr>
        <w:spacing w:after="0"/>
        <w:rPr>
          <w:rFonts w:ascii="Arial" w:hAnsi="Arial" w:cs="Arial"/>
          <w:color w:val="0A0905"/>
          <w:sz w:val="20"/>
          <w:szCs w:val="20"/>
        </w:rPr>
      </w:pPr>
      <w:r w:rsidRPr="00B16F2B">
        <w:rPr>
          <w:rFonts w:ascii="Arial" w:hAnsi="Arial" w:cs="Arial"/>
          <w:noProof/>
          <w:color w:val="0A0905"/>
          <w:sz w:val="20"/>
          <w:szCs w:val="20"/>
          <w:lang w:val="en-US"/>
        </w:rPr>
        <w:drawing>
          <wp:inline distT="0" distB="0" distL="0" distR="0">
            <wp:extent cx="5731510" cy="2562225"/>
            <wp:effectExtent l="19050" t="0" r="21590" b="0"/>
            <wp:docPr id="1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17819" w:rsidRDefault="00F31015" w:rsidP="00C819F2">
      <w:pPr>
        <w:rPr>
          <w:rFonts w:ascii="Arial" w:hAnsi="Arial" w:cs="Arial"/>
          <w:b/>
          <w:sz w:val="16"/>
          <w:szCs w:val="16"/>
        </w:rPr>
      </w:pPr>
      <w:r>
        <w:rPr>
          <w:rFonts w:ascii="Arial" w:hAnsi="Arial" w:cs="Arial"/>
          <w:b/>
          <w:sz w:val="16"/>
          <w:szCs w:val="16"/>
        </w:rPr>
        <w:t>Source: Active People Surve</w:t>
      </w:r>
      <w:r w:rsidR="00A17819" w:rsidRPr="00A17819">
        <w:rPr>
          <w:rFonts w:ascii="Arial" w:hAnsi="Arial" w:cs="Arial"/>
          <w:b/>
          <w:sz w:val="16"/>
          <w:szCs w:val="16"/>
        </w:rPr>
        <w:t xml:space="preserve">y 2008-09, Sport </w:t>
      </w:r>
      <w:proofErr w:type="gramStart"/>
      <w:r w:rsidR="00A17819" w:rsidRPr="00A17819">
        <w:rPr>
          <w:rFonts w:ascii="Arial" w:hAnsi="Arial" w:cs="Arial"/>
          <w:b/>
          <w:sz w:val="16"/>
          <w:szCs w:val="16"/>
        </w:rPr>
        <w:t>England .</w:t>
      </w:r>
      <w:proofErr w:type="gramEnd"/>
    </w:p>
    <w:p w:rsidR="003F3BAA" w:rsidRDefault="003F3BAA" w:rsidP="00C0271A">
      <w:pPr>
        <w:rPr>
          <w:rFonts w:ascii="Arial" w:hAnsi="Arial" w:cs="Arial"/>
          <w:sz w:val="20"/>
          <w:szCs w:val="20"/>
        </w:rPr>
      </w:pPr>
    </w:p>
    <w:p w:rsidR="003F3BAA" w:rsidRDefault="003F3BAA" w:rsidP="00C0271A">
      <w:pPr>
        <w:rPr>
          <w:rFonts w:ascii="Arial" w:hAnsi="Arial" w:cs="Arial"/>
          <w:sz w:val="20"/>
          <w:szCs w:val="20"/>
        </w:rPr>
      </w:pPr>
    </w:p>
    <w:p w:rsidR="003F3BAA" w:rsidRDefault="003F3BAA" w:rsidP="00C0271A">
      <w:pPr>
        <w:rPr>
          <w:rFonts w:ascii="Arial" w:hAnsi="Arial" w:cs="Arial"/>
          <w:sz w:val="20"/>
          <w:szCs w:val="20"/>
        </w:rPr>
      </w:pPr>
    </w:p>
    <w:p w:rsidR="006B3AAC" w:rsidRDefault="006B3AAC" w:rsidP="00C0271A">
      <w:pPr>
        <w:rPr>
          <w:rFonts w:ascii="Arial" w:hAnsi="Arial" w:cs="Arial"/>
          <w:sz w:val="20"/>
          <w:szCs w:val="20"/>
        </w:rPr>
      </w:pPr>
    </w:p>
    <w:p w:rsidR="006B3AAC" w:rsidRDefault="006B3AAC" w:rsidP="00C0271A">
      <w:pPr>
        <w:rPr>
          <w:rFonts w:ascii="Arial" w:hAnsi="Arial" w:cs="Arial"/>
          <w:sz w:val="20"/>
          <w:szCs w:val="20"/>
        </w:rPr>
      </w:pPr>
    </w:p>
    <w:p w:rsidR="006B3AAC" w:rsidRDefault="006B3AAC" w:rsidP="00C0271A">
      <w:pPr>
        <w:rPr>
          <w:rFonts w:ascii="Arial" w:hAnsi="Arial" w:cs="Arial"/>
          <w:sz w:val="20"/>
          <w:szCs w:val="20"/>
        </w:rPr>
      </w:pPr>
    </w:p>
    <w:p w:rsidR="006B3AAC" w:rsidRDefault="006B3AAC" w:rsidP="00C0271A">
      <w:pPr>
        <w:rPr>
          <w:rFonts w:ascii="Arial" w:hAnsi="Arial" w:cs="Arial"/>
          <w:sz w:val="20"/>
          <w:szCs w:val="20"/>
        </w:rPr>
      </w:pPr>
    </w:p>
    <w:p w:rsidR="00422641" w:rsidRDefault="00422641" w:rsidP="00C0271A">
      <w:pPr>
        <w:rPr>
          <w:rFonts w:ascii="Arial" w:hAnsi="Arial" w:cs="Arial"/>
          <w:sz w:val="20"/>
          <w:szCs w:val="20"/>
        </w:rPr>
      </w:pPr>
    </w:p>
    <w:p w:rsidR="00422641" w:rsidRDefault="00422641" w:rsidP="00C0271A">
      <w:pPr>
        <w:rPr>
          <w:rFonts w:ascii="Arial" w:hAnsi="Arial" w:cs="Arial"/>
          <w:sz w:val="20"/>
          <w:szCs w:val="20"/>
        </w:rPr>
      </w:pPr>
    </w:p>
    <w:p w:rsidR="00422641" w:rsidRDefault="00422641" w:rsidP="00C0271A">
      <w:pPr>
        <w:rPr>
          <w:rFonts w:ascii="Arial" w:hAnsi="Arial" w:cs="Arial"/>
          <w:sz w:val="20"/>
          <w:szCs w:val="20"/>
        </w:rPr>
      </w:pPr>
    </w:p>
    <w:p w:rsidR="00422641" w:rsidRDefault="00422641" w:rsidP="00C0271A">
      <w:pPr>
        <w:rPr>
          <w:rFonts w:ascii="Arial" w:hAnsi="Arial" w:cs="Arial"/>
          <w:sz w:val="20"/>
          <w:szCs w:val="20"/>
        </w:rPr>
      </w:pPr>
    </w:p>
    <w:p w:rsidR="00F730F5" w:rsidRDefault="00F730F5" w:rsidP="001F2601">
      <w:pPr>
        <w:pStyle w:val="Heading1"/>
        <w:numPr>
          <w:ilvl w:val="0"/>
          <w:numId w:val="1"/>
        </w:numPr>
        <w:spacing w:after="240"/>
        <w:rPr>
          <w:rFonts w:ascii="Arial" w:hAnsi="Arial" w:cs="Arial"/>
          <w:color w:val="auto"/>
        </w:rPr>
      </w:pPr>
      <w:bookmarkStart w:id="24" w:name="_Toc276037833"/>
      <w:r>
        <w:rPr>
          <w:rFonts w:ascii="Arial" w:hAnsi="Arial" w:cs="Arial"/>
          <w:color w:val="auto"/>
        </w:rPr>
        <w:t>Bowel Screening</w:t>
      </w:r>
      <w:bookmarkEnd w:id="24"/>
    </w:p>
    <w:p w:rsidR="004B374A" w:rsidRDefault="004B374A" w:rsidP="001F2601">
      <w:pPr>
        <w:pStyle w:val="Heading2"/>
        <w:numPr>
          <w:ilvl w:val="1"/>
          <w:numId w:val="1"/>
        </w:numPr>
        <w:spacing w:after="240"/>
        <w:rPr>
          <w:rFonts w:ascii="Arial" w:hAnsi="Arial" w:cs="Arial"/>
          <w:color w:val="auto"/>
          <w:sz w:val="24"/>
          <w:szCs w:val="24"/>
        </w:rPr>
      </w:pPr>
      <w:bookmarkStart w:id="25" w:name="_Toc265504355"/>
      <w:bookmarkStart w:id="26" w:name="_Toc276037834"/>
      <w:r>
        <w:rPr>
          <w:rFonts w:ascii="Arial" w:hAnsi="Arial" w:cs="Arial"/>
          <w:color w:val="auto"/>
          <w:sz w:val="24"/>
          <w:szCs w:val="24"/>
        </w:rPr>
        <w:t>Uptake</w:t>
      </w:r>
      <w:bookmarkEnd w:id="25"/>
      <w:r>
        <w:rPr>
          <w:rFonts w:ascii="Arial" w:hAnsi="Arial" w:cs="Arial"/>
          <w:color w:val="auto"/>
          <w:sz w:val="24"/>
          <w:szCs w:val="24"/>
        </w:rPr>
        <w:t xml:space="preserve"> </w:t>
      </w:r>
      <w:r w:rsidR="00B408C1">
        <w:rPr>
          <w:rFonts w:ascii="Arial" w:hAnsi="Arial" w:cs="Arial"/>
          <w:color w:val="auto"/>
          <w:sz w:val="24"/>
          <w:szCs w:val="24"/>
        </w:rPr>
        <w:t>by PCT</w:t>
      </w:r>
      <w:r w:rsidR="006B1CA3">
        <w:rPr>
          <w:rFonts w:ascii="Arial" w:hAnsi="Arial" w:cs="Arial"/>
          <w:color w:val="auto"/>
          <w:sz w:val="24"/>
          <w:szCs w:val="24"/>
        </w:rPr>
        <w:t xml:space="preserve"> – up to June 2009</w:t>
      </w:r>
      <w:bookmarkEnd w:id="26"/>
    </w:p>
    <w:p w:rsidR="002F61D9" w:rsidRPr="002F61D9" w:rsidRDefault="009D764D" w:rsidP="00CD00EB">
      <w:pPr>
        <w:autoSpaceDE w:val="0"/>
        <w:autoSpaceDN w:val="0"/>
        <w:adjustRightInd w:val="0"/>
        <w:rPr>
          <w:rFonts w:ascii="Arial" w:hAnsi="Arial" w:cs="Arial"/>
          <w:sz w:val="20"/>
          <w:szCs w:val="20"/>
        </w:rPr>
      </w:pPr>
      <w:r w:rsidRPr="002F61D9">
        <w:rPr>
          <w:rFonts w:ascii="Arial" w:hAnsi="Arial" w:cs="Arial"/>
          <w:sz w:val="20"/>
          <w:szCs w:val="20"/>
        </w:rPr>
        <w:t>The NHS Bowel Cancer Screening Programme</w:t>
      </w:r>
      <w:r w:rsidR="00CD00EB">
        <w:rPr>
          <w:rFonts w:ascii="Arial" w:hAnsi="Arial" w:cs="Arial"/>
          <w:sz w:val="20"/>
          <w:szCs w:val="20"/>
        </w:rPr>
        <w:t xml:space="preserve"> (BCSP)</w:t>
      </w:r>
      <w:r w:rsidRPr="002F61D9">
        <w:rPr>
          <w:rFonts w:ascii="Arial" w:hAnsi="Arial" w:cs="Arial"/>
          <w:sz w:val="20"/>
          <w:szCs w:val="20"/>
        </w:rPr>
        <w:t xml:space="preserve"> offers screening to men and women aged 60–69 every two years using a </w:t>
      </w:r>
      <w:proofErr w:type="spellStart"/>
      <w:r w:rsidRPr="002F61D9">
        <w:rPr>
          <w:rFonts w:ascii="Arial" w:hAnsi="Arial" w:cs="Arial"/>
          <w:sz w:val="20"/>
          <w:szCs w:val="20"/>
        </w:rPr>
        <w:t>guaiac</w:t>
      </w:r>
      <w:proofErr w:type="spellEnd"/>
      <w:r w:rsidRPr="002F61D9">
        <w:rPr>
          <w:rFonts w:ascii="Arial" w:hAnsi="Arial" w:cs="Arial"/>
          <w:sz w:val="20"/>
          <w:szCs w:val="20"/>
        </w:rPr>
        <w:t xml:space="preserve"> based faecal occult blood test (</w:t>
      </w:r>
      <w:proofErr w:type="spellStart"/>
      <w:r w:rsidRPr="002F61D9">
        <w:rPr>
          <w:rFonts w:ascii="Arial" w:hAnsi="Arial" w:cs="Arial"/>
          <w:sz w:val="20"/>
          <w:szCs w:val="20"/>
        </w:rPr>
        <w:t>FOBt</w:t>
      </w:r>
      <w:proofErr w:type="spellEnd"/>
      <w:r w:rsidRPr="002F61D9">
        <w:rPr>
          <w:rFonts w:ascii="Arial" w:hAnsi="Arial" w:cs="Arial"/>
          <w:sz w:val="20"/>
          <w:szCs w:val="20"/>
        </w:rPr>
        <w:t xml:space="preserve">). People aged 70 or over can request </w:t>
      </w:r>
      <w:proofErr w:type="gramStart"/>
      <w:r w:rsidRPr="002F61D9">
        <w:rPr>
          <w:rFonts w:ascii="Arial" w:hAnsi="Arial" w:cs="Arial"/>
          <w:sz w:val="20"/>
          <w:szCs w:val="20"/>
        </w:rPr>
        <w:t>an</w:t>
      </w:r>
      <w:proofErr w:type="gramEnd"/>
      <w:r w:rsidRPr="002F61D9">
        <w:rPr>
          <w:rFonts w:ascii="Arial" w:hAnsi="Arial" w:cs="Arial"/>
          <w:sz w:val="20"/>
          <w:szCs w:val="20"/>
        </w:rPr>
        <w:t xml:space="preserve"> </w:t>
      </w:r>
      <w:proofErr w:type="spellStart"/>
      <w:r w:rsidRPr="002F61D9">
        <w:rPr>
          <w:rFonts w:ascii="Arial" w:hAnsi="Arial" w:cs="Arial"/>
          <w:sz w:val="20"/>
          <w:szCs w:val="20"/>
        </w:rPr>
        <w:t>FOBt</w:t>
      </w:r>
      <w:proofErr w:type="spellEnd"/>
      <w:r w:rsidRPr="002F61D9">
        <w:rPr>
          <w:rFonts w:ascii="Arial" w:hAnsi="Arial" w:cs="Arial"/>
          <w:sz w:val="20"/>
          <w:szCs w:val="20"/>
        </w:rPr>
        <w:t xml:space="preserve"> kit.</w:t>
      </w:r>
      <w:r w:rsidR="002F61D9" w:rsidRPr="002F61D9">
        <w:rPr>
          <w:rFonts w:ascii="Arial" w:hAnsi="Arial" w:cs="Arial"/>
          <w:sz w:val="20"/>
          <w:szCs w:val="20"/>
        </w:rPr>
        <w:t xml:space="preserve"> Most people who participate in the NHS BCSP will not see a health professional (NHS Cancer Screening Programmes 2008). They will have a normal test result and will be invited to participate again in two years’ time. Uptake is defined as, “response to an invitation”, therefore only people who have been sen</w:t>
      </w:r>
      <w:r w:rsidR="00CD00EB">
        <w:rPr>
          <w:rFonts w:ascii="Arial" w:hAnsi="Arial" w:cs="Arial"/>
          <w:sz w:val="20"/>
          <w:szCs w:val="20"/>
        </w:rPr>
        <w:t>t</w:t>
      </w:r>
      <w:r w:rsidR="002F61D9" w:rsidRPr="002F61D9">
        <w:rPr>
          <w:rFonts w:ascii="Arial" w:hAnsi="Arial" w:cs="Arial"/>
          <w:sz w:val="20"/>
          <w:szCs w:val="20"/>
        </w:rPr>
        <w:t xml:space="preserve"> the standard “S1” invitation letter are included in the denominator of the calculation; opt-ins and self-referrals (over 70s) are not included.</w:t>
      </w:r>
    </w:p>
    <w:p w:rsidR="004B374A" w:rsidRPr="004503A3" w:rsidRDefault="00AF55AD" w:rsidP="004B374A">
      <w:pPr>
        <w:autoSpaceDE w:val="0"/>
        <w:autoSpaceDN w:val="0"/>
        <w:adjustRightInd w:val="0"/>
        <w:rPr>
          <w:rFonts w:ascii="Arial" w:hAnsi="Arial" w:cs="Arial"/>
          <w:sz w:val="20"/>
          <w:szCs w:val="20"/>
        </w:rPr>
      </w:pPr>
      <w:fldSimple w:instr=" REF _Ref265222675 \h  \* MERGEFORMAT ">
        <w:r w:rsidR="004E6A50" w:rsidRPr="004E6A50">
          <w:rPr>
            <w:rFonts w:ascii="Arial" w:hAnsi="Arial" w:cs="Arial"/>
            <w:sz w:val="20"/>
            <w:szCs w:val="20"/>
          </w:rPr>
          <w:t xml:space="preserve">Figure </w:t>
        </w:r>
        <w:r w:rsidR="004E6A50" w:rsidRPr="004E6A50">
          <w:rPr>
            <w:rFonts w:ascii="Arial" w:hAnsi="Arial" w:cs="Arial"/>
            <w:noProof/>
            <w:sz w:val="20"/>
            <w:szCs w:val="20"/>
          </w:rPr>
          <w:t>10</w:t>
        </w:r>
      </w:fldSimple>
      <w:r w:rsidR="004B374A">
        <w:rPr>
          <w:rFonts w:ascii="Arial" w:hAnsi="Arial" w:cs="Arial"/>
          <w:sz w:val="20"/>
          <w:szCs w:val="20"/>
        </w:rPr>
        <w:t xml:space="preserve"> shows </w:t>
      </w:r>
      <w:r w:rsidR="002F61D9">
        <w:rPr>
          <w:rFonts w:ascii="Arial" w:hAnsi="Arial" w:cs="Arial"/>
          <w:sz w:val="20"/>
          <w:szCs w:val="20"/>
        </w:rPr>
        <w:t>the bowel</w:t>
      </w:r>
      <w:r w:rsidR="004B374A">
        <w:rPr>
          <w:rFonts w:ascii="Arial" w:hAnsi="Arial" w:cs="Arial"/>
          <w:sz w:val="20"/>
          <w:szCs w:val="20"/>
        </w:rPr>
        <w:t xml:space="preserve"> screening uptake by </w:t>
      </w:r>
      <w:r w:rsidR="002F61D9">
        <w:rPr>
          <w:rFonts w:ascii="Arial" w:hAnsi="Arial" w:cs="Arial"/>
          <w:sz w:val="20"/>
          <w:szCs w:val="20"/>
        </w:rPr>
        <w:t xml:space="preserve">PCT </w:t>
      </w:r>
      <w:r w:rsidR="00CD00EB">
        <w:rPr>
          <w:rFonts w:ascii="Arial" w:hAnsi="Arial" w:cs="Arial"/>
          <w:sz w:val="20"/>
          <w:szCs w:val="20"/>
        </w:rPr>
        <w:t>since the beginning of the programme until</w:t>
      </w:r>
      <w:r w:rsidR="002F61D9">
        <w:rPr>
          <w:rFonts w:ascii="Arial" w:hAnsi="Arial" w:cs="Arial"/>
          <w:sz w:val="20"/>
          <w:szCs w:val="20"/>
        </w:rPr>
        <w:t xml:space="preserve"> June 2009. The target uptake rate is 60%</w:t>
      </w:r>
      <w:r w:rsidR="00451C6D">
        <w:rPr>
          <w:rFonts w:ascii="Arial" w:hAnsi="Arial" w:cs="Arial"/>
          <w:sz w:val="20"/>
          <w:szCs w:val="20"/>
        </w:rPr>
        <w:t xml:space="preserve"> and the national average is 52.5%</w:t>
      </w:r>
      <w:r w:rsidR="002F61D9">
        <w:rPr>
          <w:rFonts w:ascii="Arial" w:hAnsi="Arial" w:cs="Arial"/>
          <w:sz w:val="20"/>
          <w:szCs w:val="20"/>
        </w:rPr>
        <w:t>.</w:t>
      </w:r>
      <w:r w:rsidR="004B374A">
        <w:rPr>
          <w:rFonts w:ascii="Arial" w:hAnsi="Arial" w:cs="Arial"/>
          <w:sz w:val="20"/>
          <w:szCs w:val="20"/>
        </w:rPr>
        <w:t xml:space="preserve"> </w:t>
      </w:r>
      <w:r w:rsidR="002F61D9">
        <w:rPr>
          <w:rFonts w:ascii="Arial" w:hAnsi="Arial" w:cs="Arial"/>
          <w:sz w:val="20"/>
          <w:szCs w:val="20"/>
        </w:rPr>
        <w:t>All PCTs in SWL do not reach th</w:t>
      </w:r>
      <w:r w:rsidR="00451C6D">
        <w:rPr>
          <w:rFonts w:ascii="Arial" w:hAnsi="Arial" w:cs="Arial"/>
          <w:sz w:val="20"/>
          <w:szCs w:val="20"/>
        </w:rPr>
        <w:t>e</w:t>
      </w:r>
      <w:r w:rsidR="002F61D9">
        <w:rPr>
          <w:rFonts w:ascii="Arial" w:hAnsi="Arial" w:cs="Arial"/>
          <w:sz w:val="20"/>
          <w:szCs w:val="20"/>
        </w:rPr>
        <w:t xml:space="preserve"> target</w:t>
      </w:r>
      <w:r w:rsidR="00451C6D">
        <w:rPr>
          <w:rFonts w:ascii="Arial" w:hAnsi="Arial" w:cs="Arial"/>
          <w:sz w:val="20"/>
          <w:szCs w:val="20"/>
        </w:rPr>
        <w:t xml:space="preserve"> or the level of the national average. The highest uptake rate in SWL was at Richmond &amp; Twickenham at 49.1%, while the lowest was recorded for Wandsworth at 38.6%.</w:t>
      </w:r>
    </w:p>
    <w:p w:rsidR="004B374A" w:rsidRPr="004503A3" w:rsidRDefault="004B374A" w:rsidP="004B374A">
      <w:pPr>
        <w:pStyle w:val="Caption"/>
        <w:spacing w:after="0"/>
        <w:rPr>
          <w:rFonts w:ascii="Arial" w:hAnsi="Arial" w:cs="Arial"/>
          <w:color w:val="auto"/>
          <w:sz w:val="20"/>
          <w:szCs w:val="20"/>
        </w:rPr>
      </w:pPr>
      <w:bookmarkStart w:id="27" w:name="_Ref265222675"/>
      <w:r w:rsidRPr="004503A3">
        <w:rPr>
          <w:rFonts w:ascii="Arial" w:hAnsi="Arial" w:cs="Arial"/>
          <w:color w:val="auto"/>
        </w:rPr>
        <w:t xml:space="preserve">Figure </w:t>
      </w:r>
      <w:r w:rsidR="00AF55AD" w:rsidRPr="004503A3">
        <w:rPr>
          <w:rFonts w:ascii="Arial" w:hAnsi="Arial" w:cs="Arial"/>
          <w:color w:val="auto"/>
        </w:rPr>
        <w:fldChar w:fldCharType="begin"/>
      </w:r>
      <w:r w:rsidRPr="004503A3">
        <w:rPr>
          <w:rFonts w:ascii="Arial" w:hAnsi="Arial" w:cs="Arial"/>
          <w:color w:val="auto"/>
        </w:rPr>
        <w:instrText xml:space="preserve"> SEQ Figure \* ARABIC </w:instrText>
      </w:r>
      <w:r w:rsidR="00AF55AD" w:rsidRPr="004503A3">
        <w:rPr>
          <w:rFonts w:ascii="Arial" w:hAnsi="Arial" w:cs="Arial"/>
          <w:color w:val="auto"/>
        </w:rPr>
        <w:fldChar w:fldCharType="separate"/>
      </w:r>
      <w:r w:rsidR="004E6A50">
        <w:rPr>
          <w:rFonts w:ascii="Arial" w:hAnsi="Arial" w:cs="Arial"/>
          <w:noProof/>
          <w:color w:val="auto"/>
        </w:rPr>
        <w:t>10</w:t>
      </w:r>
      <w:r w:rsidR="00AF55AD" w:rsidRPr="004503A3">
        <w:rPr>
          <w:rFonts w:ascii="Arial" w:hAnsi="Arial" w:cs="Arial"/>
          <w:color w:val="auto"/>
        </w:rPr>
        <w:fldChar w:fldCharType="end"/>
      </w:r>
      <w:bookmarkEnd w:id="27"/>
      <w:r w:rsidRPr="004503A3">
        <w:rPr>
          <w:rFonts w:ascii="Arial" w:hAnsi="Arial" w:cs="Arial"/>
          <w:color w:val="auto"/>
        </w:rPr>
        <w:t xml:space="preserve">: </w:t>
      </w:r>
      <w:r w:rsidR="00F62C42">
        <w:rPr>
          <w:rFonts w:ascii="Arial" w:hAnsi="Arial" w:cs="Arial"/>
          <w:color w:val="auto"/>
        </w:rPr>
        <w:t>B</w:t>
      </w:r>
      <w:r w:rsidR="0053370E">
        <w:rPr>
          <w:rFonts w:ascii="Arial" w:hAnsi="Arial" w:cs="Arial"/>
          <w:color w:val="auto"/>
        </w:rPr>
        <w:t>owel</w:t>
      </w:r>
      <w:r w:rsidRPr="004503A3">
        <w:rPr>
          <w:rFonts w:ascii="Arial" w:hAnsi="Arial" w:cs="Arial"/>
          <w:color w:val="auto"/>
        </w:rPr>
        <w:t xml:space="preserve"> screening </w:t>
      </w:r>
      <w:r>
        <w:rPr>
          <w:rFonts w:ascii="Arial" w:hAnsi="Arial" w:cs="Arial"/>
          <w:color w:val="auto"/>
        </w:rPr>
        <w:t>uptake</w:t>
      </w:r>
      <w:r w:rsidRPr="004503A3">
        <w:rPr>
          <w:rFonts w:ascii="Arial" w:hAnsi="Arial" w:cs="Arial"/>
          <w:color w:val="auto"/>
        </w:rPr>
        <w:t xml:space="preserve"> rates by </w:t>
      </w:r>
      <w:r w:rsidR="00F62C42">
        <w:rPr>
          <w:rFonts w:ascii="Arial" w:hAnsi="Arial" w:cs="Arial"/>
          <w:color w:val="auto"/>
        </w:rPr>
        <w:t>PCT</w:t>
      </w:r>
      <w:r>
        <w:rPr>
          <w:rFonts w:ascii="Arial" w:hAnsi="Arial" w:cs="Arial"/>
          <w:color w:val="auto"/>
        </w:rPr>
        <w:t>,</w:t>
      </w:r>
      <w:r w:rsidRPr="004503A3">
        <w:rPr>
          <w:rFonts w:ascii="Arial" w:hAnsi="Arial" w:cs="Arial"/>
          <w:color w:val="auto"/>
        </w:rPr>
        <w:t xml:space="preserve"> for age</w:t>
      </w:r>
      <w:r w:rsidR="002F61D9">
        <w:rPr>
          <w:rFonts w:ascii="Arial" w:hAnsi="Arial" w:cs="Arial"/>
          <w:color w:val="auto"/>
        </w:rPr>
        <w:t>s 6</w:t>
      </w:r>
      <w:r>
        <w:rPr>
          <w:rFonts w:ascii="Arial" w:hAnsi="Arial" w:cs="Arial"/>
          <w:color w:val="auto"/>
        </w:rPr>
        <w:t>0</w:t>
      </w:r>
      <w:r w:rsidRPr="004503A3">
        <w:rPr>
          <w:rFonts w:ascii="Arial" w:hAnsi="Arial" w:cs="Arial"/>
          <w:color w:val="auto"/>
        </w:rPr>
        <w:t>-</w:t>
      </w:r>
      <w:r w:rsidR="002F61D9">
        <w:rPr>
          <w:rFonts w:ascii="Arial" w:hAnsi="Arial" w:cs="Arial"/>
          <w:color w:val="auto"/>
        </w:rPr>
        <w:t>69</w:t>
      </w:r>
      <w:r>
        <w:rPr>
          <w:rFonts w:ascii="Arial" w:hAnsi="Arial" w:cs="Arial"/>
          <w:color w:val="auto"/>
        </w:rPr>
        <w:t xml:space="preserve"> years, </w:t>
      </w:r>
      <w:r w:rsidR="00F62C42">
        <w:rPr>
          <w:rFonts w:ascii="Arial" w:hAnsi="Arial" w:cs="Arial"/>
          <w:color w:val="auto"/>
        </w:rPr>
        <w:t xml:space="preserve">since inception to </w:t>
      </w:r>
      <w:r w:rsidR="002F61D9">
        <w:rPr>
          <w:rFonts w:ascii="Arial" w:hAnsi="Arial" w:cs="Arial"/>
          <w:color w:val="auto"/>
        </w:rPr>
        <w:t>June 2009</w:t>
      </w:r>
      <w:r w:rsidRPr="004503A3">
        <w:rPr>
          <w:rFonts w:ascii="Arial" w:hAnsi="Arial" w:cs="Arial"/>
          <w:color w:val="auto"/>
        </w:rPr>
        <w:t>.</w:t>
      </w:r>
    </w:p>
    <w:p w:rsidR="004B374A" w:rsidRPr="00701F75" w:rsidRDefault="001650BF" w:rsidP="004B374A">
      <w:pPr>
        <w:autoSpaceDE w:val="0"/>
        <w:autoSpaceDN w:val="0"/>
        <w:adjustRightInd w:val="0"/>
        <w:spacing w:after="0"/>
        <w:rPr>
          <w:rFonts w:ascii="Arial" w:hAnsi="Arial" w:cs="Arial"/>
          <w:sz w:val="20"/>
          <w:szCs w:val="20"/>
        </w:rPr>
      </w:pPr>
      <w:r w:rsidRPr="001650BF">
        <w:rPr>
          <w:rFonts w:ascii="Arial" w:hAnsi="Arial" w:cs="Arial"/>
          <w:noProof/>
          <w:sz w:val="20"/>
          <w:szCs w:val="20"/>
          <w:lang w:val="en-US"/>
        </w:rPr>
        <w:drawing>
          <wp:inline distT="0" distB="0" distL="0" distR="0">
            <wp:extent cx="5731510" cy="2628167"/>
            <wp:effectExtent l="19050" t="0" r="21590" b="733"/>
            <wp:docPr id="2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B374A" w:rsidRDefault="004B374A" w:rsidP="004B374A">
      <w:pPr>
        <w:rPr>
          <w:rFonts w:ascii="Arial" w:hAnsi="Arial" w:cs="Arial"/>
          <w:b/>
          <w:sz w:val="16"/>
          <w:szCs w:val="16"/>
        </w:rPr>
      </w:pPr>
      <w:r w:rsidRPr="00D95AA5">
        <w:rPr>
          <w:rFonts w:ascii="Arial" w:hAnsi="Arial" w:cs="Arial"/>
          <w:b/>
          <w:sz w:val="16"/>
          <w:szCs w:val="16"/>
        </w:rPr>
        <w:t xml:space="preserve">Source: </w:t>
      </w:r>
      <w:r>
        <w:rPr>
          <w:rFonts w:ascii="Arial" w:hAnsi="Arial" w:cs="Arial"/>
          <w:b/>
          <w:sz w:val="16"/>
          <w:szCs w:val="16"/>
        </w:rPr>
        <w:t xml:space="preserve">NHS </w:t>
      </w:r>
      <w:r w:rsidRPr="00D95AA5">
        <w:rPr>
          <w:rFonts w:ascii="Arial" w:hAnsi="Arial" w:cs="Arial"/>
          <w:b/>
          <w:sz w:val="16"/>
          <w:szCs w:val="16"/>
        </w:rPr>
        <w:t xml:space="preserve">London </w:t>
      </w:r>
      <w:r w:rsidR="0053370E">
        <w:rPr>
          <w:rFonts w:ascii="Arial" w:hAnsi="Arial" w:cs="Arial"/>
          <w:b/>
          <w:sz w:val="16"/>
          <w:szCs w:val="16"/>
        </w:rPr>
        <w:t>Bowel</w:t>
      </w:r>
      <w:r w:rsidR="00F62C42">
        <w:rPr>
          <w:rFonts w:ascii="Arial" w:hAnsi="Arial" w:cs="Arial"/>
          <w:b/>
          <w:sz w:val="16"/>
          <w:szCs w:val="16"/>
        </w:rPr>
        <w:t xml:space="preserve"> Screening Programme</w:t>
      </w:r>
      <w:r w:rsidRPr="00D95AA5">
        <w:rPr>
          <w:rFonts w:ascii="Arial" w:hAnsi="Arial" w:cs="Arial"/>
          <w:b/>
          <w:sz w:val="16"/>
          <w:szCs w:val="16"/>
        </w:rPr>
        <w:t>, London Quality Assurance Reference Centre (QARC).</w:t>
      </w:r>
    </w:p>
    <w:p w:rsidR="00F730F5" w:rsidRDefault="00F730F5" w:rsidP="00F730F5"/>
    <w:p w:rsidR="009E7CC1" w:rsidRDefault="009E7CC1" w:rsidP="00F730F5"/>
    <w:p w:rsidR="004B374A" w:rsidRDefault="004B374A" w:rsidP="00F730F5"/>
    <w:p w:rsidR="004B374A" w:rsidRDefault="004B374A" w:rsidP="00F730F5"/>
    <w:p w:rsidR="004B374A" w:rsidRDefault="004B374A" w:rsidP="00F730F5"/>
    <w:p w:rsidR="004B374A" w:rsidRPr="00F730F5" w:rsidRDefault="004B374A" w:rsidP="00F730F5"/>
    <w:p w:rsidR="004A6CE8" w:rsidRDefault="006B3397" w:rsidP="001F2601">
      <w:pPr>
        <w:pStyle w:val="Heading1"/>
        <w:numPr>
          <w:ilvl w:val="0"/>
          <w:numId w:val="1"/>
        </w:numPr>
        <w:spacing w:after="240"/>
        <w:rPr>
          <w:rFonts w:ascii="Arial" w:hAnsi="Arial" w:cs="Arial"/>
          <w:color w:val="auto"/>
        </w:rPr>
      </w:pPr>
      <w:bookmarkStart w:id="28" w:name="_Toc276037835"/>
      <w:r>
        <w:rPr>
          <w:rFonts w:ascii="Arial" w:hAnsi="Arial" w:cs="Arial"/>
          <w:color w:val="auto"/>
        </w:rPr>
        <w:t>Colorectal</w:t>
      </w:r>
      <w:r w:rsidR="004224B4">
        <w:rPr>
          <w:rFonts w:ascii="Arial" w:hAnsi="Arial" w:cs="Arial"/>
          <w:color w:val="auto"/>
        </w:rPr>
        <w:t xml:space="preserve"> </w:t>
      </w:r>
      <w:r w:rsidR="00AB5802">
        <w:rPr>
          <w:rFonts w:ascii="Arial" w:hAnsi="Arial" w:cs="Arial"/>
          <w:color w:val="auto"/>
        </w:rPr>
        <w:t>Cancer Incidence</w:t>
      </w:r>
      <w:bookmarkEnd w:id="28"/>
    </w:p>
    <w:p w:rsidR="00784E76" w:rsidRDefault="00784E76" w:rsidP="001F2601">
      <w:pPr>
        <w:pStyle w:val="Heading2"/>
        <w:numPr>
          <w:ilvl w:val="1"/>
          <w:numId w:val="1"/>
        </w:numPr>
        <w:spacing w:after="240"/>
        <w:rPr>
          <w:rFonts w:ascii="Arial" w:hAnsi="Arial" w:cs="Arial"/>
          <w:color w:val="auto"/>
          <w:sz w:val="24"/>
          <w:szCs w:val="24"/>
        </w:rPr>
      </w:pPr>
      <w:bookmarkStart w:id="29" w:name="_Toc276037836"/>
      <w:r w:rsidRPr="00784E76">
        <w:rPr>
          <w:rFonts w:ascii="Arial" w:hAnsi="Arial" w:cs="Arial"/>
          <w:color w:val="auto"/>
          <w:sz w:val="24"/>
          <w:szCs w:val="24"/>
        </w:rPr>
        <w:t>Under 75</w:t>
      </w:r>
      <w:r>
        <w:rPr>
          <w:rFonts w:ascii="Arial" w:hAnsi="Arial" w:cs="Arial"/>
          <w:color w:val="auto"/>
          <w:sz w:val="24"/>
          <w:szCs w:val="24"/>
        </w:rPr>
        <w:t xml:space="preserve"> incidence</w:t>
      </w:r>
      <w:r w:rsidR="00BD2581">
        <w:rPr>
          <w:rFonts w:ascii="Arial" w:hAnsi="Arial" w:cs="Arial"/>
          <w:color w:val="auto"/>
          <w:sz w:val="24"/>
          <w:szCs w:val="24"/>
        </w:rPr>
        <w:t xml:space="preserve"> </w:t>
      </w:r>
      <w:r w:rsidR="00695D53">
        <w:rPr>
          <w:rFonts w:ascii="Arial" w:hAnsi="Arial" w:cs="Arial"/>
          <w:color w:val="auto"/>
          <w:sz w:val="24"/>
          <w:szCs w:val="24"/>
        </w:rPr>
        <w:t>by PCT</w:t>
      </w:r>
      <w:r w:rsidR="006B1CA3">
        <w:rPr>
          <w:rFonts w:ascii="Arial" w:hAnsi="Arial" w:cs="Arial"/>
          <w:color w:val="auto"/>
          <w:sz w:val="24"/>
          <w:szCs w:val="24"/>
        </w:rPr>
        <w:t xml:space="preserve"> 2004-06</w:t>
      </w:r>
      <w:bookmarkEnd w:id="29"/>
    </w:p>
    <w:p w:rsidR="003243C2" w:rsidRDefault="00AF55AD" w:rsidP="00784E76">
      <w:pPr>
        <w:spacing w:after="240"/>
        <w:rPr>
          <w:rFonts w:ascii="Arial" w:hAnsi="Arial" w:cs="Arial"/>
          <w:sz w:val="20"/>
          <w:szCs w:val="20"/>
        </w:rPr>
      </w:pPr>
      <w:fldSimple w:instr=" REF _Ref263679771 \h  \* MERGEFORMAT ">
        <w:r w:rsidR="004E6A50" w:rsidRPr="004E6A50">
          <w:rPr>
            <w:rFonts w:ascii="Arial" w:hAnsi="Arial" w:cs="Arial"/>
            <w:sz w:val="20"/>
            <w:szCs w:val="20"/>
          </w:rPr>
          <w:t xml:space="preserve">Figure </w:t>
        </w:r>
        <w:r w:rsidR="004E6A50" w:rsidRPr="004E6A50">
          <w:rPr>
            <w:rFonts w:ascii="Arial" w:hAnsi="Arial" w:cs="Arial"/>
            <w:noProof/>
            <w:sz w:val="20"/>
            <w:szCs w:val="20"/>
          </w:rPr>
          <w:t>11</w:t>
        </w:r>
      </w:fldSimple>
      <w:r w:rsidR="00E05866">
        <w:rPr>
          <w:rFonts w:ascii="Arial" w:hAnsi="Arial" w:cs="Arial"/>
          <w:sz w:val="20"/>
          <w:szCs w:val="20"/>
        </w:rPr>
        <w:t xml:space="preserve"> </w:t>
      </w:r>
      <w:r w:rsidR="00AE0734">
        <w:rPr>
          <w:rFonts w:ascii="Arial" w:hAnsi="Arial" w:cs="Arial"/>
          <w:sz w:val="20"/>
          <w:szCs w:val="20"/>
        </w:rPr>
        <w:t xml:space="preserve">shows the under 75 age standardised </w:t>
      </w:r>
      <w:r w:rsidR="003243C2">
        <w:rPr>
          <w:rFonts w:ascii="Arial" w:hAnsi="Arial" w:cs="Arial"/>
          <w:sz w:val="20"/>
          <w:szCs w:val="20"/>
        </w:rPr>
        <w:t xml:space="preserve">colorectal </w:t>
      </w:r>
      <w:r w:rsidR="00AE0734">
        <w:rPr>
          <w:rFonts w:ascii="Arial" w:hAnsi="Arial" w:cs="Arial"/>
          <w:sz w:val="20"/>
          <w:szCs w:val="20"/>
        </w:rPr>
        <w:t xml:space="preserve">cancer incidence in SWL for 2004-06. </w:t>
      </w:r>
      <w:r w:rsidR="008474F6">
        <w:rPr>
          <w:rFonts w:ascii="Arial" w:hAnsi="Arial" w:cs="Arial"/>
          <w:sz w:val="20"/>
          <w:szCs w:val="20"/>
        </w:rPr>
        <w:t xml:space="preserve">Incidence rates are highest in </w:t>
      </w:r>
      <w:r w:rsidR="003243C2">
        <w:rPr>
          <w:rFonts w:ascii="Arial" w:hAnsi="Arial" w:cs="Arial"/>
          <w:sz w:val="20"/>
          <w:szCs w:val="20"/>
        </w:rPr>
        <w:t>Croydon</w:t>
      </w:r>
      <w:r w:rsidR="008474F6">
        <w:rPr>
          <w:rFonts w:ascii="Arial" w:hAnsi="Arial" w:cs="Arial"/>
          <w:sz w:val="20"/>
          <w:szCs w:val="20"/>
        </w:rPr>
        <w:t xml:space="preserve"> </w:t>
      </w:r>
      <w:r w:rsidR="00F07E9C">
        <w:rPr>
          <w:rFonts w:ascii="Arial" w:hAnsi="Arial" w:cs="Arial"/>
          <w:sz w:val="20"/>
          <w:szCs w:val="20"/>
        </w:rPr>
        <w:t>(4</w:t>
      </w:r>
      <w:r w:rsidR="003243C2">
        <w:rPr>
          <w:rFonts w:ascii="Arial" w:hAnsi="Arial" w:cs="Arial"/>
          <w:sz w:val="20"/>
          <w:szCs w:val="20"/>
        </w:rPr>
        <w:t>0.36</w:t>
      </w:r>
      <w:r w:rsidR="00F07E9C">
        <w:rPr>
          <w:rFonts w:ascii="Arial" w:hAnsi="Arial" w:cs="Arial"/>
          <w:sz w:val="20"/>
          <w:szCs w:val="20"/>
        </w:rPr>
        <w:t xml:space="preserve"> per 100,000</w:t>
      </w:r>
      <w:r w:rsidR="006509A3">
        <w:rPr>
          <w:rFonts w:ascii="Arial" w:hAnsi="Arial" w:cs="Arial"/>
          <w:sz w:val="20"/>
          <w:szCs w:val="20"/>
        </w:rPr>
        <w:t xml:space="preserve"> 95%CI 34.40 – 46.33</w:t>
      </w:r>
      <w:r w:rsidR="00F07E9C">
        <w:rPr>
          <w:rFonts w:ascii="Arial" w:hAnsi="Arial" w:cs="Arial"/>
          <w:sz w:val="20"/>
          <w:szCs w:val="20"/>
        </w:rPr>
        <w:t>)</w:t>
      </w:r>
      <w:r w:rsidR="003243C2">
        <w:rPr>
          <w:rFonts w:ascii="Arial" w:hAnsi="Arial" w:cs="Arial"/>
          <w:sz w:val="20"/>
          <w:szCs w:val="20"/>
        </w:rPr>
        <w:t xml:space="preserve"> for males</w:t>
      </w:r>
      <w:r w:rsidR="00F07E9C">
        <w:rPr>
          <w:rFonts w:ascii="Arial" w:hAnsi="Arial" w:cs="Arial"/>
          <w:sz w:val="20"/>
          <w:szCs w:val="20"/>
        </w:rPr>
        <w:t xml:space="preserve"> </w:t>
      </w:r>
      <w:r w:rsidR="008474F6">
        <w:rPr>
          <w:rFonts w:ascii="Arial" w:hAnsi="Arial" w:cs="Arial"/>
          <w:sz w:val="20"/>
          <w:szCs w:val="20"/>
        </w:rPr>
        <w:t xml:space="preserve">and </w:t>
      </w:r>
      <w:r w:rsidR="003243C2">
        <w:rPr>
          <w:rFonts w:ascii="Arial" w:hAnsi="Arial" w:cs="Arial"/>
          <w:sz w:val="20"/>
          <w:szCs w:val="20"/>
        </w:rPr>
        <w:t>Richmond &amp; Twickenham (30.91</w:t>
      </w:r>
      <w:r w:rsidR="006509A3">
        <w:rPr>
          <w:rFonts w:ascii="Arial" w:hAnsi="Arial" w:cs="Arial"/>
          <w:sz w:val="20"/>
          <w:szCs w:val="20"/>
        </w:rPr>
        <w:t xml:space="preserve"> 95%CI 23.98 – 37.85</w:t>
      </w:r>
      <w:r w:rsidR="003243C2">
        <w:rPr>
          <w:rFonts w:ascii="Arial" w:hAnsi="Arial" w:cs="Arial"/>
          <w:sz w:val="20"/>
          <w:szCs w:val="20"/>
        </w:rPr>
        <w:t>) for females. Interestingly Croydon has the lowest female (20.24</w:t>
      </w:r>
      <w:r w:rsidR="006509A3">
        <w:rPr>
          <w:rFonts w:ascii="Arial" w:hAnsi="Arial" w:cs="Arial"/>
          <w:sz w:val="20"/>
          <w:szCs w:val="20"/>
        </w:rPr>
        <w:t xml:space="preserve"> 95%CI 16.20 – 24.29</w:t>
      </w:r>
      <w:r w:rsidR="003243C2">
        <w:rPr>
          <w:rFonts w:ascii="Arial" w:hAnsi="Arial" w:cs="Arial"/>
          <w:sz w:val="20"/>
          <w:szCs w:val="20"/>
        </w:rPr>
        <w:t>) under 75 colorectal incidence rate, which is significantly lower than the national average (25.95</w:t>
      </w:r>
      <w:r w:rsidR="006509A3">
        <w:rPr>
          <w:rFonts w:ascii="Arial" w:hAnsi="Arial" w:cs="Arial"/>
          <w:sz w:val="20"/>
          <w:szCs w:val="20"/>
        </w:rPr>
        <w:t xml:space="preserve"> 95%CI 26.60 – 26.30</w:t>
      </w:r>
      <w:r w:rsidR="003243C2">
        <w:rPr>
          <w:rFonts w:ascii="Arial" w:hAnsi="Arial" w:cs="Arial"/>
          <w:sz w:val="20"/>
          <w:szCs w:val="20"/>
        </w:rPr>
        <w:t>). All other incidence rates (male and female) are comparable to the London and national average, ranging from 34.03 per 100,000</w:t>
      </w:r>
      <w:r w:rsidR="005754B3">
        <w:rPr>
          <w:rFonts w:ascii="Arial" w:hAnsi="Arial" w:cs="Arial"/>
          <w:sz w:val="20"/>
          <w:szCs w:val="20"/>
        </w:rPr>
        <w:t xml:space="preserve"> (95%CI 25.60 – 42.46)</w:t>
      </w:r>
      <w:r w:rsidR="003243C2">
        <w:rPr>
          <w:rFonts w:ascii="Arial" w:hAnsi="Arial" w:cs="Arial"/>
          <w:sz w:val="20"/>
          <w:szCs w:val="20"/>
        </w:rPr>
        <w:t xml:space="preserve"> in Kingston to 40.36</w:t>
      </w:r>
      <w:r w:rsidR="005754B3">
        <w:rPr>
          <w:rFonts w:ascii="Arial" w:hAnsi="Arial" w:cs="Arial"/>
          <w:sz w:val="20"/>
          <w:szCs w:val="20"/>
        </w:rPr>
        <w:t xml:space="preserve"> (95%CI 34.40 – 46.33)</w:t>
      </w:r>
      <w:r w:rsidR="003243C2">
        <w:rPr>
          <w:rFonts w:ascii="Arial" w:hAnsi="Arial" w:cs="Arial"/>
          <w:sz w:val="20"/>
          <w:szCs w:val="20"/>
        </w:rPr>
        <w:t xml:space="preserve"> in Croydon for men and from 20.24 </w:t>
      </w:r>
      <w:r w:rsidR="005754B3">
        <w:rPr>
          <w:rFonts w:ascii="Arial" w:hAnsi="Arial" w:cs="Arial"/>
          <w:sz w:val="20"/>
          <w:szCs w:val="20"/>
        </w:rPr>
        <w:t xml:space="preserve">(95%CI 16.20 – 24.29) </w:t>
      </w:r>
      <w:r w:rsidR="003243C2">
        <w:rPr>
          <w:rFonts w:ascii="Arial" w:hAnsi="Arial" w:cs="Arial"/>
          <w:sz w:val="20"/>
          <w:szCs w:val="20"/>
        </w:rPr>
        <w:t>in Croydon to 30.9</w:t>
      </w:r>
      <w:r w:rsidR="005754B3">
        <w:rPr>
          <w:rFonts w:ascii="Arial" w:hAnsi="Arial" w:cs="Arial"/>
          <w:sz w:val="20"/>
          <w:szCs w:val="20"/>
        </w:rPr>
        <w:t xml:space="preserve">1 (95%CI 23.98 – 37.85) in Richmond </w:t>
      </w:r>
      <w:r w:rsidR="00B46400">
        <w:rPr>
          <w:rFonts w:ascii="Arial" w:hAnsi="Arial" w:cs="Arial"/>
          <w:sz w:val="20"/>
          <w:szCs w:val="20"/>
        </w:rPr>
        <w:t>&amp;</w:t>
      </w:r>
      <w:r w:rsidR="005754B3">
        <w:rPr>
          <w:rFonts w:ascii="Arial" w:hAnsi="Arial" w:cs="Arial"/>
          <w:sz w:val="20"/>
          <w:szCs w:val="20"/>
        </w:rPr>
        <w:t xml:space="preserve"> Twickenham for women. </w:t>
      </w:r>
    </w:p>
    <w:p w:rsidR="00E05866" w:rsidRPr="00E05866" w:rsidRDefault="00E05866" w:rsidP="003243C2">
      <w:pPr>
        <w:pStyle w:val="Caption"/>
        <w:spacing w:after="0"/>
        <w:rPr>
          <w:rFonts w:ascii="Arial" w:hAnsi="Arial" w:cs="Arial"/>
          <w:color w:val="auto"/>
        </w:rPr>
      </w:pPr>
      <w:bookmarkStart w:id="30" w:name="_Ref263679771"/>
      <w:r w:rsidRPr="00E05866">
        <w:rPr>
          <w:rFonts w:ascii="Arial" w:hAnsi="Arial" w:cs="Arial"/>
          <w:color w:val="auto"/>
        </w:rPr>
        <w:t xml:space="preserve">Figure </w:t>
      </w:r>
      <w:r w:rsidR="00AF55AD" w:rsidRPr="00E05866">
        <w:rPr>
          <w:rFonts w:ascii="Arial" w:hAnsi="Arial" w:cs="Arial"/>
          <w:color w:val="auto"/>
        </w:rPr>
        <w:fldChar w:fldCharType="begin"/>
      </w:r>
      <w:r w:rsidRPr="00E05866">
        <w:rPr>
          <w:rFonts w:ascii="Arial" w:hAnsi="Arial" w:cs="Arial"/>
          <w:color w:val="auto"/>
        </w:rPr>
        <w:instrText xml:space="preserve"> SEQ Figure \* ARABIC </w:instrText>
      </w:r>
      <w:r w:rsidR="00AF55AD" w:rsidRPr="00E05866">
        <w:rPr>
          <w:rFonts w:ascii="Arial" w:hAnsi="Arial" w:cs="Arial"/>
          <w:color w:val="auto"/>
        </w:rPr>
        <w:fldChar w:fldCharType="separate"/>
      </w:r>
      <w:r w:rsidR="004E6A50">
        <w:rPr>
          <w:rFonts w:ascii="Arial" w:hAnsi="Arial" w:cs="Arial"/>
          <w:noProof/>
          <w:color w:val="auto"/>
        </w:rPr>
        <w:t>11</w:t>
      </w:r>
      <w:r w:rsidR="00AF55AD" w:rsidRPr="00E05866">
        <w:rPr>
          <w:rFonts w:ascii="Arial" w:hAnsi="Arial" w:cs="Arial"/>
          <w:color w:val="auto"/>
        </w:rPr>
        <w:fldChar w:fldCharType="end"/>
      </w:r>
      <w:bookmarkEnd w:id="30"/>
      <w:r w:rsidRPr="00E05866">
        <w:rPr>
          <w:rFonts w:ascii="Arial" w:hAnsi="Arial" w:cs="Arial"/>
          <w:color w:val="auto"/>
        </w:rPr>
        <w:t xml:space="preserve">: Directly age standardised </w:t>
      </w:r>
      <w:r>
        <w:rPr>
          <w:rFonts w:ascii="Arial" w:hAnsi="Arial" w:cs="Arial"/>
          <w:color w:val="auto"/>
        </w:rPr>
        <w:t xml:space="preserve">(DSR) </w:t>
      </w:r>
      <w:r w:rsidR="00A35970">
        <w:rPr>
          <w:rFonts w:ascii="Arial" w:hAnsi="Arial" w:cs="Arial"/>
          <w:color w:val="auto"/>
        </w:rPr>
        <w:t xml:space="preserve">under 75 years </w:t>
      </w:r>
      <w:r w:rsidR="0025347C">
        <w:rPr>
          <w:rFonts w:ascii="Arial" w:hAnsi="Arial" w:cs="Arial"/>
          <w:color w:val="auto"/>
        </w:rPr>
        <w:t>colorectal</w:t>
      </w:r>
      <w:r w:rsidR="00A35970">
        <w:rPr>
          <w:rFonts w:ascii="Arial" w:hAnsi="Arial" w:cs="Arial"/>
          <w:color w:val="auto"/>
        </w:rPr>
        <w:t xml:space="preserve"> c</w:t>
      </w:r>
      <w:r w:rsidRPr="00E05866">
        <w:rPr>
          <w:rFonts w:ascii="Arial" w:hAnsi="Arial" w:cs="Arial"/>
          <w:color w:val="auto"/>
        </w:rPr>
        <w:t>ancer</w:t>
      </w:r>
      <w:r w:rsidRPr="00E05866">
        <w:rPr>
          <w:rFonts w:ascii="Arial" w:hAnsi="Arial" w:cs="Arial"/>
          <w:noProof/>
          <w:color w:val="auto"/>
        </w:rPr>
        <w:t xml:space="preserve"> incidence, 2004-06.</w:t>
      </w:r>
    </w:p>
    <w:p w:rsidR="00DC0D89" w:rsidRPr="00DC0D89" w:rsidRDefault="003243C2" w:rsidP="00E05866">
      <w:pPr>
        <w:spacing w:after="0"/>
      </w:pPr>
      <w:r w:rsidRPr="003243C2">
        <w:rPr>
          <w:noProof/>
          <w:lang w:val="en-US"/>
        </w:rPr>
        <w:drawing>
          <wp:inline distT="0" distB="0" distL="0" distR="0">
            <wp:extent cx="5731510" cy="2276475"/>
            <wp:effectExtent l="19050" t="0" r="21590" b="0"/>
            <wp:docPr id="3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C0D89" w:rsidRDefault="00DC0D89" w:rsidP="00DC0D89">
      <w:pPr>
        <w:rPr>
          <w:rStyle w:val="foos21"/>
          <w:rFonts w:ascii="Arial" w:hAnsi="Arial" w:cs="Arial"/>
          <w:b/>
          <w:sz w:val="16"/>
          <w:szCs w:val="16"/>
        </w:rPr>
      </w:pPr>
      <w:r w:rsidRPr="00DC0D89">
        <w:rPr>
          <w:rFonts w:ascii="Arial" w:hAnsi="Arial" w:cs="Arial"/>
          <w:b/>
          <w:sz w:val="16"/>
          <w:szCs w:val="16"/>
        </w:rPr>
        <w:t xml:space="preserve">Source: </w:t>
      </w:r>
      <w:r w:rsidRPr="00DC0D89">
        <w:rPr>
          <w:rFonts w:ascii="Arial" w:hAnsi="Arial" w:cs="Arial"/>
          <w:b/>
          <w:bCs/>
          <w:sz w:val="16"/>
          <w:szCs w:val="16"/>
        </w:rPr>
        <w:t xml:space="preserve">Clinical and Health Outcomes Knowledge Base, </w:t>
      </w:r>
      <w:r w:rsidRPr="00DC0D89">
        <w:rPr>
          <w:rStyle w:val="foos21"/>
          <w:rFonts w:ascii="Arial" w:hAnsi="Arial" w:cs="Arial"/>
          <w:b/>
          <w:sz w:val="16"/>
          <w:szCs w:val="16"/>
        </w:rPr>
        <w:t>National Centre for Health Outcomes Development</w:t>
      </w:r>
      <w:r>
        <w:rPr>
          <w:rStyle w:val="foos21"/>
          <w:rFonts w:ascii="Arial" w:hAnsi="Arial" w:cs="Arial"/>
          <w:b/>
          <w:sz w:val="16"/>
          <w:szCs w:val="16"/>
        </w:rPr>
        <w:t xml:space="preserve"> (NCHOD).</w:t>
      </w:r>
    </w:p>
    <w:p w:rsidR="00861923" w:rsidRDefault="00861923" w:rsidP="001F2601">
      <w:pPr>
        <w:pStyle w:val="Heading2"/>
        <w:numPr>
          <w:ilvl w:val="1"/>
          <w:numId w:val="1"/>
        </w:numPr>
        <w:spacing w:after="240"/>
        <w:rPr>
          <w:rFonts w:ascii="Arial" w:hAnsi="Arial" w:cs="Arial"/>
          <w:color w:val="auto"/>
          <w:sz w:val="24"/>
          <w:szCs w:val="24"/>
        </w:rPr>
      </w:pPr>
      <w:bookmarkStart w:id="31" w:name="_Toc276037837"/>
      <w:r>
        <w:rPr>
          <w:rFonts w:ascii="Arial" w:hAnsi="Arial" w:cs="Arial"/>
          <w:color w:val="auto"/>
          <w:sz w:val="24"/>
          <w:szCs w:val="24"/>
        </w:rPr>
        <w:t>All age incidence</w:t>
      </w:r>
      <w:r w:rsidR="00332713">
        <w:rPr>
          <w:rFonts w:ascii="Arial" w:hAnsi="Arial" w:cs="Arial"/>
          <w:color w:val="auto"/>
          <w:sz w:val="24"/>
          <w:szCs w:val="24"/>
        </w:rPr>
        <w:t xml:space="preserve"> </w:t>
      </w:r>
      <w:r w:rsidR="00695D53">
        <w:rPr>
          <w:rFonts w:ascii="Arial" w:hAnsi="Arial" w:cs="Arial"/>
          <w:color w:val="auto"/>
          <w:sz w:val="24"/>
          <w:szCs w:val="24"/>
        </w:rPr>
        <w:t>by PCT</w:t>
      </w:r>
      <w:r w:rsidR="006B1CA3">
        <w:rPr>
          <w:rFonts w:ascii="Arial" w:hAnsi="Arial" w:cs="Arial"/>
          <w:color w:val="auto"/>
          <w:sz w:val="24"/>
          <w:szCs w:val="24"/>
        </w:rPr>
        <w:t xml:space="preserve"> 2004-06</w:t>
      </w:r>
      <w:bookmarkEnd w:id="31"/>
    </w:p>
    <w:p w:rsidR="00332713" w:rsidRDefault="00332713" w:rsidP="00332713">
      <w:pPr>
        <w:rPr>
          <w:rFonts w:ascii="Arial" w:hAnsi="Arial" w:cs="Arial"/>
          <w:sz w:val="20"/>
          <w:szCs w:val="20"/>
        </w:rPr>
      </w:pPr>
      <w:r>
        <w:rPr>
          <w:rFonts w:ascii="Arial" w:hAnsi="Arial" w:cs="Arial"/>
          <w:sz w:val="20"/>
          <w:szCs w:val="20"/>
        </w:rPr>
        <w:t>The all age directly standardised incidence follows</w:t>
      </w:r>
      <w:r w:rsidR="00F8711F">
        <w:rPr>
          <w:rFonts w:ascii="Arial" w:hAnsi="Arial" w:cs="Arial"/>
          <w:sz w:val="20"/>
          <w:szCs w:val="20"/>
        </w:rPr>
        <w:t xml:space="preserve"> a similar </w:t>
      </w:r>
      <w:r>
        <w:rPr>
          <w:rFonts w:ascii="Arial" w:hAnsi="Arial" w:cs="Arial"/>
          <w:sz w:val="20"/>
          <w:szCs w:val="20"/>
        </w:rPr>
        <w:t xml:space="preserve">pattern as the under 75 incidence with </w:t>
      </w:r>
      <w:r w:rsidR="00F8711F">
        <w:rPr>
          <w:rFonts w:ascii="Arial" w:hAnsi="Arial" w:cs="Arial"/>
          <w:sz w:val="20"/>
          <w:szCs w:val="20"/>
        </w:rPr>
        <w:t>Croydon</w:t>
      </w:r>
      <w:r>
        <w:rPr>
          <w:rFonts w:ascii="Arial" w:hAnsi="Arial" w:cs="Arial"/>
          <w:sz w:val="20"/>
          <w:szCs w:val="20"/>
        </w:rPr>
        <w:t xml:space="preserve"> recording the highest incidence (</w:t>
      </w:r>
      <w:fldSimple w:instr=" REF _Ref263863613 \h  \* MERGEFORMAT ">
        <w:r w:rsidR="004E6A50" w:rsidRPr="004E6A50">
          <w:rPr>
            <w:rFonts w:ascii="Arial" w:hAnsi="Arial" w:cs="Arial"/>
            <w:sz w:val="20"/>
            <w:szCs w:val="20"/>
          </w:rPr>
          <w:t xml:space="preserve">Figure </w:t>
        </w:r>
        <w:r w:rsidR="004E6A50" w:rsidRPr="004E6A50">
          <w:rPr>
            <w:rFonts w:ascii="Arial" w:hAnsi="Arial" w:cs="Arial"/>
            <w:noProof/>
            <w:sz w:val="20"/>
            <w:szCs w:val="20"/>
          </w:rPr>
          <w:t>12</w:t>
        </w:r>
      </w:fldSimple>
      <w:r>
        <w:rPr>
          <w:rFonts w:ascii="Arial" w:hAnsi="Arial" w:cs="Arial"/>
          <w:sz w:val="20"/>
          <w:szCs w:val="20"/>
        </w:rPr>
        <w:t>)</w:t>
      </w:r>
      <w:r w:rsidR="00F8711F">
        <w:rPr>
          <w:rFonts w:ascii="Arial" w:hAnsi="Arial" w:cs="Arial"/>
          <w:sz w:val="20"/>
          <w:szCs w:val="20"/>
        </w:rPr>
        <w:t xml:space="preserve"> for males (54.81 per 100,000</w:t>
      </w:r>
      <w:r w:rsidR="006509A3">
        <w:rPr>
          <w:rFonts w:ascii="Arial" w:hAnsi="Arial" w:cs="Arial"/>
          <w:sz w:val="20"/>
          <w:szCs w:val="20"/>
        </w:rPr>
        <w:t xml:space="preserve"> 95%CI 48.25 – 61.36</w:t>
      </w:r>
      <w:r w:rsidR="00F8711F">
        <w:rPr>
          <w:rFonts w:ascii="Arial" w:hAnsi="Arial" w:cs="Arial"/>
          <w:sz w:val="20"/>
          <w:szCs w:val="20"/>
        </w:rPr>
        <w:t>) and Richmond &amp; Twickenham highest for females (42.34</w:t>
      </w:r>
      <w:r w:rsidR="006509A3">
        <w:rPr>
          <w:rFonts w:ascii="Arial" w:hAnsi="Arial" w:cs="Arial"/>
          <w:sz w:val="20"/>
          <w:szCs w:val="20"/>
        </w:rPr>
        <w:t xml:space="preserve"> </w:t>
      </w:r>
      <w:r w:rsidR="0083709D">
        <w:rPr>
          <w:rFonts w:ascii="Arial" w:hAnsi="Arial" w:cs="Arial"/>
          <w:sz w:val="20"/>
          <w:szCs w:val="20"/>
        </w:rPr>
        <w:t>95%CI 34.99 – 49.69</w:t>
      </w:r>
      <w:r w:rsidR="00F8711F">
        <w:rPr>
          <w:rFonts w:ascii="Arial" w:hAnsi="Arial" w:cs="Arial"/>
          <w:sz w:val="20"/>
          <w:szCs w:val="20"/>
        </w:rPr>
        <w:t>)</w:t>
      </w:r>
      <w:r>
        <w:rPr>
          <w:rFonts w:ascii="Arial" w:hAnsi="Arial" w:cs="Arial"/>
          <w:sz w:val="20"/>
          <w:szCs w:val="20"/>
        </w:rPr>
        <w:t xml:space="preserve">. </w:t>
      </w:r>
      <w:r w:rsidR="00DC48F1">
        <w:rPr>
          <w:rFonts w:ascii="Arial" w:hAnsi="Arial" w:cs="Arial"/>
          <w:sz w:val="20"/>
          <w:szCs w:val="20"/>
        </w:rPr>
        <w:t>Again Croydon (30.65</w:t>
      </w:r>
      <w:r w:rsidR="0083709D">
        <w:rPr>
          <w:rFonts w:ascii="Arial" w:hAnsi="Arial" w:cs="Arial"/>
          <w:sz w:val="20"/>
          <w:szCs w:val="20"/>
        </w:rPr>
        <w:t xml:space="preserve"> 95%CI 26.20 – 35.11</w:t>
      </w:r>
      <w:r w:rsidR="00DC48F1">
        <w:rPr>
          <w:rFonts w:ascii="Arial" w:hAnsi="Arial" w:cs="Arial"/>
          <w:sz w:val="20"/>
          <w:szCs w:val="20"/>
        </w:rPr>
        <w:t>) has a female</w:t>
      </w:r>
      <w:r w:rsidR="00F8711F">
        <w:rPr>
          <w:rFonts w:ascii="Arial" w:hAnsi="Arial" w:cs="Arial"/>
          <w:sz w:val="20"/>
          <w:szCs w:val="20"/>
        </w:rPr>
        <w:t xml:space="preserve"> incidence rate which is significantly lo</w:t>
      </w:r>
      <w:r w:rsidR="0083709D">
        <w:rPr>
          <w:rFonts w:ascii="Arial" w:hAnsi="Arial" w:cs="Arial"/>
          <w:sz w:val="20"/>
          <w:szCs w:val="20"/>
        </w:rPr>
        <w:t>wer than the national average (36</w:t>
      </w:r>
      <w:r w:rsidR="00F8711F">
        <w:rPr>
          <w:rFonts w:ascii="Arial" w:hAnsi="Arial" w:cs="Arial"/>
          <w:sz w:val="20"/>
          <w:szCs w:val="20"/>
        </w:rPr>
        <w:t>.55</w:t>
      </w:r>
      <w:r w:rsidR="0083709D">
        <w:rPr>
          <w:rFonts w:ascii="Arial" w:hAnsi="Arial" w:cs="Arial"/>
          <w:sz w:val="20"/>
          <w:szCs w:val="20"/>
        </w:rPr>
        <w:t xml:space="preserve"> 95%CI 36.17 – 36.92</w:t>
      </w:r>
      <w:r w:rsidR="00F8711F">
        <w:rPr>
          <w:rFonts w:ascii="Arial" w:hAnsi="Arial" w:cs="Arial"/>
          <w:sz w:val="20"/>
          <w:szCs w:val="20"/>
        </w:rPr>
        <w:t>).</w:t>
      </w:r>
      <w:r w:rsidR="00DC48F1">
        <w:rPr>
          <w:rFonts w:ascii="Arial" w:hAnsi="Arial" w:cs="Arial"/>
          <w:sz w:val="20"/>
          <w:szCs w:val="20"/>
        </w:rPr>
        <w:t xml:space="preserve"> </w:t>
      </w:r>
    </w:p>
    <w:p w:rsidR="00332713" w:rsidRPr="00332713" w:rsidRDefault="00332713" w:rsidP="00332713">
      <w:pPr>
        <w:pStyle w:val="Caption"/>
        <w:spacing w:after="0"/>
        <w:rPr>
          <w:rFonts w:ascii="Arial" w:hAnsi="Arial" w:cs="Arial"/>
          <w:color w:val="auto"/>
          <w:sz w:val="20"/>
          <w:szCs w:val="20"/>
        </w:rPr>
      </w:pPr>
      <w:bookmarkStart w:id="32" w:name="_Ref263863613"/>
      <w:r w:rsidRPr="00332713">
        <w:rPr>
          <w:rFonts w:ascii="Arial" w:hAnsi="Arial" w:cs="Arial"/>
          <w:color w:val="auto"/>
        </w:rPr>
        <w:t xml:space="preserve">Figure </w:t>
      </w:r>
      <w:r w:rsidR="00AF55AD" w:rsidRPr="00332713">
        <w:rPr>
          <w:rFonts w:ascii="Arial" w:hAnsi="Arial" w:cs="Arial"/>
          <w:color w:val="auto"/>
        </w:rPr>
        <w:fldChar w:fldCharType="begin"/>
      </w:r>
      <w:r w:rsidRPr="00332713">
        <w:rPr>
          <w:rFonts w:ascii="Arial" w:hAnsi="Arial" w:cs="Arial"/>
          <w:color w:val="auto"/>
        </w:rPr>
        <w:instrText xml:space="preserve"> SEQ Figure \* ARABIC </w:instrText>
      </w:r>
      <w:r w:rsidR="00AF55AD" w:rsidRPr="00332713">
        <w:rPr>
          <w:rFonts w:ascii="Arial" w:hAnsi="Arial" w:cs="Arial"/>
          <w:color w:val="auto"/>
        </w:rPr>
        <w:fldChar w:fldCharType="separate"/>
      </w:r>
      <w:r w:rsidR="004E6A50">
        <w:rPr>
          <w:rFonts w:ascii="Arial" w:hAnsi="Arial" w:cs="Arial"/>
          <w:noProof/>
          <w:color w:val="auto"/>
        </w:rPr>
        <w:t>12</w:t>
      </w:r>
      <w:r w:rsidR="00AF55AD" w:rsidRPr="00332713">
        <w:rPr>
          <w:rFonts w:ascii="Arial" w:hAnsi="Arial" w:cs="Arial"/>
          <w:color w:val="auto"/>
        </w:rPr>
        <w:fldChar w:fldCharType="end"/>
      </w:r>
      <w:bookmarkEnd w:id="32"/>
      <w:r w:rsidRPr="00332713">
        <w:rPr>
          <w:rFonts w:ascii="Arial" w:hAnsi="Arial" w:cs="Arial"/>
          <w:color w:val="auto"/>
        </w:rPr>
        <w:t xml:space="preserve">: Directly age standardised (DSR) all ages </w:t>
      </w:r>
      <w:r w:rsidR="00DC48F1">
        <w:rPr>
          <w:rFonts w:ascii="Arial" w:hAnsi="Arial" w:cs="Arial"/>
          <w:color w:val="auto"/>
        </w:rPr>
        <w:t>colorectal</w:t>
      </w:r>
      <w:r w:rsidRPr="00332713">
        <w:rPr>
          <w:rFonts w:ascii="Arial" w:hAnsi="Arial" w:cs="Arial"/>
          <w:color w:val="auto"/>
        </w:rPr>
        <w:t xml:space="preserve"> cancer incidence, 2004-06.</w:t>
      </w:r>
    </w:p>
    <w:p w:rsidR="00BD2581" w:rsidRPr="00BD2581" w:rsidRDefault="00582D70" w:rsidP="00332713">
      <w:pPr>
        <w:spacing w:after="0"/>
        <w:rPr>
          <w:rFonts w:ascii="Arial" w:hAnsi="Arial" w:cs="Arial"/>
          <w:sz w:val="20"/>
          <w:szCs w:val="20"/>
        </w:rPr>
      </w:pPr>
      <w:r w:rsidRPr="00582D70">
        <w:rPr>
          <w:rFonts w:ascii="Arial" w:hAnsi="Arial" w:cs="Arial"/>
          <w:noProof/>
          <w:sz w:val="20"/>
          <w:szCs w:val="20"/>
          <w:lang w:val="en-US"/>
        </w:rPr>
        <w:drawing>
          <wp:inline distT="0" distB="0" distL="0" distR="0">
            <wp:extent cx="5731510" cy="2133600"/>
            <wp:effectExtent l="19050" t="0" r="21590" b="0"/>
            <wp:docPr id="3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32713" w:rsidRDefault="00332713" w:rsidP="00332713">
      <w:pPr>
        <w:rPr>
          <w:rStyle w:val="foos21"/>
          <w:rFonts w:ascii="Arial" w:hAnsi="Arial" w:cs="Arial"/>
          <w:b/>
          <w:sz w:val="16"/>
          <w:szCs w:val="16"/>
        </w:rPr>
      </w:pPr>
      <w:r w:rsidRPr="00DC0D89">
        <w:rPr>
          <w:rFonts w:ascii="Arial" w:hAnsi="Arial" w:cs="Arial"/>
          <w:b/>
          <w:sz w:val="16"/>
          <w:szCs w:val="16"/>
        </w:rPr>
        <w:t xml:space="preserve">Source: </w:t>
      </w:r>
      <w:r w:rsidRPr="00DC0D89">
        <w:rPr>
          <w:rFonts w:ascii="Arial" w:hAnsi="Arial" w:cs="Arial"/>
          <w:b/>
          <w:bCs/>
          <w:sz w:val="16"/>
          <w:szCs w:val="16"/>
        </w:rPr>
        <w:t xml:space="preserve">Clinical and Health Outcomes Knowledge Base, </w:t>
      </w:r>
      <w:r w:rsidRPr="00DC0D89">
        <w:rPr>
          <w:rStyle w:val="foos21"/>
          <w:rFonts w:ascii="Arial" w:hAnsi="Arial" w:cs="Arial"/>
          <w:b/>
          <w:sz w:val="16"/>
          <w:szCs w:val="16"/>
        </w:rPr>
        <w:t>National Centre for Health Outcomes Development</w:t>
      </w:r>
      <w:r>
        <w:rPr>
          <w:rStyle w:val="foos21"/>
          <w:rFonts w:ascii="Arial" w:hAnsi="Arial" w:cs="Arial"/>
          <w:b/>
          <w:sz w:val="16"/>
          <w:szCs w:val="16"/>
        </w:rPr>
        <w:t xml:space="preserve"> (NCHOD).</w:t>
      </w:r>
    </w:p>
    <w:p w:rsidR="00DC48F1" w:rsidRDefault="00DC48F1" w:rsidP="00332713">
      <w:pPr>
        <w:rPr>
          <w:rStyle w:val="foos21"/>
          <w:rFonts w:ascii="Arial" w:hAnsi="Arial" w:cs="Arial"/>
          <w:b/>
          <w:sz w:val="16"/>
          <w:szCs w:val="16"/>
        </w:rPr>
      </w:pPr>
      <w:r>
        <w:rPr>
          <w:rFonts w:ascii="Arial" w:hAnsi="Arial" w:cs="Arial"/>
          <w:sz w:val="20"/>
          <w:szCs w:val="20"/>
        </w:rPr>
        <w:t>All other incidence rates (male and female) are comparable to the London and national average, ranging from 48.43 per 100,000 (95%CI 39.10 – 57.77) in Kingston to 54.81 (95%CI 48.25 – 61.36) in Croydon for men and from 30.65 (95%CI 26.20 – 35.11) in Croydon to 42.34 (95%CI 34.99 – 49.69) in Richmond and Twickenham for women.</w:t>
      </w:r>
    </w:p>
    <w:p w:rsidR="00AB696D" w:rsidRDefault="00AB696D" w:rsidP="001F2601">
      <w:pPr>
        <w:pStyle w:val="Heading2"/>
        <w:numPr>
          <w:ilvl w:val="1"/>
          <w:numId w:val="1"/>
        </w:numPr>
        <w:spacing w:after="240"/>
        <w:rPr>
          <w:rFonts w:ascii="Arial" w:hAnsi="Arial" w:cs="Arial"/>
          <w:color w:val="auto"/>
          <w:sz w:val="24"/>
          <w:szCs w:val="24"/>
        </w:rPr>
      </w:pPr>
      <w:bookmarkStart w:id="33" w:name="_Toc276037838"/>
      <w:r>
        <w:rPr>
          <w:rFonts w:ascii="Arial" w:hAnsi="Arial" w:cs="Arial"/>
          <w:color w:val="auto"/>
          <w:sz w:val="24"/>
          <w:szCs w:val="24"/>
        </w:rPr>
        <w:t xml:space="preserve">All age incidence </w:t>
      </w:r>
      <w:r w:rsidR="00695D53">
        <w:rPr>
          <w:rFonts w:ascii="Arial" w:hAnsi="Arial" w:cs="Arial"/>
          <w:color w:val="auto"/>
          <w:sz w:val="24"/>
          <w:szCs w:val="24"/>
        </w:rPr>
        <w:t>by PCT</w:t>
      </w:r>
      <w:r w:rsidR="006B1CA3">
        <w:rPr>
          <w:rFonts w:ascii="Arial" w:hAnsi="Arial" w:cs="Arial"/>
          <w:color w:val="auto"/>
          <w:sz w:val="24"/>
          <w:szCs w:val="24"/>
        </w:rPr>
        <w:t xml:space="preserve"> 1993-2006 (3-year rolling average)</w:t>
      </w:r>
      <w:bookmarkEnd w:id="33"/>
    </w:p>
    <w:p w:rsidR="00863E73" w:rsidRDefault="006C278D" w:rsidP="006C278D">
      <w:pPr>
        <w:rPr>
          <w:rFonts w:ascii="Arial" w:hAnsi="Arial" w:cs="Arial"/>
          <w:sz w:val="20"/>
          <w:szCs w:val="20"/>
        </w:rPr>
      </w:pPr>
      <w:r>
        <w:rPr>
          <w:rFonts w:ascii="Arial" w:hAnsi="Arial" w:cs="Arial"/>
          <w:sz w:val="20"/>
          <w:szCs w:val="20"/>
        </w:rPr>
        <w:t xml:space="preserve">The </w:t>
      </w:r>
      <w:r w:rsidR="00863E73">
        <w:rPr>
          <w:rFonts w:ascii="Arial" w:hAnsi="Arial" w:cs="Arial"/>
          <w:sz w:val="20"/>
          <w:szCs w:val="20"/>
        </w:rPr>
        <w:t>trend over</w:t>
      </w:r>
      <w:r w:rsidR="00FA2DE6">
        <w:rPr>
          <w:rFonts w:ascii="Arial" w:hAnsi="Arial" w:cs="Arial"/>
          <w:sz w:val="20"/>
          <w:szCs w:val="20"/>
        </w:rPr>
        <w:t xml:space="preserve"> time seen for males (</w:t>
      </w:r>
      <w:fldSimple w:instr=" REF _Ref263866557 \h  \* MERGEFORMAT ">
        <w:r w:rsidR="004E6A50" w:rsidRPr="004E6A50">
          <w:rPr>
            <w:rFonts w:ascii="Arial" w:hAnsi="Arial" w:cs="Arial"/>
            <w:sz w:val="20"/>
            <w:szCs w:val="20"/>
          </w:rPr>
          <w:t xml:space="preserve">Figure </w:t>
        </w:r>
        <w:r w:rsidR="004E6A50" w:rsidRPr="004E6A50">
          <w:rPr>
            <w:rFonts w:ascii="Arial" w:hAnsi="Arial" w:cs="Arial"/>
            <w:noProof/>
            <w:sz w:val="20"/>
            <w:szCs w:val="20"/>
          </w:rPr>
          <w:t>13</w:t>
        </w:r>
      </w:fldSimple>
      <w:r w:rsidR="00FA2DE6">
        <w:rPr>
          <w:rFonts w:ascii="Arial" w:hAnsi="Arial" w:cs="Arial"/>
          <w:sz w:val="20"/>
          <w:szCs w:val="20"/>
        </w:rPr>
        <w:t xml:space="preserve">) </w:t>
      </w:r>
      <w:r w:rsidR="00863E73">
        <w:rPr>
          <w:rFonts w:ascii="Arial" w:hAnsi="Arial" w:cs="Arial"/>
          <w:sz w:val="20"/>
          <w:szCs w:val="20"/>
        </w:rPr>
        <w:t>is characterised by an initial increase to a peak followed by a substantial decrease before the rate i</w:t>
      </w:r>
      <w:r w:rsidR="00FA2DE6">
        <w:rPr>
          <w:rFonts w:ascii="Arial" w:hAnsi="Arial" w:cs="Arial"/>
          <w:sz w:val="20"/>
          <w:szCs w:val="20"/>
        </w:rPr>
        <w:t>ncreases again. The timeline of change</w:t>
      </w:r>
      <w:r w:rsidR="0083709D">
        <w:rPr>
          <w:rFonts w:ascii="Arial" w:hAnsi="Arial" w:cs="Arial"/>
          <w:sz w:val="20"/>
          <w:szCs w:val="20"/>
        </w:rPr>
        <w:t xml:space="preserve"> varies</w:t>
      </w:r>
      <w:r w:rsidR="00863E73">
        <w:rPr>
          <w:rFonts w:ascii="Arial" w:hAnsi="Arial" w:cs="Arial"/>
          <w:sz w:val="20"/>
          <w:szCs w:val="20"/>
        </w:rPr>
        <w:t xml:space="preserve"> from PCT to PCT. </w:t>
      </w:r>
      <w:r w:rsidR="00FA2DE6">
        <w:rPr>
          <w:rFonts w:ascii="Arial" w:hAnsi="Arial" w:cs="Arial"/>
          <w:sz w:val="20"/>
          <w:szCs w:val="20"/>
        </w:rPr>
        <w:t xml:space="preserve">The male incidence rate in Kingston has substantially decreased since </w:t>
      </w:r>
      <w:r w:rsidR="0083709D">
        <w:rPr>
          <w:rFonts w:ascii="Arial" w:hAnsi="Arial" w:cs="Arial"/>
          <w:sz w:val="20"/>
          <w:szCs w:val="20"/>
        </w:rPr>
        <w:t>1999-</w:t>
      </w:r>
      <w:r w:rsidR="00FA2DE6">
        <w:rPr>
          <w:rFonts w:ascii="Arial" w:hAnsi="Arial" w:cs="Arial"/>
          <w:sz w:val="20"/>
          <w:szCs w:val="20"/>
        </w:rPr>
        <w:t>01</w:t>
      </w:r>
      <w:r w:rsidR="00027914">
        <w:rPr>
          <w:rFonts w:ascii="Arial" w:hAnsi="Arial" w:cs="Arial"/>
          <w:sz w:val="20"/>
          <w:szCs w:val="20"/>
        </w:rPr>
        <w:t xml:space="preserve"> (after the largest increase from 19</w:t>
      </w:r>
      <w:r w:rsidR="0083709D">
        <w:rPr>
          <w:rFonts w:ascii="Arial" w:hAnsi="Arial" w:cs="Arial"/>
          <w:sz w:val="20"/>
          <w:szCs w:val="20"/>
        </w:rPr>
        <w:t>93-</w:t>
      </w:r>
      <w:r w:rsidR="00027914">
        <w:rPr>
          <w:rFonts w:ascii="Arial" w:hAnsi="Arial" w:cs="Arial"/>
          <w:sz w:val="20"/>
          <w:szCs w:val="20"/>
        </w:rPr>
        <w:t>95)</w:t>
      </w:r>
      <w:r w:rsidR="00FA2DE6">
        <w:rPr>
          <w:rFonts w:ascii="Arial" w:hAnsi="Arial" w:cs="Arial"/>
          <w:sz w:val="20"/>
          <w:szCs w:val="20"/>
        </w:rPr>
        <w:t xml:space="preserve">, from 68.60 per 100,000 to 48.43 in 2006. </w:t>
      </w:r>
      <w:r w:rsidR="00027914">
        <w:rPr>
          <w:rFonts w:ascii="Arial" w:hAnsi="Arial" w:cs="Arial"/>
          <w:sz w:val="20"/>
          <w:szCs w:val="20"/>
        </w:rPr>
        <w:t>Croydon has followed a similar pattern with a peak reached 2 years earlier (compared to Kingston) at 56.53. However since 20</w:t>
      </w:r>
      <w:r w:rsidR="00B46400">
        <w:rPr>
          <w:rFonts w:ascii="Arial" w:hAnsi="Arial" w:cs="Arial"/>
          <w:sz w:val="20"/>
          <w:szCs w:val="20"/>
        </w:rPr>
        <w:t>01-</w:t>
      </w:r>
      <w:r w:rsidR="00027914">
        <w:rPr>
          <w:rFonts w:ascii="Arial" w:hAnsi="Arial" w:cs="Arial"/>
          <w:sz w:val="20"/>
          <w:szCs w:val="20"/>
        </w:rPr>
        <w:t xml:space="preserve">03 the male all age colorectal incidence </w:t>
      </w:r>
      <w:proofErr w:type="gramStart"/>
      <w:r w:rsidR="00027914">
        <w:rPr>
          <w:rFonts w:ascii="Arial" w:hAnsi="Arial" w:cs="Arial"/>
          <w:sz w:val="20"/>
          <w:szCs w:val="20"/>
        </w:rPr>
        <w:t>rate</w:t>
      </w:r>
      <w:proofErr w:type="gramEnd"/>
      <w:r w:rsidR="00027914">
        <w:rPr>
          <w:rFonts w:ascii="Arial" w:hAnsi="Arial" w:cs="Arial"/>
          <w:sz w:val="20"/>
          <w:szCs w:val="20"/>
        </w:rPr>
        <w:t xml:space="preserve"> </w:t>
      </w:r>
      <w:r w:rsidR="00B46400">
        <w:rPr>
          <w:rFonts w:ascii="Arial" w:hAnsi="Arial" w:cs="Arial"/>
          <w:sz w:val="20"/>
          <w:szCs w:val="20"/>
        </w:rPr>
        <w:t xml:space="preserve">in Croydon </w:t>
      </w:r>
      <w:r w:rsidR="00027914">
        <w:rPr>
          <w:rFonts w:ascii="Arial" w:hAnsi="Arial" w:cs="Arial"/>
          <w:sz w:val="20"/>
          <w:szCs w:val="20"/>
        </w:rPr>
        <w:t>has been increasing sharply from a low of 43.09 in 20</w:t>
      </w:r>
      <w:r w:rsidR="00B46400">
        <w:rPr>
          <w:rFonts w:ascii="Arial" w:hAnsi="Arial" w:cs="Arial"/>
          <w:sz w:val="20"/>
          <w:szCs w:val="20"/>
        </w:rPr>
        <w:t>01-</w:t>
      </w:r>
      <w:r w:rsidR="00027914">
        <w:rPr>
          <w:rFonts w:ascii="Arial" w:hAnsi="Arial" w:cs="Arial"/>
          <w:sz w:val="20"/>
          <w:szCs w:val="20"/>
        </w:rPr>
        <w:t>03 to 54.81 in 20</w:t>
      </w:r>
      <w:r w:rsidR="00B46400">
        <w:rPr>
          <w:rFonts w:ascii="Arial" w:hAnsi="Arial" w:cs="Arial"/>
          <w:sz w:val="20"/>
          <w:szCs w:val="20"/>
        </w:rPr>
        <w:t>04-</w:t>
      </w:r>
      <w:r w:rsidR="00027914">
        <w:rPr>
          <w:rFonts w:ascii="Arial" w:hAnsi="Arial" w:cs="Arial"/>
          <w:sz w:val="20"/>
          <w:szCs w:val="20"/>
        </w:rPr>
        <w:t>06. Wandsworth PCT also experienced a rise in incidence followed by a decrease but not a subsequent rise, levelling off at 50.55 in 20</w:t>
      </w:r>
      <w:r w:rsidR="00B46400">
        <w:rPr>
          <w:rFonts w:ascii="Arial" w:hAnsi="Arial" w:cs="Arial"/>
          <w:sz w:val="20"/>
          <w:szCs w:val="20"/>
        </w:rPr>
        <w:t>04-</w:t>
      </w:r>
      <w:r w:rsidR="00027914">
        <w:rPr>
          <w:rFonts w:ascii="Arial" w:hAnsi="Arial" w:cs="Arial"/>
          <w:sz w:val="20"/>
          <w:szCs w:val="20"/>
        </w:rPr>
        <w:t>06. The latest figures (20</w:t>
      </w:r>
      <w:r w:rsidR="00B46400">
        <w:rPr>
          <w:rFonts w:ascii="Arial" w:hAnsi="Arial" w:cs="Arial"/>
          <w:sz w:val="20"/>
          <w:szCs w:val="20"/>
        </w:rPr>
        <w:t>04-</w:t>
      </w:r>
      <w:r w:rsidR="00027914">
        <w:rPr>
          <w:rFonts w:ascii="Arial" w:hAnsi="Arial" w:cs="Arial"/>
          <w:sz w:val="20"/>
          <w:szCs w:val="20"/>
        </w:rPr>
        <w:t xml:space="preserve">06) show that all SWL PCTs have a 3-year rolling average </w:t>
      </w:r>
      <w:r w:rsidR="0023787E">
        <w:rPr>
          <w:rFonts w:ascii="Arial" w:hAnsi="Arial" w:cs="Arial"/>
          <w:sz w:val="20"/>
          <w:szCs w:val="20"/>
        </w:rPr>
        <w:t xml:space="preserve">all age incidence rate below the national average (56.54). However, compared to the London average (48.99) only Kingston has an incidence rate (41.82) below it. </w:t>
      </w:r>
    </w:p>
    <w:p w:rsidR="006C278D" w:rsidRPr="006C278D" w:rsidRDefault="006C278D" w:rsidP="006C278D">
      <w:pPr>
        <w:pStyle w:val="Caption"/>
        <w:spacing w:after="0"/>
        <w:rPr>
          <w:rFonts w:ascii="Arial" w:hAnsi="Arial" w:cs="Arial"/>
          <w:color w:val="auto"/>
        </w:rPr>
      </w:pPr>
      <w:bookmarkStart w:id="34" w:name="_Ref263866557"/>
      <w:r w:rsidRPr="006C278D">
        <w:rPr>
          <w:rFonts w:ascii="Arial" w:hAnsi="Arial" w:cs="Arial"/>
          <w:color w:val="auto"/>
        </w:rPr>
        <w:t xml:space="preserve">Figure </w:t>
      </w:r>
      <w:r w:rsidR="00AF55AD" w:rsidRPr="006C278D">
        <w:rPr>
          <w:rFonts w:ascii="Arial" w:hAnsi="Arial" w:cs="Arial"/>
          <w:color w:val="auto"/>
        </w:rPr>
        <w:fldChar w:fldCharType="begin"/>
      </w:r>
      <w:r w:rsidRPr="006C278D">
        <w:rPr>
          <w:rFonts w:ascii="Arial" w:hAnsi="Arial" w:cs="Arial"/>
          <w:color w:val="auto"/>
        </w:rPr>
        <w:instrText xml:space="preserve"> SEQ Figure \* ARABIC </w:instrText>
      </w:r>
      <w:r w:rsidR="00AF55AD" w:rsidRPr="006C278D">
        <w:rPr>
          <w:rFonts w:ascii="Arial" w:hAnsi="Arial" w:cs="Arial"/>
          <w:color w:val="auto"/>
        </w:rPr>
        <w:fldChar w:fldCharType="separate"/>
      </w:r>
      <w:r w:rsidR="004E6A50">
        <w:rPr>
          <w:rFonts w:ascii="Arial" w:hAnsi="Arial" w:cs="Arial"/>
          <w:noProof/>
          <w:color w:val="auto"/>
        </w:rPr>
        <w:t>13</w:t>
      </w:r>
      <w:r w:rsidR="00AF55AD" w:rsidRPr="006C278D">
        <w:rPr>
          <w:rFonts w:ascii="Arial" w:hAnsi="Arial" w:cs="Arial"/>
          <w:color w:val="auto"/>
        </w:rPr>
        <w:fldChar w:fldCharType="end"/>
      </w:r>
      <w:bookmarkEnd w:id="34"/>
      <w:r w:rsidRPr="006C278D">
        <w:rPr>
          <w:rFonts w:ascii="Arial" w:hAnsi="Arial" w:cs="Arial"/>
          <w:color w:val="auto"/>
        </w:rPr>
        <w:t xml:space="preserve">: Male directly age standardised (DSR) all ages </w:t>
      </w:r>
      <w:r w:rsidR="00863E73">
        <w:rPr>
          <w:rFonts w:ascii="Arial" w:hAnsi="Arial" w:cs="Arial"/>
          <w:color w:val="auto"/>
        </w:rPr>
        <w:t>colorectal</w:t>
      </w:r>
      <w:r w:rsidR="00871B3E">
        <w:rPr>
          <w:rFonts w:ascii="Arial" w:hAnsi="Arial" w:cs="Arial"/>
          <w:color w:val="auto"/>
        </w:rPr>
        <w:t xml:space="preserve"> cancer incidence, 1993-</w:t>
      </w:r>
      <w:r w:rsidR="00C77014">
        <w:rPr>
          <w:rFonts w:ascii="Arial" w:hAnsi="Arial" w:cs="Arial"/>
          <w:color w:val="auto"/>
        </w:rPr>
        <w:t xml:space="preserve"> </w:t>
      </w:r>
      <w:r w:rsidR="00C11C19">
        <w:rPr>
          <w:rFonts w:ascii="Arial" w:hAnsi="Arial" w:cs="Arial"/>
          <w:color w:val="auto"/>
        </w:rPr>
        <w:t>20</w:t>
      </w:r>
      <w:r w:rsidRPr="006C278D">
        <w:rPr>
          <w:rFonts w:ascii="Arial" w:hAnsi="Arial" w:cs="Arial"/>
          <w:color w:val="auto"/>
        </w:rPr>
        <w:t>06 3-year rolling average.</w:t>
      </w:r>
    </w:p>
    <w:p w:rsidR="00AB696D" w:rsidRDefault="0083709D" w:rsidP="006C278D">
      <w:pPr>
        <w:spacing w:after="0"/>
      </w:pPr>
      <w:r w:rsidRPr="0083709D">
        <w:rPr>
          <w:noProof/>
          <w:lang w:val="en-US"/>
        </w:rPr>
        <w:drawing>
          <wp:inline distT="0" distB="0" distL="0" distR="0">
            <wp:extent cx="5731510" cy="2716344"/>
            <wp:effectExtent l="19050" t="0" r="21590" b="7806"/>
            <wp:docPr id="3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C278D" w:rsidRDefault="006C278D" w:rsidP="006C278D">
      <w:pPr>
        <w:rPr>
          <w:rStyle w:val="foos21"/>
          <w:rFonts w:ascii="Arial" w:hAnsi="Arial" w:cs="Arial"/>
          <w:b/>
          <w:sz w:val="16"/>
          <w:szCs w:val="16"/>
        </w:rPr>
      </w:pPr>
      <w:r w:rsidRPr="00DC0D89">
        <w:rPr>
          <w:rFonts w:ascii="Arial" w:hAnsi="Arial" w:cs="Arial"/>
          <w:b/>
          <w:sz w:val="16"/>
          <w:szCs w:val="16"/>
        </w:rPr>
        <w:t xml:space="preserve">Source: </w:t>
      </w:r>
      <w:r w:rsidRPr="00DC0D89">
        <w:rPr>
          <w:rFonts w:ascii="Arial" w:hAnsi="Arial" w:cs="Arial"/>
          <w:b/>
          <w:bCs/>
          <w:sz w:val="16"/>
          <w:szCs w:val="16"/>
        </w:rPr>
        <w:t xml:space="preserve">Clinical and Health Outcomes Knowledge Base, </w:t>
      </w:r>
      <w:r w:rsidRPr="00DC0D89">
        <w:rPr>
          <w:rStyle w:val="foos21"/>
          <w:rFonts w:ascii="Arial" w:hAnsi="Arial" w:cs="Arial"/>
          <w:b/>
          <w:sz w:val="16"/>
          <w:szCs w:val="16"/>
        </w:rPr>
        <w:t>National Centre for Health Outcomes Development</w:t>
      </w:r>
      <w:r>
        <w:rPr>
          <w:rStyle w:val="foos21"/>
          <w:rFonts w:ascii="Arial" w:hAnsi="Arial" w:cs="Arial"/>
          <w:b/>
          <w:sz w:val="16"/>
          <w:szCs w:val="16"/>
        </w:rPr>
        <w:t xml:space="preserve"> (NCHOD).</w:t>
      </w:r>
    </w:p>
    <w:p w:rsidR="0023787E" w:rsidRDefault="0023787E" w:rsidP="000046E1">
      <w:pPr>
        <w:pStyle w:val="Caption"/>
        <w:spacing w:line="276" w:lineRule="auto"/>
        <w:rPr>
          <w:rFonts w:ascii="Arial" w:hAnsi="Arial" w:cs="Arial"/>
          <w:b w:val="0"/>
          <w:color w:val="auto"/>
          <w:sz w:val="20"/>
          <w:szCs w:val="20"/>
        </w:rPr>
      </w:pPr>
      <w:r>
        <w:rPr>
          <w:rFonts w:ascii="Arial" w:hAnsi="Arial" w:cs="Arial"/>
          <w:b w:val="0"/>
          <w:color w:val="auto"/>
          <w:sz w:val="20"/>
          <w:szCs w:val="20"/>
        </w:rPr>
        <w:t>Female incidence (</w:t>
      </w:r>
      <w:fldSimple w:instr=" REF _Ref263867070 \h  \* MERGEFORMAT ">
        <w:r w:rsidR="004E6A50" w:rsidRPr="004E6A50">
          <w:rPr>
            <w:rFonts w:ascii="Arial" w:hAnsi="Arial" w:cs="Arial"/>
            <w:b w:val="0"/>
            <w:color w:val="auto"/>
            <w:sz w:val="20"/>
            <w:szCs w:val="20"/>
          </w:rPr>
          <w:t xml:space="preserve">Figure </w:t>
        </w:r>
        <w:r w:rsidR="004E6A50" w:rsidRPr="004E6A50">
          <w:rPr>
            <w:rFonts w:ascii="Arial" w:hAnsi="Arial" w:cs="Arial"/>
            <w:b w:val="0"/>
            <w:noProof/>
            <w:color w:val="auto"/>
            <w:sz w:val="20"/>
            <w:szCs w:val="20"/>
          </w:rPr>
          <w:t>14</w:t>
        </w:r>
      </w:fldSimple>
      <w:r>
        <w:rPr>
          <w:rFonts w:ascii="Arial" w:hAnsi="Arial" w:cs="Arial"/>
          <w:b w:val="0"/>
          <w:color w:val="auto"/>
          <w:sz w:val="20"/>
          <w:szCs w:val="20"/>
        </w:rPr>
        <w:t>) does not show such a large variation over time compared to male incidence. Only Wandsworth shows an erratic trend, decreasing to a low of 28.63 in 19</w:t>
      </w:r>
      <w:r w:rsidR="00B46400">
        <w:rPr>
          <w:rFonts w:ascii="Arial" w:hAnsi="Arial" w:cs="Arial"/>
          <w:b w:val="0"/>
          <w:color w:val="auto"/>
          <w:sz w:val="20"/>
          <w:szCs w:val="20"/>
        </w:rPr>
        <w:t>97-</w:t>
      </w:r>
      <w:r>
        <w:rPr>
          <w:rFonts w:ascii="Arial" w:hAnsi="Arial" w:cs="Arial"/>
          <w:b w:val="0"/>
          <w:color w:val="auto"/>
          <w:sz w:val="20"/>
          <w:szCs w:val="20"/>
        </w:rPr>
        <w:t>99 before increasing to 38.91 in 20</w:t>
      </w:r>
      <w:r w:rsidR="00B46400">
        <w:rPr>
          <w:rFonts w:ascii="Arial" w:hAnsi="Arial" w:cs="Arial"/>
          <w:b w:val="0"/>
          <w:color w:val="auto"/>
          <w:sz w:val="20"/>
          <w:szCs w:val="20"/>
        </w:rPr>
        <w:t>04-</w:t>
      </w:r>
      <w:r>
        <w:rPr>
          <w:rFonts w:ascii="Arial" w:hAnsi="Arial" w:cs="Arial"/>
          <w:b w:val="0"/>
          <w:color w:val="auto"/>
          <w:sz w:val="20"/>
          <w:szCs w:val="20"/>
        </w:rPr>
        <w:t>06. Richmond &amp; Twickenham has experienced a steady increase since 19</w:t>
      </w:r>
      <w:r w:rsidR="00B46400">
        <w:rPr>
          <w:rFonts w:ascii="Arial" w:hAnsi="Arial" w:cs="Arial"/>
          <w:b w:val="0"/>
          <w:color w:val="auto"/>
          <w:sz w:val="20"/>
          <w:szCs w:val="20"/>
        </w:rPr>
        <w:t>97-</w:t>
      </w:r>
      <w:r>
        <w:rPr>
          <w:rFonts w:ascii="Arial" w:hAnsi="Arial" w:cs="Arial"/>
          <w:b w:val="0"/>
          <w:color w:val="auto"/>
          <w:sz w:val="20"/>
          <w:szCs w:val="20"/>
        </w:rPr>
        <w:t>99, from 36.16 to 42.34 in 20</w:t>
      </w:r>
      <w:r w:rsidR="00B46400">
        <w:rPr>
          <w:rFonts w:ascii="Arial" w:hAnsi="Arial" w:cs="Arial"/>
          <w:b w:val="0"/>
          <w:color w:val="auto"/>
          <w:sz w:val="20"/>
          <w:szCs w:val="20"/>
        </w:rPr>
        <w:t>04-</w:t>
      </w:r>
      <w:r>
        <w:rPr>
          <w:rFonts w:ascii="Arial" w:hAnsi="Arial" w:cs="Arial"/>
          <w:b w:val="0"/>
          <w:color w:val="auto"/>
          <w:sz w:val="20"/>
          <w:szCs w:val="20"/>
        </w:rPr>
        <w:t>06. The same can be said of Kingston increasing from 36.62 in 19</w:t>
      </w:r>
      <w:r w:rsidR="00B46400">
        <w:rPr>
          <w:rFonts w:ascii="Arial" w:hAnsi="Arial" w:cs="Arial"/>
          <w:b w:val="0"/>
          <w:color w:val="auto"/>
          <w:sz w:val="20"/>
          <w:szCs w:val="20"/>
        </w:rPr>
        <w:t>97-</w:t>
      </w:r>
      <w:r>
        <w:rPr>
          <w:rFonts w:ascii="Arial" w:hAnsi="Arial" w:cs="Arial"/>
          <w:b w:val="0"/>
          <w:color w:val="auto"/>
          <w:sz w:val="20"/>
          <w:szCs w:val="20"/>
        </w:rPr>
        <w:t>99 to 41.43 in 20</w:t>
      </w:r>
      <w:r w:rsidR="00B46400">
        <w:rPr>
          <w:rFonts w:ascii="Arial" w:hAnsi="Arial" w:cs="Arial"/>
          <w:b w:val="0"/>
          <w:color w:val="auto"/>
          <w:sz w:val="20"/>
          <w:szCs w:val="20"/>
        </w:rPr>
        <w:t>04-</w:t>
      </w:r>
      <w:r>
        <w:rPr>
          <w:rFonts w:ascii="Arial" w:hAnsi="Arial" w:cs="Arial"/>
          <w:b w:val="0"/>
          <w:color w:val="auto"/>
          <w:sz w:val="20"/>
          <w:szCs w:val="20"/>
        </w:rPr>
        <w:t>06.</w:t>
      </w:r>
      <w:r w:rsidR="00FC5858">
        <w:rPr>
          <w:rFonts w:ascii="Arial" w:hAnsi="Arial" w:cs="Arial"/>
          <w:b w:val="0"/>
          <w:color w:val="auto"/>
          <w:sz w:val="20"/>
          <w:szCs w:val="20"/>
        </w:rPr>
        <w:t xml:space="preserve"> Contrastingly Croydon has witnessed a steady decline in female incidence rates since 19</w:t>
      </w:r>
      <w:r w:rsidR="00B46400">
        <w:rPr>
          <w:rFonts w:ascii="Arial" w:hAnsi="Arial" w:cs="Arial"/>
          <w:b w:val="0"/>
          <w:color w:val="auto"/>
          <w:sz w:val="20"/>
          <w:szCs w:val="20"/>
        </w:rPr>
        <w:t>96-</w:t>
      </w:r>
      <w:r w:rsidR="00FC5858">
        <w:rPr>
          <w:rFonts w:ascii="Arial" w:hAnsi="Arial" w:cs="Arial"/>
          <w:b w:val="0"/>
          <w:color w:val="auto"/>
          <w:sz w:val="20"/>
          <w:szCs w:val="20"/>
        </w:rPr>
        <w:t>98, decreasing from 39.47 to 30.65 in 20</w:t>
      </w:r>
      <w:r w:rsidR="00B46400">
        <w:rPr>
          <w:rFonts w:ascii="Arial" w:hAnsi="Arial" w:cs="Arial"/>
          <w:b w:val="0"/>
          <w:color w:val="auto"/>
          <w:sz w:val="20"/>
          <w:szCs w:val="20"/>
        </w:rPr>
        <w:t>04-</w:t>
      </w:r>
      <w:r w:rsidR="00FC5858">
        <w:rPr>
          <w:rFonts w:ascii="Arial" w:hAnsi="Arial" w:cs="Arial"/>
          <w:b w:val="0"/>
          <w:color w:val="auto"/>
          <w:sz w:val="20"/>
          <w:szCs w:val="20"/>
        </w:rPr>
        <w:t xml:space="preserve">06. Differently to males all PCTs (except Croydon) have an incidence rate higher than national average (36.56) as well as the London average (33.59). </w:t>
      </w:r>
    </w:p>
    <w:p w:rsidR="00FC5858" w:rsidRDefault="00FC5858" w:rsidP="00FC5858"/>
    <w:p w:rsidR="009009A6" w:rsidRDefault="009009A6" w:rsidP="00FC5858"/>
    <w:p w:rsidR="00FC5858" w:rsidRDefault="00FC5858" w:rsidP="00FC5858"/>
    <w:p w:rsidR="006C278D" w:rsidRPr="006C278D" w:rsidRDefault="006C278D" w:rsidP="006C278D">
      <w:pPr>
        <w:pStyle w:val="Caption"/>
        <w:spacing w:after="0"/>
        <w:rPr>
          <w:rFonts w:ascii="Arial" w:hAnsi="Arial" w:cs="Arial"/>
          <w:color w:val="auto"/>
        </w:rPr>
      </w:pPr>
      <w:bookmarkStart w:id="35" w:name="_Ref263867070"/>
      <w:r w:rsidRPr="006C278D">
        <w:rPr>
          <w:rFonts w:ascii="Arial" w:hAnsi="Arial" w:cs="Arial"/>
          <w:color w:val="auto"/>
        </w:rPr>
        <w:t xml:space="preserve">Figure </w:t>
      </w:r>
      <w:r w:rsidR="00AF55AD" w:rsidRPr="006C278D">
        <w:rPr>
          <w:rFonts w:ascii="Arial" w:hAnsi="Arial" w:cs="Arial"/>
          <w:color w:val="auto"/>
        </w:rPr>
        <w:fldChar w:fldCharType="begin"/>
      </w:r>
      <w:r w:rsidRPr="006C278D">
        <w:rPr>
          <w:rFonts w:ascii="Arial" w:hAnsi="Arial" w:cs="Arial"/>
          <w:color w:val="auto"/>
        </w:rPr>
        <w:instrText xml:space="preserve"> SEQ Figure \* ARABIC </w:instrText>
      </w:r>
      <w:r w:rsidR="00AF55AD" w:rsidRPr="006C278D">
        <w:rPr>
          <w:rFonts w:ascii="Arial" w:hAnsi="Arial" w:cs="Arial"/>
          <w:color w:val="auto"/>
        </w:rPr>
        <w:fldChar w:fldCharType="separate"/>
      </w:r>
      <w:r w:rsidR="004E6A50">
        <w:rPr>
          <w:rFonts w:ascii="Arial" w:hAnsi="Arial" w:cs="Arial"/>
          <w:noProof/>
          <w:color w:val="auto"/>
        </w:rPr>
        <w:t>14</w:t>
      </w:r>
      <w:r w:rsidR="00AF55AD" w:rsidRPr="006C278D">
        <w:rPr>
          <w:rFonts w:ascii="Arial" w:hAnsi="Arial" w:cs="Arial"/>
          <w:color w:val="auto"/>
        </w:rPr>
        <w:fldChar w:fldCharType="end"/>
      </w:r>
      <w:bookmarkEnd w:id="35"/>
      <w:r w:rsidRPr="006C278D">
        <w:rPr>
          <w:rFonts w:ascii="Arial" w:hAnsi="Arial" w:cs="Arial"/>
          <w:color w:val="auto"/>
        </w:rPr>
        <w:t xml:space="preserve">: </w:t>
      </w:r>
      <w:r>
        <w:rPr>
          <w:rFonts w:ascii="Arial" w:hAnsi="Arial" w:cs="Arial"/>
          <w:color w:val="auto"/>
        </w:rPr>
        <w:t>Fem</w:t>
      </w:r>
      <w:r w:rsidRPr="006C278D">
        <w:rPr>
          <w:rFonts w:ascii="Arial" w:hAnsi="Arial" w:cs="Arial"/>
          <w:color w:val="auto"/>
        </w:rPr>
        <w:t xml:space="preserve">ale directly age standardised (DSR) all ages </w:t>
      </w:r>
      <w:r w:rsidR="009065CF">
        <w:rPr>
          <w:rFonts w:ascii="Arial" w:hAnsi="Arial" w:cs="Arial"/>
          <w:color w:val="auto"/>
        </w:rPr>
        <w:t>colorectal</w:t>
      </w:r>
      <w:r w:rsidRPr="006C278D">
        <w:rPr>
          <w:rFonts w:ascii="Arial" w:hAnsi="Arial" w:cs="Arial"/>
          <w:color w:val="auto"/>
        </w:rPr>
        <w:t xml:space="preserve"> cancer incidence, 1993-</w:t>
      </w:r>
      <w:r w:rsidR="00C11C19">
        <w:rPr>
          <w:rFonts w:ascii="Arial" w:hAnsi="Arial" w:cs="Arial"/>
          <w:color w:val="auto"/>
        </w:rPr>
        <w:t>20</w:t>
      </w:r>
      <w:r w:rsidRPr="006C278D">
        <w:rPr>
          <w:rFonts w:ascii="Arial" w:hAnsi="Arial" w:cs="Arial"/>
          <w:color w:val="auto"/>
        </w:rPr>
        <w:t>06 3-year rolling average.</w:t>
      </w:r>
    </w:p>
    <w:p w:rsidR="006C278D" w:rsidRDefault="00B46400" w:rsidP="006C278D">
      <w:pPr>
        <w:spacing w:after="0"/>
      </w:pPr>
      <w:r w:rsidRPr="00B46400">
        <w:rPr>
          <w:noProof/>
          <w:lang w:val="en-US"/>
        </w:rPr>
        <w:drawing>
          <wp:inline distT="0" distB="0" distL="0" distR="0">
            <wp:extent cx="5731510" cy="2792886"/>
            <wp:effectExtent l="19050" t="0" r="21590" b="7464"/>
            <wp:docPr id="3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C278D" w:rsidRDefault="006C278D" w:rsidP="006C278D">
      <w:pPr>
        <w:rPr>
          <w:rStyle w:val="foos21"/>
          <w:rFonts w:ascii="Arial" w:hAnsi="Arial" w:cs="Arial"/>
          <w:b/>
          <w:sz w:val="16"/>
          <w:szCs w:val="16"/>
        </w:rPr>
      </w:pPr>
      <w:r w:rsidRPr="00DC0D89">
        <w:rPr>
          <w:rFonts w:ascii="Arial" w:hAnsi="Arial" w:cs="Arial"/>
          <w:b/>
          <w:sz w:val="16"/>
          <w:szCs w:val="16"/>
        </w:rPr>
        <w:t xml:space="preserve">Source: </w:t>
      </w:r>
      <w:r w:rsidRPr="00DC0D89">
        <w:rPr>
          <w:rFonts w:ascii="Arial" w:hAnsi="Arial" w:cs="Arial"/>
          <w:b/>
          <w:bCs/>
          <w:sz w:val="16"/>
          <w:szCs w:val="16"/>
        </w:rPr>
        <w:t xml:space="preserve">Clinical and Health Outcomes Knowledge Base, </w:t>
      </w:r>
      <w:r w:rsidRPr="00DC0D89">
        <w:rPr>
          <w:rStyle w:val="foos21"/>
          <w:rFonts w:ascii="Arial" w:hAnsi="Arial" w:cs="Arial"/>
          <w:b/>
          <w:sz w:val="16"/>
          <w:szCs w:val="16"/>
        </w:rPr>
        <w:t>National Centre for Health Outcomes Development</w:t>
      </w:r>
      <w:r>
        <w:rPr>
          <w:rStyle w:val="foos21"/>
          <w:rFonts w:ascii="Arial" w:hAnsi="Arial" w:cs="Arial"/>
          <w:b/>
          <w:sz w:val="16"/>
          <w:szCs w:val="16"/>
        </w:rPr>
        <w:t xml:space="preserve"> (NCHOD).</w:t>
      </w:r>
    </w:p>
    <w:p w:rsidR="00696101" w:rsidRPr="00696101" w:rsidRDefault="00696101" w:rsidP="00696101"/>
    <w:p w:rsidR="00AB696D" w:rsidRDefault="00AB696D" w:rsidP="00332713">
      <w:pPr>
        <w:rPr>
          <w:rFonts w:ascii="Arial" w:hAnsi="Arial" w:cs="Arial"/>
          <w:sz w:val="20"/>
          <w:szCs w:val="20"/>
        </w:rPr>
      </w:pPr>
    </w:p>
    <w:p w:rsidR="00AB696D" w:rsidRDefault="00AB696D" w:rsidP="00332713">
      <w:pPr>
        <w:rPr>
          <w:rStyle w:val="foos21"/>
          <w:rFonts w:ascii="Arial" w:hAnsi="Arial" w:cs="Arial"/>
          <w:b/>
          <w:sz w:val="16"/>
          <w:szCs w:val="16"/>
        </w:rPr>
      </w:pPr>
    </w:p>
    <w:p w:rsidR="009762A1" w:rsidRDefault="009762A1" w:rsidP="00DC0D89">
      <w:pPr>
        <w:rPr>
          <w:rFonts w:ascii="Arial" w:hAnsi="Arial" w:cs="Arial"/>
          <w:sz w:val="20"/>
          <w:szCs w:val="20"/>
        </w:rPr>
      </w:pPr>
    </w:p>
    <w:p w:rsidR="009762A1" w:rsidRDefault="009762A1" w:rsidP="00DC0D89">
      <w:pPr>
        <w:rPr>
          <w:rFonts w:ascii="Arial" w:hAnsi="Arial" w:cs="Arial"/>
          <w:sz w:val="20"/>
          <w:szCs w:val="20"/>
        </w:rPr>
      </w:pPr>
    </w:p>
    <w:p w:rsidR="009762A1" w:rsidRDefault="009762A1" w:rsidP="00DC0D89">
      <w:pPr>
        <w:rPr>
          <w:rFonts w:ascii="Arial" w:hAnsi="Arial" w:cs="Arial"/>
          <w:sz w:val="20"/>
          <w:szCs w:val="20"/>
        </w:rPr>
      </w:pPr>
    </w:p>
    <w:p w:rsidR="009762A1" w:rsidRDefault="009762A1" w:rsidP="00DC0D89">
      <w:pPr>
        <w:rPr>
          <w:rFonts w:ascii="Arial" w:hAnsi="Arial" w:cs="Arial"/>
          <w:sz w:val="20"/>
          <w:szCs w:val="20"/>
        </w:rPr>
      </w:pPr>
    </w:p>
    <w:p w:rsidR="009762A1" w:rsidRDefault="009762A1" w:rsidP="00DC0D89">
      <w:pPr>
        <w:rPr>
          <w:rFonts w:ascii="Arial" w:hAnsi="Arial" w:cs="Arial"/>
          <w:sz w:val="20"/>
          <w:szCs w:val="20"/>
        </w:rPr>
      </w:pPr>
    </w:p>
    <w:p w:rsidR="009762A1" w:rsidRDefault="009762A1" w:rsidP="00DC0D89">
      <w:pPr>
        <w:rPr>
          <w:rFonts w:ascii="Arial" w:hAnsi="Arial" w:cs="Arial"/>
          <w:sz w:val="20"/>
          <w:szCs w:val="20"/>
        </w:rPr>
      </w:pPr>
    </w:p>
    <w:p w:rsidR="009762A1" w:rsidRDefault="009762A1" w:rsidP="00DC0D89">
      <w:pPr>
        <w:rPr>
          <w:rFonts w:ascii="Arial" w:hAnsi="Arial" w:cs="Arial"/>
          <w:sz w:val="20"/>
          <w:szCs w:val="20"/>
        </w:rPr>
      </w:pPr>
    </w:p>
    <w:p w:rsidR="009762A1" w:rsidRDefault="009762A1" w:rsidP="00DC0D89">
      <w:pPr>
        <w:rPr>
          <w:rFonts w:ascii="Arial" w:hAnsi="Arial" w:cs="Arial"/>
          <w:sz w:val="20"/>
          <w:szCs w:val="20"/>
        </w:rPr>
      </w:pPr>
    </w:p>
    <w:p w:rsidR="009762A1" w:rsidRDefault="009762A1" w:rsidP="00DC0D89">
      <w:pPr>
        <w:rPr>
          <w:rFonts w:ascii="Arial" w:hAnsi="Arial" w:cs="Arial"/>
          <w:sz w:val="20"/>
          <w:szCs w:val="20"/>
        </w:rPr>
      </w:pPr>
    </w:p>
    <w:p w:rsidR="009762A1" w:rsidRDefault="009762A1" w:rsidP="00DC0D89">
      <w:pPr>
        <w:rPr>
          <w:rFonts w:ascii="Arial" w:hAnsi="Arial" w:cs="Arial"/>
          <w:sz w:val="20"/>
          <w:szCs w:val="20"/>
        </w:rPr>
      </w:pPr>
    </w:p>
    <w:p w:rsidR="009762A1" w:rsidRDefault="009762A1" w:rsidP="00DC0D89">
      <w:pPr>
        <w:rPr>
          <w:rFonts w:ascii="Arial" w:hAnsi="Arial" w:cs="Arial"/>
          <w:sz w:val="20"/>
          <w:szCs w:val="20"/>
        </w:rPr>
      </w:pPr>
    </w:p>
    <w:p w:rsidR="00232EF2" w:rsidRDefault="00232EF2" w:rsidP="00DC0D89">
      <w:pPr>
        <w:rPr>
          <w:rFonts w:ascii="Arial" w:hAnsi="Arial" w:cs="Arial"/>
          <w:sz w:val="20"/>
          <w:szCs w:val="20"/>
        </w:rPr>
      </w:pPr>
    </w:p>
    <w:p w:rsidR="00232EF2" w:rsidRDefault="00232EF2" w:rsidP="00DC0D89">
      <w:pPr>
        <w:rPr>
          <w:rFonts w:ascii="Arial" w:hAnsi="Arial" w:cs="Arial"/>
          <w:sz w:val="20"/>
          <w:szCs w:val="20"/>
        </w:rPr>
      </w:pPr>
    </w:p>
    <w:p w:rsidR="00232EF2" w:rsidRDefault="00232EF2" w:rsidP="00DC0D89">
      <w:pPr>
        <w:rPr>
          <w:rFonts w:ascii="Arial" w:hAnsi="Arial" w:cs="Arial"/>
          <w:sz w:val="20"/>
          <w:szCs w:val="20"/>
        </w:rPr>
      </w:pPr>
    </w:p>
    <w:p w:rsidR="00232EF2" w:rsidRDefault="00232EF2" w:rsidP="00DC0D89">
      <w:pPr>
        <w:rPr>
          <w:rFonts w:ascii="Arial" w:hAnsi="Arial" w:cs="Arial"/>
          <w:sz w:val="20"/>
          <w:szCs w:val="20"/>
        </w:rPr>
      </w:pPr>
    </w:p>
    <w:p w:rsidR="00232EF2" w:rsidRPr="00A655EC" w:rsidRDefault="00A71A9D" w:rsidP="001F2601">
      <w:pPr>
        <w:pStyle w:val="Heading1"/>
        <w:numPr>
          <w:ilvl w:val="0"/>
          <w:numId w:val="1"/>
        </w:numPr>
        <w:spacing w:after="240"/>
        <w:rPr>
          <w:rStyle w:val="foos21"/>
          <w:rFonts w:ascii="Arial" w:hAnsi="Arial" w:cs="Arial"/>
          <w:color w:val="auto"/>
          <w:sz w:val="28"/>
          <w:szCs w:val="16"/>
        </w:rPr>
      </w:pPr>
      <w:bookmarkStart w:id="36" w:name="_Toc276037839"/>
      <w:r>
        <w:rPr>
          <w:rStyle w:val="foos21"/>
          <w:rFonts w:ascii="Arial" w:hAnsi="Arial" w:cs="Arial"/>
          <w:color w:val="auto"/>
          <w:sz w:val="28"/>
          <w:szCs w:val="16"/>
        </w:rPr>
        <w:t>Colorectal</w:t>
      </w:r>
      <w:r w:rsidR="00232EF2" w:rsidRPr="00A655EC">
        <w:rPr>
          <w:rStyle w:val="foos21"/>
          <w:rFonts w:ascii="Arial" w:hAnsi="Arial" w:cs="Arial"/>
          <w:color w:val="auto"/>
          <w:sz w:val="28"/>
          <w:szCs w:val="16"/>
        </w:rPr>
        <w:t xml:space="preserve"> Cancer Prevalence</w:t>
      </w:r>
      <w:r w:rsidR="006B1CA3">
        <w:rPr>
          <w:rStyle w:val="foos21"/>
          <w:rFonts w:ascii="Arial" w:hAnsi="Arial" w:cs="Arial"/>
          <w:color w:val="auto"/>
          <w:sz w:val="28"/>
          <w:szCs w:val="16"/>
        </w:rPr>
        <w:t xml:space="preserve"> 2006</w:t>
      </w:r>
      <w:bookmarkEnd w:id="36"/>
    </w:p>
    <w:p w:rsidR="00232EF2" w:rsidRDefault="00232EF2" w:rsidP="00232EF2">
      <w:pPr>
        <w:rPr>
          <w:rFonts w:ascii="Arial" w:hAnsi="Arial" w:cs="Arial"/>
          <w:sz w:val="20"/>
          <w:szCs w:val="20"/>
        </w:rPr>
      </w:pPr>
      <w:r w:rsidRPr="004F3354">
        <w:rPr>
          <w:rFonts w:ascii="Arial" w:hAnsi="Arial" w:cs="Arial"/>
          <w:sz w:val="20"/>
          <w:szCs w:val="20"/>
        </w:rPr>
        <w:t>Can</w:t>
      </w:r>
      <w:r w:rsidRPr="00A655EC">
        <w:rPr>
          <w:rFonts w:ascii="Arial" w:hAnsi="Arial" w:cs="Arial"/>
          <w:sz w:val="20"/>
          <w:szCs w:val="20"/>
        </w:rPr>
        <w:t xml:space="preserve">cer prevalence refers to the number of people who have previously received a diagnosis of cancer and who are still alive at a given time point. Some of these patients will have been cured and others will not. Therefore prevalence reflects both the incidence of cancer and its associated </w:t>
      </w:r>
      <w:hyperlink r:id="rId27" w:history="1">
        <w:r w:rsidRPr="00A655EC">
          <w:rPr>
            <w:rStyle w:val="Hyperlink"/>
            <w:rFonts w:ascii="Arial" w:hAnsi="Arial" w:cs="Arial"/>
            <w:color w:val="auto"/>
            <w:sz w:val="20"/>
            <w:szCs w:val="20"/>
            <w:u w:val="none"/>
            <w:shd w:val="clear" w:color="auto" w:fill="FFFFFF"/>
          </w:rPr>
          <w:t>survival</w:t>
        </w:r>
      </w:hyperlink>
      <w:r w:rsidRPr="00A655EC">
        <w:rPr>
          <w:rFonts w:ascii="Arial" w:hAnsi="Arial" w:cs="Arial"/>
          <w:sz w:val="20"/>
          <w:szCs w:val="20"/>
        </w:rPr>
        <w:t xml:space="preserve"> pattern.</w:t>
      </w:r>
    </w:p>
    <w:p w:rsidR="00B508A2" w:rsidRDefault="00B508A2" w:rsidP="001F2601">
      <w:pPr>
        <w:pStyle w:val="Heading2"/>
        <w:numPr>
          <w:ilvl w:val="1"/>
          <w:numId w:val="1"/>
        </w:numPr>
        <w:spacing w:after="240"/>
        <w:rPr>
          <w:rFonts w:ascii="Arial" w:hAnsi="Arial" w:cs="Arial"/>
          <w:color w:val="auto"/>
          <w:sz w:val="24"/>
          <w:szCs w:val="24"/>
        </w:rPr>
      </w:pPr>
      <w:bookmarkStart w:id="37" w:name="_Toc271548723"/>
      <w:bookmarkStart w:id="38" w:name="_Toc271719112"/>
      <w:bookmarkStart w:id="39" w:name="_Toc276037840"/>
      <w:r w:rsidRPr="00C3264E">
        <w:rPr>
          <w:rFonts w:ascii="Arial" w:hAnsi="Arial" w:cs="Arial"/>
          <w:color w:val="auto"/>
          <w:sz w:val="24"/>
          <w:szCs w:val="24"/>
        </w:rPr>
        <w:t>One-year prevalence</w:t>
      </w:r>
      <w:r>
        <w:rPr>
          <w:rFonts w:ascii="Arial" w:hAnsi="Arial" w:cs="Arial"/>
          <w:color w:val="auto"/>
          <w:sz w:val="24"/>
          <w:szCs w:val="24"/>
        </w:rPr>
        <w:t xml:space="preserve"> by Cancer Network</w:t>
      </w:r>
      <w:bookmarkEnd w:id="37"/>
      <w:bookmarkEnd w:id="38"/>
      <w:bookmarkEnd w:id="39"/>
    </w:p>
    <w:p w:rsidR="00B508A2" w:rsidRDefault="00B54828" w:rsidP="00B508A2">
      <w:pPr>
        <w:rPr>
          <w:rFonts w:ascii="Arial" w:hAnsi="Arial" w:cs="Arial"/>
          <w:sz w:val="20"/>
          <w:szCs w:val="20"/>
        </w:rPr>
      </w:pPr>
      <w:r>
        <w:rPr>
          <w:rFonts w:ascii="Arial" w:hAnsi="Arial" w:cs="Arial"/>
          <w:sz w:val="20"/>
          <w:szCs w:val="20"/>
        </w:rPr>
        <w:t>In 2006 the SWLCN had the high</w:t>
      </w:r>
      <w:r w:rsidR="00B508A2" w:rsidRPr="00B508A2">
        <w:rPr>
          <w:rFonts w:ascii="Arial" w:hAnsi="Arial" w:cs="Arial"/>
          <w:sz w:val="20"/>
          <w:szCs w:val="20"/>
        </w:rPr>
        <w:t xml:space="preserve">est male age standardised prevalence of </w:t>
      </w:r>
      <w:r>
        <w:rPr>
          <w:rFonts w:ascii="Arial" w:hAnsi="Arial" w:cs="Arial"/>
          <w:sz w:val="20"/>
          <w:szCs w:val="20"/>
        </w:rPr>
        <w:t>colorectal</w:t>
      </w:r>
      <w:r w:rsidR="00B508A2" w:rsidRPr="00B508A2">
        <w:rPr>
          <w:rFonts w:ascii="Arial" w:hAnsi="Arial" w:cs="Arial"/>
          <w:sz w:val="20"/>
          <w:szCs w:val="20"/>
        </w:rPr>
        <w:t xml:space="preserve"> cancer in London </w:t>
      </w:r>
      <w:r w:rsidR="00F83092">
        <w:rPr>
          <w:rFonts w:ascii="Arial" w:hAnsi="Arial" w:cs="Arial"/>
          <w:sz w:val="20"/>
          <w:szCs w:val="20"/>
        </w:rPr>
        <w:t xml:space="preserve">at 40.0 per 100,000 </w:t>
      </w:r>
      <w:proofErr w:type="gramStart"/>
      <w:r w:rsidR="00F83092">
        <w:rPr>
          <w:rFonts w:ascii="Arial" w:hAnsi="Arial" w:cs="Arial"/>
          <w:sz w:val="20"/>
          <w:szCs w:val="20"/>
        </w:rPr>
        <w:t>population</w:t>
      </w:r>
      <w:proofErr w:type="gramEnd"/>
      <w:r w:rsidR="00F83092">
        <w:rPr>
          <w:rFonts w:ascii="Arial" w:hAnsi="Arial" w:cs="Arial"/>
          <w:sz w:val="20"/>
          <w:szCs w:val="20"/>
        </w:rPr>
        <w:t xml:space="preserve"> </w:t>
      </w:r>
      <w:r w:rsidR="00B508A2" w:rsidRPr="00B508A2">
        <w:rPr>
          <w:rFonts w:ascii="Arial" w:hAnsi="Arial" w:cs="Arial"/>
          <w:sz w:val="20"/>
          <w:szCs w:val="20"/>
        </w:rPr>
        <w:t>(</w:t>
      </w:r>
      <w:fldSimple w:instr=" REF _Ref271722744 \h  \* MERGEFORMAT ">
        <w:r w:rsidR="004E6A50" w:rsidRPr="004E6A50">
          <w:rPr>
            <w:rFonts w:ascii="Arial" w:hAnsi="Arial" w:cs="Arial"/>
            <w:sz w:val="20"/>
            <w:szCs w:val="20"/>
          </w:rPr>
          <w:t xml:space="preserve">Table </w:t>
        </w:r>
        <w:r w:rsidR="004E6A50" w:rsidRPr="004E6A50">
          <w:rPr>
            <w:rFonts w:ascii="Arial" w:hAnsi="Arial" w:cs="Arial"/>
            <w:noProof/>
            <w:sz w:val="20"/>
            <w:szCs w:val="20"/>
          </w:rPr>
          <w:t>1</w:t>
        </w:r>
      </w:fldSimple>
      <w:r w:rsidR="00B508A2" w:rsidRPr="00B508A2">
        <w:rPr>
          <w:rFonts w:ascii="Arial" w:hAnsi="Arial" w:cs="Arial"/>
          <w:sz w:val="20"/>
          <w:szCs w:val="20"/>
        </w:rPr>
        <w:t>)</w:t>
      </w:r>
      <w:r w:rsidR="00F83092">
        <w:rPr>
          <w:rFonts w:ascii="Arial" w:hAnsi="Arial" w:cs="Arial"/>
          <w:sz w:val="20"/>
          <w:szCs w:val="20"/>
        </w:rPr>
        <w:t>, however the confidence intervals are wide</w:t>
      </w:r>
      <w:r w:rsidR="00B508A2" w:rsidRPr="00B508A2">
        <w:rPr>
          <w:rFonts w:ascii="Arial" w:hAnsi="Arial" w:cs="Arial"/>
          <w:sz w:val="20"/>
          <w:szCs w:val="20"/>
        </w:rPr>
        <w:t xml:space="preserve">. </w:t>
      </w:r>
      <w:r>
        <w:rPr>
          <w:rFonts w:ascii="Arial" w:hAnsi="Arial" w:cs="Arial"/>
          <w:sz w:val="20"/>
          <w:szCs w:val="20"/>
        </w:rPr>
        <w:t>In terms of actual numbers the highest prevalence is also in SWL.</w:t>
      </w:r>
    </w:p>
    <w:p w:rsidR="00B54828" w:rsidRPr="00B54828" w:rsidRDefault="00B54828" w:rsidP="00B54828">
      <w:pPr>
        <w:pStyle w:val="Caption"/>
        <w:spacing w:after="0"/>
        <w:rPr>
          <w:rFonts w:ascii="Arial" w:hAnsi="Arial" w:cs="Arial"/>
          <w:color w:val="auto"/>
          <w:sz w:val="20"/>
          <w:szCs w:val="20"/>
        </w:rPr>
      </w:pPr>
      <w:bookmarkStart w:id="40" w:name="_Ref271722744"/>
      <w:r w:rsidRPr="00B54828">
        <w:rPr>
          <w:rFonts w:ascii="Arial" w:hAnsi="Arial" w:cs="Arial"/>
          <w:color w:val="auto"/>
        </w:rPr>
        <w:t xml:space="preserve">Table </w:t>
      </w:r>
      <w:r w:rsidR="00AF55AD" w:rsidRPr="00B54828">
        <w:rPr>
          <w:rFonts w:ascii="Arial" w:hAnsi="Arial" w:cs="Arial"/>
          <w:color w:val="auto"/>
        </w:rPr>
        <w:fldChar w:fldCharType="begin"/>
      </w:r>
      <w:r w:rsidRPr="00B54828">
        <w:rPr>
          <w:rFonts w:ascii="Arial" w:hAnsi="Arial" w:cs="Arial"/>
          <w:color w:val="auto"/>
        </w:rPr>
        <w:instrText xml:space="preserve"> SEQ Table \* ARABIC </w:instrText>
      </w:r>
      <w:r w:rsidR="00AF55AD" w:rsidRPr="00B54828">
        <w:rPr>
          <w:rFonts w:ascii="Arial" w:hAnsi="Arial" w:cs="Arial"/>
          <w:color w:val="auto"/>
        </w:rPr>
        <w:fldChar w:fldCharType="separate"/>
      </w:r>
      <w:r w:rsidR="004E6A50">
        <w:rPr>
          <w:rFonts w:ascii="Arial" w:hAnsi="Arial" w:cs="Arial"/>
          <w:noProof/>
          <w:color w:val="auto"/>
        </w:rPr>
        <w:t>1</w:t>
      </w:r>
      <w:r w:rsidR="00AF55AD" w:rsidRPr="00B54828">
        <w:rPr>
          <w:rFonts w:ascii="Arial" w:hAnsi="Arial" w:cs="Arial"/>
          <w:color w:val="auto"/>
        </w:rPr>
        <w:fldChar w:fldCharType="end"/>
      </w:r>
      <w:bookmarkEnd w:id="40"/>
      <w:r w:rsidRPr="00B54828">
        <w:rPr>
          <w:rFonts w:ascii="Arial" w:hAnsi="Arial" w:cs="Arial"/>
          <w:color w:val="auto"/>
        </w:rPr>
        <w:t>: Male age standardised colorectal cancer prevalence, 2006.</w:t>
      </w:r>
    </w:p>
    <w:tbl>
      <w:tblPr>
        <w:tblStyle w:val="TableGrid"/>
        <w:tblW w:w="0" w:type="auto"/>
        <w:tblLook w:val="04A0"/>
      </w:tblPr>
      <w:tblGrid>
        <w:gridCol w:w="1668"/>
        <w:gridCol w:w="1559"/>
        <w:gridCol w:w="1843"/>
        <w:gridCol w:w="1090"/>
        <w:gridCol w:w="1541"/>
        <w:gridCol w:w="1541"/>
      </w:tblGrid>
      <w:tr w:rsidR="00B508A2" w:rsidTr="0084398D">
        <w:tc>
          <w:tcPr>
            <w:tcW w:w="1668" w:type="dxa"/>
          </w:tcPr>
          <w:p w:rsidR="00B508A2" w:rsidRDefault="00B508A2" w:rsidP="00B54828">
            <w:pPr>
              <w:rPr>
                <w:rFonts w:ascii="Arial" w:hAnsi="Arial" w:cs="Arial"/>
                <w:sz w:val="20"/>
                <w:szCs w:val="20"/>
              </w:rPr>
            </w:pPr>
            <w:r>
              <w:rPr>
                <w:rFonts w:ascii="Arial" w:hAnsi="Arial" w:cs="Arial"/>
                <w:sz w:val="20"/>
                <w:szCs w:val="20"/>
              </w:rPr>
              <w:t>Cancer Network</w:t>
            </w:r>
          </w:p>
        </w:tc>
        <w:tc>
          <w:tcPr>
            <w:tcW w:w="1559" w:type="dxa"/>
          </w:tcPr>
          <w:p w:rsidR="00B508A2" w:rsidRDefault="00B508A2" w:rsidP="0084398D">
            <w:pPr>
              <w:rPr>
                <w:rFonts w:ascii="Arial" w:hAnsi="Arial" w:cs="Arial"/>
                <w:sz w:val="20"/>
                <w:szCs w:val="20"/>
              </w:rPr>
            </w:pPr>
            <w:r>
              <w:rPr>
                <w:rFonts w:ascii="Arial" w:hAnsi="Arial" w:cs="Arial"/>
                <w:sz w:val="20"/>
                <w:szCs w:val="20"/>
              </w:rPr>
              <w:t>No. of patients</w:t>
            </w:r>
          </w:p>
        </w:tc>
        <w:tc>
          <w:tcPr>
            <w:tcW w:w="1843" w:type="dxa"/>
          </w:tcPr>
          <w:p w:rsidR="00B508A2" w:rsidRDefault="00B508A2" w:rsidP="0084398D">
            <w:pPr>
              <w:rPr>
                <w:rFonts w:ascii="Arial" w:hAnsi="Arial" w:cs="Arial"/>
                <w:sz w:val="20"/>
                <w:szCs w:val="20"/>
              </w:rPr>
            </w:pPr>
            <w:r>
              <w:rPr>
                <w:rFonts w:ascii="Arial" w:hAnsi="Arial" w:cs="Arial"/>
                <w:sz w:val="20"/>
                <w:szCs w:val="20"/>
              </w:rPr>
              <w:t>Crude Prevalence</w:t>
            </w:r>
          </w:p>
        </w:tc>
        <w:tc>
          <w:tcPr>
            <w:tcW w:w="1090" w:type="dxa"/>
            <w:shd w:val="clear" w:color="auto" w:fill="A6A6A6" w:themeFill="background1" w:themeFillShade="A6"/>
          </w:tcPr>
          <w:p w:rsidR="00B508A2" w:rsidRDefault="00B508A2" w:rsidP="0084398D">
            <w:pPr>
              <w:rPr>
                <w:rFonts w:ascii="Arial" w:hAnsi="Arial" w:cs="Arial"/>
                <w:sz w:val="20"/>
                <w:szCs w:val="20"/>
              </w:rPr>
            </w:pPr>
            <w:r>
              <w:rPr>
                <w:rFonts w:ascii="Arial" w:hAnsi="Arial" w:cs="Arial"/>
                <w:sz w:val="20"/>
                <w:szCs w:val="20"/>
              </w:rPr>
              <w:t>ASP*</w:t>
            </w:r>
          </w:p>
        </w:tc>
        <w:tc>
          <w:tcPr>
            <w:tcW w:w="1541" w:type="dxa"/>
          </w:tcPr>
          <w:p w:rsidR="00B508A2" w:rsidRDefault="00B508A2" w:rsidP="0084398D">
            <w:pPr>
              <w:rPr>
                <w:rFonts w:ascii="Arial" w:hAnsi="Arial" w:cs="Arial"/>
                <w:sz w:val="20"/>
                <w:szCs w:val="20"/>
              </w:rPr>
            </w:pPr>
            <w:r>
              <w:rPr>
                <w:rFonts w:ascii="Arial" w:hAnsi="Arial" w:cs="Arial"/>
                <w:sz w:val="20"/>
                <w:szCs w:val="20"/>
              </w:rPr>
              <w:t>95% Lower CI</w:t>
            </w:r>
          </w:p>
        </w:tc>
        <w:tc>
          <w:tcPr>
            <w:tcW w:w="1541" w:type="dxa"/>
          </w:tcPr>
          <w:p w:rsidR="00B508A2" w:rsidRDefault="00B508A2" w:rsidP="0084398D">
            <w:pPr>
              <w:rPr>
                <w:rFonts w:ascii="Arial" w:hAnsi="Arial" w:cs="Arial"/>
                <w:sz w:val="20"/>
                <w:szCs w:val="20"/>
              </w:rPr>
            </w:pPr>
            <w:r>
              <w:rPr>
                <w:rFonts w:ascii="Arial" w:hAnsi="Arial" w:cs="Arial"/>
                <w:sz w:val="20"/>
                <w:szCs w:val="20"/>
              </w:rPr>
              <w:t>95% Upper CI</w:t>
            </w:r>
          </w:p>
        </w:tc>
      </w:tr>
      <w:tr w:rsidR="00B508A2" w:rsidTr="0084398D">
        <w:tc>
          <w:tcPr>
            <w:tcW w:w="1668" w:type="dxa"/>
          </w:tcPr>
          <w:p w:rsidR="00B508A2" w:rsidRDefault="00B508A2" w:rsidP="0084398D">
            <w:pPr>
              <w:rPr>
                <w:rFonts w:ascii="Arial" w:hAnsi="Arial" w:cs="Arial"/>
                <w:sz w:val="20"/>
                <w:szCs w:val="20"/>
              </w:rPr>
            </w:pPr>
            <w:r>
              <w:rPr>
                <w:rFonts w:ascii="Arial" w:hAnsi="Arial" w:cs="Arial"/>
                <w:sz w:val="20"/>
                <w:szCs w:val="20"/>
              </w:rPr>
              <w:t>SWLCN</w:t>
            </w:r>
          </w:p>
        </w:tc>
        <w:tc>
          <w:tcPr>
            <w:tcW w:w="1559" w:type="dxa"/>
          </w:tcPr>
          <w:p w:rsidR="00B508A2" w:rsidRDefault="00B54828" w:rsidP="0084398D">
            <w:pPr>
              <w:rPr>
                <w:rFonts w:ascii="Arial" w:hAnsi="Arial" w:cs="Arial"/>
                <w:sz w:val="20"/>
                <w:szCs w:val="20"/>
              </w:rPr>
            </w:pPr>
            <w:r>
              <w:rPr>
                <w:rFonts w:ascii="Arial" w:hAnsi="Arial" w:cs="Arial"/>
                <w:sz w:val="20"/>
                <w:szCs w:val="20"/>
              </w:rPr>
              <w:t>304</w:t>
            </w:r>
          </w:p>
        </w:tc>
        <w:tc>
          <w:tcPr>
            <w:tcW w:w="1843" w:type="dxa"/>
          </w:tcPr>
          <w:p w:rsidR="00B508A2" w:rsidRDefault="00B54828" w:rsidP="0084398D">
            <w:pPr>
              <w:rPr>
                <w:rFonts w:ascii="Arial" w:hAnsi="Arial" w:cs="Arial"/>
                <w:sz w:val="20"/>
                <w:szCs w:val="20"/>
              </w:rPr>
            </w:pPr>
            <w:r>
              <w:rPr>
                <w:rFonts w:ascii="Arial" w:hAnsi="Arial" w:cs="Arial"/>
                <w:sz w:val="20"/>
                <w:szCs w:val="20"/>
              </w:rPr>
              <w:t>39.7</w:t>
            </w:r>
          </w:p>
        </w:tc>
        <w:tc>
          <w:tcPr>
            <w:tcW w:w="1090" w:type="dxa"/>
            <w:shd w:val="clear" w:color="auto" w:fill="A6A6A6" w:themeFill="background1" w:themeFillShade="A6"/>
          </w:tcPr>
          <w:p w:rsidR="00B508A2" w:rsidRDefault="00B54828" w:rsidP="0084398D">
            <w:pPr>
              <w:rPr>
                <w:rFonts w:ascii="Arial" w:hAnsi="Arial" w:cs="Arial"/>
                <w:sz w:val="20"/>
                <w:szCs w:val="20"/>
              </w:rPr>
            </w:pPr>
            <w:r>
              <w:rPr>
                <w:rFonts w:ascii="Arial" w:hAnsi="Arial" w:cs="Arial"/>
                <w:sz w:val="20"/>
                <w:szCs w:val="20"/>
              </w:rPr>
              <w:t>40.0</w:t>
            </w:r>
          </w:p>
        </w:tc>
        <w:tc>
          <w:tcPr>
            <w:tcW w:w="1541" w:type="dxa"/>
          </w:tcPr>
          <w:p w:rsidR="00B508A2" w:rsidRDefault="00B54828" w:rsidP="0084398D">
            <w:pPr>
              <w:rPr>
                <w:rFonts w:ascii="Arial" w:hAnsi="Arial" w:cs="Arial"/>
                <w:sz w:val="20"/>
                <w:szCs w:val="20"/>
              </w:rPr>
            </w:pPr>
            <w:r>
              <w:rPr>
                <w:rFonts w:ascii="Arial" w:hAnsi="Arial" w:cs="Arial"/>
                <w:sz w:val="20"/>
                <w:szCs w:val="20"/>
              </w:rPr>
              <w:t>35.4</w:t>
            </w:r>
          </w:p>
        </w:tc>
        <w:tc>
          <w:tcPr>
            <w:tcW w:w="1541" w:type="dxa"/>
          </w:tcPr>
          <w:p w:rsidR="00B508A2" w:rsidRDefault="00B54828" w:rsidP="0084398D">
            <w:pPr>
              <w:rPr>
                <w:rFonts w:ascii="Arial" w:hAnsi="Arial" w:cs="Arial"/>
                <w:sz w:val="20"/>
                <w:szCs w:val="20"/>
              </w:rPr>
            </w:pPr>
            <w:r>
              <w:rPr>
                <w:rFonts w:ascii="Arial" w:hAnsi="Arial" w:cs="Arial"/>
                <w:sz w:val="20"/>
                <w:szCs w:val="20"/>
              </w:rPr>
              <w:t>44.5</w:t>
            </w:r>
          </w:p>
        </w:tc>
      </w:tr>
      <w:tr w:rsidR="00B508A2" w:rsidTr="0084398D">
        <w:tc>
          <w:tcPr>
            <w:tcW w:w="1668" w:type="dxa"/>
          </w:tcPr>
          <w:p w:rsidR="00B508A2" w:rsidRDefault="00B508A2" w:rsidP="0084398D">
            <w:pPr>
              <w:rPr>
                <w:rFonts w:ascii="Arial" w:hAnsi="Arial" w:cs="Arial"/>
                <w:sz w:val="20"/>
                <w:szCs w:val="20"/>
              </w:rPr>
            </w:pPr>
            <w:r>
              <w:rPr>
                <w:rFonts w:ascii="Arial" w:hAnsi="Arial" w:cs="Arial"/>
                <w:sz w:val="20"/>
                <w:szCs w:val="20"/>
              </w:rPr>
              <w:t>WLCN</w:t>
            </w:r>
          </w:p>
        </w:tc>
        <w:tc>
          <w:tcPr>
            <w:tcW w:w="1559" w:type="dxa"/>
          </w:tcPr>
          <w:p w:rsidR="00B508A2" w:rsidRDefault="00B54828" w:rsidP="0084398D">
            <w:pPr>
              <w:rPr>
                <w:rFonts w:ascii="Arial" w:hAnsi="Arial" w:cs="Arial"/>
                <w:sz w:val="20"/>
                <w:szCs w:val="20"/>
              </w:rPr>
            </w:pPr>
            <w:r>
              <w:rPr>
                <w:rFonts w:ascii="Arial" w:hAnsi="Arial" w:cs="Arial"/>
                <w:sz w:val="20"/>
                <w:szCs w:val="20"/>
              </w:rPr>
              <w:t>276</w:t>
            </w:r>
          </w:p>
        </w:tc>
        <w:tc>
          <w:tcPr>
            <w:tcW w:w="1843" w:type="dxa"/>
          </w:tcPr>
          <w:p w:rsidR="00B508A2" w:rsidRDefault="00B54828" w:rsidP="0084398D">
            <w:pPr>
              <w:rPr>
                <w:rFonts w:ascii="Arial" w:hAnsi="Arial" w:cs="Arial"/>
                <w:sz w:val="20"/>
                <w:szCs w:val="20"/>
              </w:rPr>
            </w:pPr>
            <w:r>
              <w:rPr>
                <w:rFonts w:ascii="Arial" w:hAnsi="Arial" w:cs="Arial"/>
                <w:sz w:val="20"/>
                <w:szCs w:val="20"/>
              </w:rPr>
              <w:t>30.1</w:t>
            </w:r>
          </w:p>
        </w:tc>
        <w:tc>
          <w:tcPr>
            <w:tcW w:w="1090" w:type="dxa"/>
            <w:shd w:val="clear" w:color="auto" w:fill="A6A6A6" w:themeFill="background1" w:themeFillShade="A6"/>
          </w:tcPr>
          <w:p w:rsidR="00B508A2" w:rsidRDefault="00B54828" w:rsidP="0084398D">
            <w:pPr>
              <w:rPr>
                <w:rFonts w:ascii="Arial" w:hAnsi="Arial" w:cs="Arial"/>
                <w:sz w:val="20"/>
                <w:szCs w:val="20"/>
              </w:rPr>
            </w:pPr>
            <w:r>
              <w:rPr>
                <w:rFonts w:ascii="Arial" w:hAnsi="Arial" w:cs="Arial"/>
                <w:sz w:val="20"/>
                <w:szCs w:val="20"/>
              </w:rPr>
              <w:t>32.7</w:t>
            </w:r>
          </w:p>
        </w:tc>
        <w:tc>
          <w:tcPr>
            <w:tcW w:w="1541" w:type="dxa"/>
          </w:tcPr>
          <w:p w:rsidR="00B508A2" w:rsidRDefault="00B54828" w:rsidP="0084398D">
            <w:pPr>
              <w:rPr>
                <w:rFonts w:ascii="Arial" w:hAnsi="Arial" w:cs="Arial"/>
                <w:sz w:val="20"/>
                <w:szCs w:val="20"/>
              </w:rPr>
            </w:pPr>
            <w:r>
              <w:rPr>
                <w:rFonts w:ascii="Arial" w:hAnsi="Arial" w:cs="Arial"/>
                <w:sz w:val="20"/>
                <w:szCs w:val="20"/>
              </w:rPr>
              <w:t>28.8</w:t>
            </w:r>
          </w:p>
        </w:tc>
        <w:tc>
          <w:tcPr>
            <w:tcW w:w="1541" w:type="dxa"/>
          </w:tcPr>
          <w:p w:rsidR="00B508A2" w:rsidRDefault="00B54828" w:rsidP="0084398D">
            <w:pPr>
              <w:rPr>
                <w:rFonts w:ascii="Arial" w:hAnsi="Arial" w:cs="Arial"/>
                <w:sz w:val="20"/>
                <w:szCs w:val="20"/>
              </w:rPr>
            </w:pPr>
            <w:r>
              <w:rPr>
                <w:rFonts w:ascii="Arial" w:hAnsi="Arial" w:cs="Arial"/>
                <w:sz w:val="20"/>
                <w:szCs w:val="20"/>
              </w:rPr>
              <w:t>36.6</w:t>
            </w:r>
          </w:p>
        </w:tc>
      </w:tr>
      <w:tr w:rsidR="00B508A2" w:rsidTr="0084398D">
        <w:tc>
          <w:tcPr>
            <w:tcW w:w="1668" w:type="dxa"/>
          </w:tcPr>
          <w:p w:rsidR="00B508A2" w:rsidRDefault="00B508A2" w:rsidP="0084398D">
            <w:pPr>
              <w:rPr>
                <w:rFonts w:ascii="Arial" w:hAnsi="Arial" w:cs="Arial"/>
                <w:sz w:val="20"/>
                <w:szCs w:val="20"/>
              </w:rPr>
            </w:pPr>
            <w:r>
              <w:rPr>
                <w:rFonts w:ascii="Arial" w:hAnsi="Arial" w:cs="Arial"/>
                <w:sz w:val="20"/>
                <w:szCs w:val="20"/>
              </w:rPr>
              <w:t>NLCN</w:t>
            </w:r>
          </w:p>
        </w:tc>
        <w:tc>
          <w:tcPr>
            <w:tcW w:w="1559" w:type="dxa"/>
          </w:tcPr>
          <w:p w:rsidR="00B508A2" w:rsidRDefault="00B54828" w:rsidP="0084398D">
            <w:pPr>
              <w:rPr>
                <w:rFonts w:ascii="Arial" w:hAnsi="Arial" w:cs="Arial"/>
                <w:sz w:val="20"/>
                <w:szCs w:val="20"/>
              </w:rPr>
            </w:pPr>
            <w:r>
              <w:rPr>
                <w:rFonts w:ascii="Arial" w:hAnsi="Arial" w:cs="Arial"/>
                <w:sz w:val="20"/>
                <w:szCs w:val="20"/>
              </w:rPr>
              <w:t>248</w:t>
            </w:r>
          </w:p>
        </w:tc>
        <w:tc>
          <w:tcPr>
            <w:tcW w:w="1843" w:type="dxa"/>
          </w:tcPr>
          <w:p w:rsidR="00B508A2" w:rsidRDefault="00B54828" w:rsidP="0084398D">
            <w:pPr>
              <w:rPr>
                <w:rFonts w:ascii="Arial" w:hAnsi="Arial" w:cs="Arial"/>
                <w:sz w:val="20"/>
                <w:szCs w:val="20"/>
              </w:rPr>
            </w:pPr>
            <w:r>
              <w:rPr>
                <w:rFonts w:ascii="Arial" w:hAnsi="Arial" w:cs="Arial"/>
                <w:sz w:val="20"/>
                <w:szCs w:val="20"/>
              </w:rPr>
              <w:t>33.1</w:t>
            </w:r>
          </w:p>
        </w:tc>
        <w:tc>
          <w:tcPr>
            <w:tcW w:w="1090" w:type="dxa"/>
            <w:shd w:val="clear" w:color="auto" w:fill="A6A6A6" w:themeFill="background1" w:themeFillShade="A6"/>
          </w:tcPr>
          <w:p w:rsidR="00B508A2" w:rsidRDefault="00B54828" w:rsidP="0084398D">
            <w:pPr>
              <w:rPr>
                <w:rFonts w:ascii="Arial" w:hAnsi="Arial" w:cs="Arial"/>
                <w:sz w:val="20"/>
                <w:szCs w:val="20"/>
              </w:rPr>
            </w:pPr>
            <w:r>
              <w:rPr>
                <w:rFonts w:ascii="Arial" w:hAnsi="Arial" w:cs="Arial"/>
                <w:sz w:val="20"/>
                <w:szCs w:val="20"/>
              </w:rPr>
              <w:t>35.2</w:t>
            </w:r>
          </w:p>
        </w:tc>
        <w:tc>
          <w:tcPr>
            <w:tcW w:w="1541" w:type="dxa"/>
          </w:tcPr>
          <w:p w:rsidR="00B508A2" w:rsidRDefault="00B54828" w:rsidP="0084398D">
            <w:pPr>
              <w:rPr>
                <w:rFonts w:ascii="Arial" w:hAnsi="Arial" w:cs="Arial"/>
                <w:sz w:val="20"/>
                <w:szCs w:val="20"/>
              </w:rPr>
            </w:pPr>
            <w:r>
              <w:rPr>
                <w:rFonts w:ascii="Arial" w:hAnsi="Arial" w:cs="Arial"/>
                <w:sz w:val="20"/>
                <w:szCs w:val="20"/>
              </w:rPr>
              <w:t>30.8</w:t>
            </w:r>
          </w:p>
        </w:tc>
        <w:tc>
          <w:tcPr>
            <w:tcW w:w="1541" w:type="dxa"/>
          </w:tcPr>
          <w:p w:rsidR="00B508A2" w:rsidRDefault="00B54828" w:rsidP="0084398D">
            <w:pPr>
              <w:rPr>
                <w:rFonts w:ascii="Arial" w:hAnsi="Arial" w:cs="Arial"/>
                <w:sz w:val="20"/>
                <w:szCs w:val="20"/>
              </w:rPr>
            </w:pPr>
            <w:r>
              <w:rPr>
                <w:rFonts w:ascii="Arial" w:hAnsi="Arial" w:cs="Arial"/>
                <w:sz w:val="20"/>
                <w:szCs w:val="20"/>
              </w:rPr>
              <w:t>39.7</w:t>
            </w:r>
          </w:p>
        </w:tc>
      </w:tr>
      <w:tr w:rsidR="00B508A2" w:rsidTr="0084398D">
        <w:tc>
          <w:tcPr>
            <w:tcW w:w="1668" w:type="dxa"/>
          </w:tcPr>
          <w:p w:rsidR="00B508A2" w:rsidRDefault="00B508A2" w:rsidP="0084398D">
            <w:pPr>
              <w:rPr>
                <w:rFonts w:ascii="Arial" w:hAnsi="Arial" w:cs="Arial"/>
                <w:sz w:val="20"/>
                <w:szCs w:val="20"/>
              </w:rPr>
            </w:pPr>
            <w:r>
              <w:rPr>
                <w:rFonts w:ascii="Arial" w:hAnsi="Arial" w:cs="Arial"/>
                <w:sz w:val="20"/>
                <w:szCs w:val="20"/>
              </w:rPr>
              <w:t>NELCN</w:t>
            </w:r>
          </w:p>
        </w:tc>
        <w:tc>
          <w:tcPr>
            <w:tcW w:w="1559" w:type="dxa"/>
          </w:tcPr>
          <w:p w:rsidR="00B508A2" w:rsidRDefault="00B54828" w:rsidP="0084398D">
            <w:pPr>
              <w:rPr>
                <w:rFonts w:ascii="Arial" w:hAnsi="Arial" w:cs="Arial"/>
                <w:sz w:val="20"/>
                <w:szCs w:val="20"/>
              </w:rPr>
            </w:pPr>
            <w:r>
              <w:rPr>
                <w:rFonts w:ascii="Arial" w:hAnsi="Arial" w:cs="Arial"/>
                <w:sz w:val="20"/>
                <w:szCs w:val="20"/>
              </w:rPr>
              <w:t>224</w:t>
            </w:r>
          </w:p>
        </w:tc>
        <w:tc>
          <w:tcPr>
            <w:tcW w:w="1843" w:type="dxa"/>
          </w:tcPr>
          <w:p w:rsidR="00B508A2" w:rsidRDefault="00B54828" w:rsidP="0084398D">
            <w:pPr>
              <w:rPr>
                <w:rFonts w:ascii="Arial" w:hAnsi="Arial" w:cs="Arial"/>
                <w:sz w:val="20"/>
                <w:szCs w:val="20"/>
              </w:rPr>
            </w:pPr>
            <w:r>
              <w:rPr>
                <w:rFonts w:ascii="Arial" w:hAnsi="Arial" w:cs="Arial"/>
                <w:sz w:val="20"/>
                <w:szCs w:val="20"/>
              </w:rPr>
              <w:t>29.2</w:t>
            </w:r>
          </w:p>
        </w:tc>
        <w:tc>
          <w:tcPr>
            <w:tcW w:w="1090" w:type="dxa"/>
            <w:shd w:val="clear" w:color="auto" w:fill="A6A6A6" w:themeFill="background1" w:themeFillShade="A6"/>
          </w:tcPr>
          <w:p w:rsidR="00B508A2" w:rsidRDefault="00B54828" w:rsidP="0084398D">
            <w:pPr>
              <w:rPr>
                <w:rFonts w:ascii="Arial" w:hAnsi="Arial" w:cs="Arial"/>
                <w:sz w:val="20"/>
                <w:szCs w:val="20"/>
              </w:rPr>
            </w:pPr>
            <w:r>
              <w:rPr>
                <w:rFonts w:ascii="Arial" w:hAnsi="Arial" w:cs="Arial"/>
                <w:sz w:val="20"/>
                <w:szCs w:val="20"/>
              </w:rPr>
              <w:t>33.0</w:t>
            </w:r>
          </w:p>
        </w:tc>
        <w:tc>
          <w:tcPr>
            <w:tcW w:w="1541" w:type="dxa"/>
          </w:tcPr>
          <w:p w:rsidR="00B508A2" w:rsidRDefault="00B54828" w:rsidP="0084398D">
            <w:pPr>
              <w:rPr>
                <w:rFonts w:ascii="Arial" w:hAnsi="Arial" w:cs="Arial"/>
                <w:sz w:val="20"/>
                <w:szCs w:val="20"/>
              </w:rPr>
            </w:pPr>
            <w:r>
              <w:rPr>
                <w:rFonts w:ascii="Arial" w:hAnsi="Arial" w:cs="Arial"/>
                <w:sz w:val="20"/>
                <w:szCs w:val="20"/>
              </w:rPr>
              <w:t>28.6</w:t>
            </w:r>
          </w:p>
        </w:tc>
        <w:tc>
          <w:tcPr>
            <w:tcW w:w="1541" w:type="dxa"/>
          </w:tcPr>
          <w:p w:rsidR="00B508A2" w:rsidRDefault="00B54828" w:rsidP="0084398D">
            <w:pPr>
              <w:rPr>
                <w:rFonts w:ascii="Arial" w:hAnsi="Arial" w:cs="Arial"/>
                <w:sz w:val="20"/>
                <w:szCs w:val="20"/>
              </w:rPr>
            </w:pPr>
            <w:r>
              <w:rPr>
                <w:rFonts w:ascii="Arial" w:hAnsi="Arial" w:cs="Arial"/>
                <w:sz w:val="20"/>
                <w:szCs w:val="20"/>
              </w:rPr>
              <w:t>37.4</w:t>
            </w:r>
          </w:p>
        </w:tc>
      </w:tr>
      <w:tr w:rsidR="00B508A2" w:rsidTr="0084398D">
        <w:tc>
          <w:tcPr>
            <w:tcW w:w="1668" w:type="dxa"/>
          </w:tcPr>
          <w:p w:rsidR="00B508A2" w:rsidRDefault="00B508A2" w:rsidP="0084398D">
            <w:pPr>
              <w:rPr>
                <w:rFonts w:ascii="Arial" w:hAnsi="Arial" w:cs="Arial"/>
                <w:sz w:val="20"/>
                <w:szCs w:val="20"/>
              </w:rPr>
            </w:pPr>
            <w:r>
              <w:rPr>
                <w:rFonts w:ascii="Arial" w:hAnsi="Arial" w:cs="Arial"/>
                <w:sz w:val="20"/>
                <w:szCs w:val="20"/>
              </w:rPr>
              <w:t>SELCN</w:t>
            </w:r>
          </w:p>
        </w:tc>
        <w:tc>
          <w:tcPr>
            <w:tcW w:w="1559" w:type="dxa"/>
          </w:tcPr>
          <w:p w:rsidR="00B508A2" w:rsidRDefault="00B54828" w:rsidP="0084398D">
            <w:pPr>
              <w:rPr>
                <w:rFonts w:ascii="Arial" w:hAnsi="Arial" w:cs="Arial"/>
                <w:sz w:val="20"/>
                <w:szCs w:val="20"/>
              </w:rPr>
            </w:pPr>
            <w:r>
              <w:rPr>
                <w:rFonts w:ascii="Arial" w:hAnsi="Arial" w:cs="Arial"/>
                <w:sz w:val="20"/>
                <w:szCs w:val="20"/>
              </w:rPr>
              <w:t>251</w:t>
            </w:r>
          </w:p>
        </w:tc>
        <w:tc>
          <w:tcPr>
            <w:tcW w:w="1843" w:type="dxa"/>
          </w:tcPr>
          <w:p w:rsidR="00B508A2" w:rsidRDefault="00B54828" w:rsidP="0084398D">
            <w:pPr>
              <w:rPr>
                <w:rFonts w:ascii="Arial" w:hAnsi="Arial" w:cs="Arial"/>
                <w:sz w:val="20"/>
                <w:szCs w:val="20"/>
              </w:rPr>
            </w:pPr>
            <w:r>
              <w:rPr>
                <w:rFonts w:ascii="Arial" w:hAnsi="Arial" w:cs="Arial"/>
                <w:sz w:val="20"/>
                <w:szCs w:val="20"/>
              </w:rPr>
              <w:t>33.0</w:t>
            </w:r>
          </w:p>
        </w:tc>
        <w:tc>
          <w:tcPr>
            <w:tcW w:w="1090" w:type="dxa"/>
            <w:shd w:val="clear" w:color="auto" w:fill="A6A6A6" w:themeFill="background1" w:themeFillShade="A6"/>
          </w:tcPr>
          <w:p w:rsidR="00B508A2" w:rsidRDefault="00B54828" w:rsidP="0084398D">
            <w:pPr>
              <w:rPr>
                <w:rFonts w:ascii="Arial" w:hAnsi="Arial" w:cs="Arial"/>
                <w:sz w:val="20"/>
                <w:szCs w:val="20"/>
              </w:rPr>
            </w:pPr>
            <w:r>
              <w:rPr>
                <w:rFonts w:ascii="Arial" w:hAnsi="Arial" w:cs="Arial"/>
                <w:sz w:val="20"/>
                <w:szCs w:val="20"/>
              </w:rPr>
              <w:t>36.0</w:t>
            </w:r>
          </w:p>
        </w:tc>
        <w:tc>
          <w:tcPr>
            <w:tcW w:w="1541" w:type="dxa"/>
          </w:tcPr>
          <w:p w:rsidR="00B508A2" w:rsidRDefault="00B54828" w:rsidP="0084398D">
            <w:pPr>
              <w:rPr>
                <w:rFonts w:ascii="Arial" w:hAnsi="Arial" w:cs="Arial"/>
                <w:sz w:val="20"/>
                <w:szCs w:val="20"/>
              </w:rPr>
            </w:pPr>
            <w:r>
              <w:rPr>
                <w:rFonts w:ascii="Arial" w:hAnsi="Arial" w:cs="Arial"/>
                <w:sz w:val="20"/>
                <w:szCs w:val="20"/>
              </w:rPr>
              <w:t>31.4</w:t>
            </w:r>
          </w:p>
        </w:tc>
        <w:tc>
          <w:tcPr>
            <w:tcW w:w="1541" w:type="dxa"/>
          </w:tcPr>
          <w:p w:rsidR="00B508A2" w:rsidRDefault="00B54828" w:rsidP="0084398D">
            <w:pPr>
              <w:rPr>
                <w:rFonts w:ascii="Arial" w:hAnsi="Arial" w:cs="Arial"/>
                <w:sz w:val="20"/>
                <w:szCs w:val="20"/>
              </w:rPr>
            </w:pPr>
            <w:r>
              <w:rPr>
                <w:rFonts w:ascii="Arial" w:hAnsi="Arial" w:cs="Arial"/>
                <w:sz w:val="20"/>
                <w:szCs w:val="20"/>
              </w:rPr>
              <w:t>40.5</w:t>
            </w:r>
          </w:p>
        </w:tc>
      </w:tr>
      <w:tr w:rsidR="00B508A2" w:rsidTr="0084398D">
        <w:tc>
          <w:tcPr>
            <w:tcW w:w="1668" w:type="dxa"/>
          </w:tcPr>
          <w:p w:rsidR="00B508A2" w:rsidRDefault="00B508A2" w:rsidP="0084398D">
            <w:pPr>
              <w:rPr>
                <w:rFonts w:ascii="Arial" w:hAnsi="Arial" w:cs="Arial"/>
                <w:sz w:val="20"/>
                <w:szCs w:val="20"/>
              </w:rPr>
            </w:pPr>
            <w:r>
              <w:rPr>
                <w:rFonts w:ascii="Arial" w:hAnsi="Arial" w:cs="Arial"/>
                <w:sz w:val="20"/>
                <w:szCs w:val="20"/>
              </w:rPr>
              <w:t>England</w:t>
            </w:r>
          </w:p>
        </w:tc>
        <w:tc>
          <w:tcPr>
            <w:tcW w:w="1559" w:type="dxa"/>
          </w:tcPr>
          <w:p w:rsidR="00B508A2" w:rsidRDefault="00B54828" w:rsidP="0084398D">
            <w:pPr>
              <w:rPr>
                <w:rFonts w:ascii="Arial" w:hAnsi="Arial" w:cs="Arial"/>
                <w:sz w:val="20"/>
                <w:szCs w:val="20"/>
              </w:rPr>
            </w:pPr>
            <w:r>
              <w:rPr>
                <w:rFonts w:ascii="Arial" w:hAnsi="Arial" w:cs="Arial"/>
                <w:sz w:val="20"/>
                <w:szCs w:val="20"/>
              </w:rPr>
              <w:t>12,066</w:t>
            </w:r>
          </w:p>
        </w:tc>
        <w:tc>
          <w:tcPr>
            <w:tcW w:w="1843" w:type="dxa"/>
          </w:tcPr>
          <w:p w:rsidR="00B508A2" w:rsidRDefault="00B54828" w:rsidP="0084398D">
            <w:pPr>
              <w:rPr>
                <w:rFonts w:ascii="Arial" w:hAnsi="Arial" w:cs="Arial"/>
                <w:sz w:val="20"/>
                <w:szCs w:val="20"/>
              </w:rPr>
            </w:pPr>
            <w:r>
              <w:rPr>
                <w:rFonts w:ascii="Arial" w:hAnsi="Arial" w:cs="Arial"/>
                <w:sz w:val="20"/>
                <w:szCs w:val="20"/>
              </w:rPr>
              <w:t>48.4</w:t>
            </w:r>
          </w:p>
        </w:tc>
        <w:tc>
          <w:tcPr>
            <w:tcW w:w="1090" w:type="dxa"/>
            <w:shd w:val="clear" w:color="auto" w:fill="A6A6A6" w:themeFill="background1" w:themeFillShade="A6"/>
          </w:tcPr>
          <w:p w:rsidR="00B508A2" w:rsidRDefault="00B54828" w:rsidP="0084398D">
            <w:pPr>
              <w:rPr>
                <w:rFonts w:ascii="Arial" w:hAnsi="Arial" w:cs="Arial"/>
                <w:sz w:val="20"/>
                <w:szCs w:val="20"/>
              </w:rPr>
            </w:pPr>
            <w:r>
              <w:rPr>
                <w:rFonts w:ascii="Arial" w:hAnsi="Arial" w:cs="Arial"/>
                <w:sz w:val="20"/>
                <w:szCs w:val="20"/>
              </w:rPr>
              <w:t>40.1</w:t>
            </w:r>
          </w:p>
        </w:tc>
        <w:tc>
          <w:tcPr>
            <w:tcW w:w="1541" w:type="dxa"/>
          </w:tcPr>
          <w:p w:rsidR="00B508A2" w:rsidRDefault="00B54828" w:rsidP="0084398D">
            <w:pPr>
              <w:rPr>
                <w:rFonts w:ascii="Arial" w:hAnsi="Arial" w:cs="Arial"/>
                <w:sz w:val="20"/>
                <w:szCs w:val="20"/>
              </w:rPr>
            </w:pPr>
            <w:r>
              <w:rPr>
                <w:rFonts w:ascii="Arial" w:hAnsi="Arial" w:cs="Arial"/>
                <w:sz w:val="20"/>
                <w:szCs w:val="20"/>
              </w:rPr>
              <w:t>39.4</w:t>
            </w:r>
          </w:p>
        </w:tc>
        <w:tc>
          <w:tcPr>
            <w:tcW w:w="1541" w:type="dxa"/>
          </w:tcPr>
          <w:p w:rsidR="00B508A2" w:rsidRDefault="00B54828" w:rsidP="0084398D">
            <w:pPr>
              <w:rPr>
                <w:rFonts w:ascii="Arial" w:hAnsi="Arial" w:cs="Arial"/>
                <w:sz w:val="20"/>
                <w:szCs w:val="20"/>
              </w:rPr>
            </w:pPr>
            <w:r>
              <w:rPr>
                <w:rFonts w:ascii="Arial" w:hAnsi="Arial" w:cs="Arial"/>
                <w:sz w:val="20"/>
                <w:szCs w:val="20"/>
              </w:rPr>
              <w:t>40.8</w:t>
            </w:r>
          </w:p>
        </w:tc>
      </w:tr>
    </w:tbl>
    <w:p w:rsidR="00B508A2" w:rsidRPr="00B508A2" w:rsidRDefault="00B508A2" w:rsidP="00B508A2">
      <w:pPr>
        <w:spacing w:after="0"/>
        <w:rPr>
          <w:rFonts w:ascii="Arial" w:hAnsi="Arial" w:cs="Arial"/>
          <w:sz w:val="16"/>
          <w:szCs w:val="16"/>
        </w:rPr>
      </w:pPr>
      <w:r w:rsidRPr="00B508A2">
        <w:rPr>
          <w:rFonts w:ascii="Arial" w:hAnsi="Arial" w:cs="Arial"/>
          <w:sz w:val="16"/>
          <w:szCs w:val="16"/>
        </w:rPr>
        <w:t>*Age standardised prevalence</w:t>
      </w:r>
    </w:p>
    <w:p w:rsidR="00B508A2" w:rsidRPr="00B508A2" w:rsidRDefault="00B508A2" w:rsidP="00B508A2">
      <w:pPr>
        <w:autoSpaceDE w:val="0"/>
        <w:autoSpaceDN w:val="0"/>
        <w:adjustRightInd w:val="0"/>
        <w:spacing w:line="240" w:lineRule="auto"/>
        <w:rPr>
          <w:rFonts w:ascii="Arial" w:hAnsi="Arial" w:cs="Arial"/>
          <w:b/>
          <w:sz w:val="16"/>
          <w:szCs w:val="16"/>
        </w:rPr>
      </w:pPr>
      <w:r w:rsidRPr="00B508A2">
        <w:rPr>
          <w:rFonts w:ascii="Arial" w:hAnsi="Arial" w:cs="Arial"/>
          <w:b/>
          <w:sz w:val="16"/>
          <w:szCs w:val="16"/>
        </w:rPr>
        <w:t>Source: National Cancer Intelligence Network (2010c).</w:t>
      </w:r>
    </w:p>
    <w:p w:rsidR="00B508A2" w:rsidRPr="00B54828" w:rsidRDefault="00B54828" w:rsidP="00B508A2">
      <w:pPr>
        <w:autoSpaceDE w:val="0"/>
        <w:autoSpaceDN w:val="0"/>
        <w:adjustRightInd w:val="0"/>
        <w:spacing w:line="240" w:lineRule="auto"/>
        <w:rPr>
          <w:rFonts w:ascii="Arial" w:hAnsi="Arial" w:cs="Arial"/>
          <w:sz w:val="20"/>
          <w:szCs w:val="16"/>
        </w:rPr>
      </w:pPr>
      <w:r w:rsidRPr="00B54828">
        <w:rPr>
          <w:rFonts w:ascii="Arial" w:hAnsi="Arial" w:cs="Arial"/>
          <w:sz w:val="20"/>
          <w:szCs w:val="16"/>
        </w:rPr>
        <w:t>Fem</w:t>
      </w:r>
      <w:r>
        <w:rPr>
          <w:rFonts w:ascii="Arial" w:hAnsi="Arial" w:cs="Arial"/>
          <w:sz w:val="20"/>
          <w:szCs w:val="16"/>
        </w:rPr>
        <w:t>a</w:t>
      </w:r>
      <w:r w:rsidRPr="00B54828">
        <w:rPr>
          <w:rFonts w:ascii="Arial" w:hAnsi="Arial" w:cs="Arial"/>
          <w:sz w:val="20"/>
          <w:szCs w:val="16"/>
        </w:rPr>
        <w:t>l</w:t>
      </w:r>
      <w:r>
        <w:rPr>
          <w:rFonts w:ascii="Arial" w:hAnsi="Arial" w:cs="Arial"/>
          <w:sz w:val="20"/>
          <w:szCs w:val="16"/>
        </w:rPr>
        <w:t>e</w:t>
      </w:r>
      <w:r w:rsidRPr="00B54828">
        <w:rPr>
          <w:rFonts w:ascii="Arial" w:hAnsi="Arial" w:cs="Arial"/>
          <w:sz w:val="20"/>
          <w:szCs w:val="16"/>
        </w:rPr>
        <w:t xml:space="preserve"> prevalence </w:t>
      </w:r>
      <w:r w:rsidR="00F83092">
        <w:rPr>
          <w:rFonts w:ascii="Arial" w:hAnsi="Arial" w:cs="Arial"/>
          <w:sz w:val="20"/>
          <w:szCs w:val="16"/>
        </w:rPr>
        <w:t xml:space="preserve">for colorectal </w:t>
      </w:r>
      <w:r>
        <w:rPr>
          <w:rFonts w:ascii="Arial" w:hAnsi="Arial" w:cs="Arial"/>
          <w:sz w:val="20"/>
          <w:szCs w:val="16"/>
        </w:rPr>
        <w:t xml:space="preserve">is also </w:t>
      </w:r>
      <w:r w:rsidR="00F83092">
        <w:rPr>
          <w:rFonts w:ascii="Arial" w:hAnsi="Arial" w:cs="Arial"/>
          <w:sz w:val="20"/>
          <w:szCs w:val="16"/>
        </w:rPr>
        <w:t>highest in SWL at 24.7 per 100,000, but agai</w:t>
      </w:r>
      <w:r w:rsidR="00807634">
        <w:rPr>
          <w:rFonts w:ascii="Arial" w:hAnsi="Arial" w:cs="Arial"/>
          <w:sz w:val="20"/>
          <w:szCs w:val="16"/>
        </w:rPr>
        <w:t>n the confidence interval</w:t>
      </w:r>
      <w:r w:rsidR="00F83092">
        <w:rPr>
          <w:rFonts w:ascii="Arial" w:hAnsi="Arial" w:cs="Arial"/>
          <w:sz w:val="20"/>
          <w:szCs w:val="16"/>
        </w:rPr>
        <w:t xml:space="preserve"> </w:t>
      </w:r>
      <w:r w:rsidR="00807634">
        <w:rPr>
          <w:rFonts w:ascii="Arial" w:hAnsi="Arial" w:cs="Arial"/>
          <w:sz w:val="20"/>
          <w:szCs w:val="16"/>
        </w:rPr>
        <w:t>is</w:t>
      </w:r>
      <w:r w:rsidR="00F83092">
        <w:rPr>
          <w:rFonts w:ascii="Arial" w:hAnsi="Arial" w:cs="Arial"/>
          <w:sz w:val="20"/>
          <w:szCs w:val="16"/>
        </w:rPr>
        <w:t xml:space="preserve"> wide (</w:t>
      </w:r>
      <w:fldSimple w:instr=" REF _Ref271722735 \h  \* MERGEFORMAT ">
        <w:r w:rsidR="004E6A50" w:rsidRPr="004E6A50">
          <w:rPr>
            <w:rFonts w:ascii="Arial" w:hAnsi="Arial" w:cs="Arial"/>
            <w:sz w:val="20"/>
            <w:szCs w:val="20"/>
          </w:rPr>
          <w:t xml:space="preserve">Table </w:t>
        </w:r>
        <w:r w:rsidR="004E6A50" w:rsidRPr="004E6A50">
          <w:rPr>
            <w:rFonts w:ascii="Arial" w:hAnsi="Arial" w:cs="Arial"/>
            <w:noProof/>
            <w:sz w:val="20"/>
            <w:szCs w:val="20"/>
          </w:rPr>
          <w:t>2</w:t>
        </w:r>
      </w:fldSimple>
      <w:r w:rsidR="00F83092">
        <w:rPr>
          <w:rFonts w:ascii="Arial" w:hAnsi="Arial" w:cs="Arial"/>
          <w:sz w:val="20"/>
          <w:szCs w:val="16"/>
        </w:rPr>
        <w:t xml:space="preserve">). In terms of actual burden the greatest numbers are in also SWL. </w:t>
      </w:r>
    </w:p>
    <w:p w:rsidR="00B508A2" w:rsidRPr="00B54828" w:rsidRDefault="00B54828" w:rsidP="00B54828">
      <w:pPr>
        <w:pStyle w:val="Caption"/>
        <w:spacing w:after="0"/>
        <w:rPr>
          <w:rFonts w:ascii="Arial" w:hAnsi="Arial" w:cs="Arial"/>
          <w:color w:val="auto"/>
          <w:sz w:val="20"/>
          <w:szCs w:val="20"/>
        </w:rPr>
      </w:pPr>
      <w:bookmarkStart w:id="41" w:name="_Ref271722735"/>
      <w:r w:rsidRPr="00B54828">
        <w:rPr>
          <w:rFonts w:ascii="Arial" w:hAnsi="Arial" w:cs="Arial"/>
          <w:color w:val="auto"/>
        </w:rPr>
        <w:t xml:space="preserve">Table </w:t>
      </w:r>
      <w:r w:rsidR="00AF55AD" w:rsidRPr="00B54828">
        <w:rPr>
          <w:rFonts w:ascii="Arial" w:hAnsi="Arial" w:cs="Arial"/>
          <w:color w:val="auto"/>
        </w:rPr>
        <w:fldChar w:fldCharType="begin"/>
      </w:r>
      <w:r w:rsidRPr="00B54828">
        <w:rPr>
          <w:rFonts w:ascii="Arial" w:hAnsi="Arial" w:cs="Arial"/>
          <w:color w:val="auto"/>
        </w:rPr>
        <w:instrText xml:space="preserve"> SEQ Table \* ARABIC </w:instrText>
      </w:r>
      <w:r w:rsidR="00AF55AD" w:rsidRPr="00B54828">
        <w:rPr>
          <w:rFonts w:ascii="Arial" w:hAnsi="Arial" w:cs="Arial"/>
          <w:color w:val="auto"/>
        </w:rPr>
        <w:fldChar w:fldCharType="separate"/>
      </w:r>
      <w:r w:rsidR="004E6A50">
        <w:rPr>
          <w:rFonts w:ascii="Arial" w:hAnsi="Arial" w:cs="Arial"/>
          <w:noProof/>
          <w:color w:val="auto"/>
        </w:rPr>
        <w:t>2</w:t>
      </w:r>
      <w:r w:rsidR="00AF55AD" w:rsidRPr="00B54828">
        <w:rPr>
          <w:rFonts w:ascii="Arial" w:hAnsi="Arial" w:cs="Arial"/>
          <w:color w:val="auto"/>
        </w:rPr>
        <w:fldChar w:fldCharType="end"/>
      </w:r>
      <w:bookmarkEnd w:id="41"/>
      <w:r w:rsidRPr="00B54828">
        <w:rPr>
          <w:rFonts w:ascii="Arial" w:hAnsi="Arial" w:cs="Arial"/>
          <w:color w:val="auto"/>
        </w:rPr>
        <w:t>: Female age standardised colorectal cancer prevalence, 2006.</w:t>
      </w:r>
    </w:p>
    <w:tbl>
      <w:tblPr>
        <w:tblStyle w:val="TableGrid"/>
        <w:tblW w:w="0" w:type="auto"/>
        <w:tblLook w:val="04A0"/>
      </w:tblPr>
      <w:tblGrid>
        <w:gridCol w:w="1668"/>
        <w:gridCol w:w="1559"/>
        <w:gridCol w:w="1843"/>
        <w:gridCol w:w="1090"/>
        <w:gridCol w:w="1541"/>
        <w:gridCol w:w="1541"/>
      </w:tblGrid>
      <w:tr w:rsidR="00B508A2" w:rsidTr="0084398D">
        <w:tc>
          <w:tcPr>
            <w:tcW w:w="1668" w:type="dxa"/>
          </w:tcPr>
          <w:p w:rsidR="00B508A2" w:rsidRDefault="00B508A2" w:rsidP="00B54828">
            <w:pPr>
              <w:rPr>
                <w:rFonts w:ascii="Arial" w:hAnsi="Arial" w:cs="Arial"/>
                <w:sz w:val="20"/>
                <w:szCs w:val="20"/>
              </w:rPr>
            </w:pPr>
            <w:r>
              <w:rPr>
                <w:rFonts w:ascii="Arial" w:hAnsi="Arial" w:cs="Arial"/>
                <w:sz w:val="20"/>
                <w:szCs w:val="20"/>
              </w:rPr>
              <w:t>Cancer Network</w:t>
            </w:r>
          </w:p>
        </w:tc>
        <w:tc>
          <w:tcPr>
            <w:tcW w:w="1559" w:type="dxa"/>
          </w:tcPr>
          <w:p w:rsidR="00B508A2" w:rsidRDefault="00B508A2" w:rsidP="0084398D">
            <w:pPr>
              <w:rPr>
                <w:rFonts w:ascii="Arial" w:hAnsi="Arial" w:cs="Arial"/>
                <w:sz w:val="20"/>
                <w:szCs w:val="20"/>
              </w:rPr>
            </w:pPr>
            <w:r>
              <w:rPr>
                <w:rFonts w:ascii="Arial" w:hAnsi="Arial" w:cs="Arial"/>
                <w:sz w:val="20"/>
                <w:szCs w:val="20"/>
              </w:rPr>
              <w:t>No. of patients</w:t>
            </w:r>
          </w:p>
        </w:tc>
        <w:tc>
          <w:tcPr>
            <w:tcW w:w="1843" w:type="dxa"/>
          </w:tcPr>
          <w:p w:rsidR="00B508A2" w:rsidRDefault="00B508A2" w:rsidP="0084398D">
            <w:pPr>
              <w:rPr>
                <w:rFonts w:ascii="Arial" w:hAnsi="Arial" w:cs="Arial"/>
                <w:sz w:val="20"/>
                <w:szCs w:val="20"/>
              </w:rPr>
            </w:pPr>
            <w:r>
              <w:rPr>
                <w:rFonts w:ascii="Arial" w:hAnsi="Arial" w:cs="Arial"/>
                <w:sz w:val="20"/>
                <w:szCs w:val="20"/>
              </w:rPr>
              <w:t>Crude Prevalence</w:t>
            </w:r>
          </w:p>
        </w:tc>
        <w:tc>
          <w:tcPr>
            <w:tcW w:w="1090" w:type="dxa"/>
            <w:shd w:val="clear" w:color="auto" w:fill="A6A6A6" w:themeFill="background1" w:themeFillShade="A6"/>
          </w:tcPr>
          <w:p w:rsidR="00B508A2" w:rsidRDefault="00B508A2" w:rsidP="0084398D">
            <w:pPr>
              <w:rPr>
                <w:rFonts w:ascii="Arial" w:hAnsi="Arial" w:cs="Arial"/>
                <w:sz w:val="20"/>
                <w:szCs w:val="20"/>
              </w:rPr>
            </w:pPr>
            <w:r>
              <w:rPr>
                <w:rFonts w:ascii="Arial" w:hAnsi="Arial" w:cs="Arial"/>
                <w:sz w:val="20"/>
                <w:szCs w:val="20"/>
              </w:rPr>
              <w:t>ASP*</w:t>
            </w:r>
          </w:p>
        </w:tc>
        <w:tc>
          <w:tcPr>
            <w:tcW w:w="1541" w:type="dxa"/>
          </w:tcPr>
          <w:p w:rsidR="00B508A2" w:rsidRDefault="00B508A2" w:rsidP="0084398D">
            <w:pPr>
              <w:rPr>
                <w:rFonts w:ascii="Arial" w:hAnsi="Arial" w:cs="Arial"/>
                <w:sz w:val="20"/>
                <w:szCs w:val="20"/>
              </w:rPr>
            </w:pPr>
            <w:r>
              <w:rPr>
                <w:rFonts w:ascii="Arial" w:hAnsi="Arial" w:cs="Arial"/>
                <w:sz w:val="20"/>
                <w:szCs w:val="20"/>
              </w:rPr>
              <w:t>95% Lower CI</w:t>
            </w:r>
          </w:p>
        </w:tc>
        <w:tc>
          <w:tcPr>
            <w:tcW w:w="1541" w:type="dxa"/>
          </w:tcPr>
          <w:p w:rsidR="00B508A2" w:rsidRDefault="00B508A2" w:rsidP="0084398D">
            <w:pPr>
              <w:rPr>
                <w:rFonts w:ascii="Arial" w:hAnsi="Arial" w:cs="Arial"/>
                <w:sz w:val="20"/>
                <w:szCs w:val="20"/>
              </w:rPr>
            </w:pPr>
            <w:r>
              <w:rPr>
                <w:rFonts w:ascii="Arial" w:hAnsi="Arial" w:cs="Arial"/>
                <w:sz w:val="20"/>
                <w:szCs w:val="20"/>
              </w:rPr>
              <w:t>95% Upper CI</w:t>
            </w:r>
          </w:p>
        </w:tc>
      </w:tr>
      <w:tr w:rsidR="00B508A2" w:rsidTr="0084398D">
        <w:tc>
          <w:tcPr>
            <w:tcW w:w="1668" w:type="dxa"/>
          </w:tcPr>
          <w:p w:rsidR="00B508A2" w:rsidRDefault="00F72435" w:rsidP="0084398D">
            <w:pPr>
              <w:rPr>
                <w:rFonts w:ascii="Arial" w:hAnsi="Arial" w:cs="Arial"/>
                <w:sz w:val="20"/>
                <w:szCs w:val="20"/>
              </w:rPr>
            </w:pPr>
            <w:r>
              <w:rPr>
                <w:rFonts w:ascii="Arial" w:hAnsi="Arial" w:cs="Arial"/>
                <w:sz w:val="20"/>
                <w:szCs w:val="20"/>
              </w:rPr>
              <w:t>SWLCN</w:t>
            </w:r>
          </w:p>
        </w:tc>
        <w:tc>
          <w:tcPr>
            <w:tcW w:w="1559" w:type="dxa"/>
          </w:tcPr>
          <w:p w:rsidR="00B508A2" w:rsidRDefault="00B54828" w:rsidP="0084398D">
            <w:pPr>
              <w:jc w:val="center"/>
              <w:rPr>
                <w:rFonts w:ascii="Arial" w:hAnsi="Arial" w:cs="Arial"/>
                <w:sz w:val="20"/>
                <w:szCs w:val="20"/>
              </w:rPr>
            </w:pPr>
            <w:r>
              <w:rPr>
                <w:rFonts w:ascii="Arial" w:hAnsi="Arial" w:cs="Arial"/>
                <w:sz w:val="20"/>
                <w:szCs w:val="20"/>
              </w:rPr>
              <w:t>257</w:t>
            </w:r>
          </w:p>
        </w:tc>
        <w:tc>
          <w:tcPr>
            <w:tcW w:w="1843" w:type="dxa"/>
          </w:tcPr>
          <w:p w:rsidR="00B508A2" w:rsidRDefault="00B54828" w:rsidP="0084398D">
            <w:pPr>
              <w:jc w:val="center"/>
              <w:rPr>
                <w:rFonts w:ascii="Arial" w:hAnsi="Arial" w:cs="Arial"/>
                <w:sz w:val="20"/>
                <w:szCs w:val="20"/>
              </w:rPr>
            </w:pPr>
            <w:r>
              <w:rPr>
                <w:rFonts w:ascii="Arial" w:hAnsi="Arial" w:cs="Arial"/>
                <w:sz w:val="20"/>
                <w:szCs w:val="20"/>
              </w:rPr>
              <w:t>32.0</w:t>
            </w:r>
          </w:p>
        </w:tc>
        <w:tc>
          <w:tcPr>
            <w:tcW w:w="1090" w:type="dxa"/>
            <w:shd w:val="clear" w:color="auto" w:fill="A6A6A6" w:themeFill="background1" w:themeFillShade="A6"/>
          </w:tcPr>
          <w:p w:rsidR="00B508A2" w:rsidRDefault="00B54828" w:rsidP="0084398D">
            <w:pPr>
              <w:jc w:val="center"/>
              <w:rPr>
                <w:rFonts w:ascii="Arial" w:hAnsi="Arial" w:cs="Arial"/>
                <w:sz w:val="20"/>
                <w:szCs w:val="20"/>
              </w:rPr>
            </w:pPr>
            <w:r>
              <w:rPr>
                <w:rFonts w:ascii="Arial" w:hAnsi="Arial" w:cs="Arial"/>
                <w:sz w:val="20"/>
                <w:szCs w:val="20"/>
              </w:rPr>
              <w:t>24.7</w:t>
            </w:r>
          </w:p>
        </w:tc>
        <w:tc>
          <w:tcPr>
            <w:tcW w:w="1541" w:type="dxa"/>
          </w:tcPr>
          <w:p w:rsidR="00B508A2" w:rsidRDefault="00B54828" w:rsidP="0084398D">
            <w:pPr>
              <w:jc w:val="center"/>
              <w:rPr>
                <w:rFonts w:ascii="Arial" w:hAnsi="Arial" w:cs="Arial"/>
                <w:sz w:val="20"/>
                <w:szCs w:val="20"/>
              </w:rPr>
            </w:pPr>
            <w:r>
              <w:rPr>
                <w:rFonts w:ascii="Arial" w:hAnsi="Arial" w:cs="Arial"/>
                <w:sz w:val="20"/>
                <w:szCs w:val="20"/>
              </w:rPr>
              <w:t>21.4</w:t>
            </w:r>
          </w:p>
        </w:tc>
        <w:tc>
          <w:tcPr>
            <w:tcW w:w="1541" w:type="dxa"/>
          </w:tcPr>
          <w:p w:rsidR="00B508A2" w:rsidRDefault="00B54828" w:rsidP="0084398D">
            <w:pPr>
              <w:jc w:val="center"/>
              <w:rPr>
                <w:rFonts w:ascii="Arial" w:hAnsi="Arial" w:cs="Arial"/>
                <w:sz w:val="20"/>
                <w:szCs w:val="20"/>
              </w:rPr>
            </w:pPr>
            <w:r>
              <w:rPr>
                <w:rFonts w:ascii="Arial" w:hAnsi="Arial" w:cs="Arial"/>
                <w:sz w:val="20"/>
                <w:szCs w:val="20"/>
              </w:rPr>
              <w:t>27.9</w:t>
            </w:r>
          </w:p>
        </w:tc>
      </w:tr>
      <w:tr w:rsidR="00F72435" w:rsidTr="0084398D">
        <w:tc>
          <w:tcPr>
            <w:tcW w:w="1668" w:type="dxa"/>
          </w:tcPr>
          <w:p w:rsidR="00F72435" w:rsidRDefault="00F72435" w:rsidP="00B54828">
            <w:pPr>
              <w:rPr>
                <w:rFonts w:ascii="Arial" w:hAnsi="Arial" w:cs="Arial"/>
                <w:sz w:val="20"/>
                <w:szCs w:val="20"/>
              </w:rPr>
            </w:pPr>
            <w:r>
              <w:rPr>
                <w:rFonts w:ascii="Arial" w:hAnsi="Arial" w:cs="Arial"/>
                <w:sz w:val="20"/>
                <w:szCs w:val="20"/>
              </w:rPr>
              <w:t xml:space="preserve">WLCN </w:t>
            </w:r>
          </w:p>
        </w:tc>
        <w:tc>
          <w:tcPr>
            <w:tcW w:w="1559" w:type="dxa"/>
          </w:tcPr>
          <w:p w:rsidR="00F72435" w:rsidRDefault="00B54828" w:rsidP="0084398D">
            <w:pPr>
              <w:jc w:val="center"/>
              <w:rPr>
                <w:rFonts w:ascii="Arial" w:hAnsi="Arial" w:cs="Arial"/>
                <w:sz w:val="20"/>
                <w:szCs w:val="20"/>
              </w:rPr>
            </w:pPr>
            <w:r>
              <w:rPr>
                <w:rFonts w:ascii="Arial" w:hAnsi="Arial" w:cs="Arial"/>
                <w:sz w:val="20"/>
                <w:szCs w:val="20"/>
              </w:rPr>
              <w:t>226</w:t>
            </w:r>
          </w:p>
        </w:tc>
        <w:tc>
          <w:tcPr>
            <w:tcW w:w="1843" w:type="dxa"/>
          </w:tcPr>
          <w:p w:rsidR="00F72435" w:rsidRDefault="00B54828" w:rsidP="0084398D">
            <w:pPr>
              <w:jc w:val="center"/>
              <w:rPr>
                <w:rFonts w:ascii="Arial" w:hAnsi="Arial" w:cs="Arial"/>
                <w:sz w:val="20"/>
                <w:szCs w:val="20"/>
              </w:rPr>
            </w:pPr>
            <w:r>
              <w:rPr>
                <w:rFonts w:ascii="Arial" w:hAnsi="Arial" w:cs="Arial"/>
                <w:sz w:val="20"/>
                <w:szCs w:val="20"/>
              </w:rPr>
              <w:t>24.5</w:t>
            </w:r>
          </w:p>
        </w:tc>
        <w:tc>
          <w:tcPr>
            <w:tcW w:w="1090" w:type="dxa"/>
            <w:shd w:val="clear" w:color="auto" w:fill="A6A6A6" w:themeFill="background1" w:themeFillShade="A6"/>
          </w:tcPr>
          <w:p w:rsidR="00F72435" w:rsidRDefault="00B54828" w:rsidP="0084398D">
            <w:pPr>
              <w:jc w:val="center"/>
              <w:rPr>
                <w:rFonts w:ascii="Arial" w:hAnsi="Arial" w:cs="Arial"/>
                <w:sz w:val="20"/>
                <w:szCs w:val="20"/>
              </w:rPr>
            </w:pPr>
            <w:r>
              <w:rPr>
                <w:rFonts w:ascii="Arial" w:hAnsi="Arial" w:cs="Arial"/>
                <w:sz w:val="20"/>
                <w:szCs w:val="20"/>
              </w:rPr>
              <w:t>22.5</w:t>
            </w:r>
          </w:p>
        </w:tc>
        <w:tc>
          <w:tcPr>
            <w:tcW w:w="1541" w:type="dxa"/>
          </w:tcPr>
          <w:p w:rsidR="00F72435" w:rsidRDefault="00B54828" w:rsidP="0084398D">
            <w:pPr>
              <w:jc w:val="center"/>
              <w:rPr>
                <w:rFonts w:ascii="Arial" w:hAnsi="Arial" w:cs="Arial"/>
                <w:sz w:val="20"/>
                <w:szCs w:val="20"/>
              </w:rPr>
            </w:pPr>
            <w:r>
              <w:rPr>
                <w:rFonts w:ascii="Arial" w:hAnsi="Arial" w:cs="Arial"/>
                <w:sz w:val="20"/>
                <w:szCs w:val="20"/>
              </w:rPr>
              <w:t>19.4</w:t>
            </w:r>
          </w:p>
        </w:tc>
        <w:tc>
          <w:tcPr>
            <w:tcW w:w="1541" w:type="dxa"/>
          </w:tcPr>
          <w:p w:rsidR="00F72435" w:rsidRDefault="00B54828" w:rsidP="0084398D">
            <w:pPr>
              <w:jc w:val="center"/>
              <w:rPr>
                <w:rFonts w:ascii="Arial" w:hAnsi="Arial" w:cs="Arial"/>
                <w:sz w:val="20"/>
                <w:szCs w:val="20"/>
              </w:rPr>
            </w:pPr>
            <w:r>
              <w:rPr>
                <w:rFonts w:ascii="Arial" w:hAnsi="Arial" w:cs="Arial"/>
                <w:sz w:val="20"/>
                <w:szCs w:val="20"/>
              </w:rPr>
              <w:t>25.5</w:t>
            </w:r>
          </w:p>
        </w:tc>
      </w:tr>
      <w:tr w:rsidR="00F72435" w:rsidTr="0084398D">
        <w:tc>
          <w:tcPr>
            <w:tcW w:w="1668" w:type="dxa"/>
          </w:tcPr>
          <w:p w:rsidR="00F72435" w:rsidRDefault="00F72435" w:rsidP="00B54828">
            <w:pPr>
              <w:rPr>
                <w:rFonts w:ascii="Arial" w:hAnsi="Arial" w:cs="Arial"/>
                <w:sz w:val="20"/>
                <w:szCs w:val="20"/>
              </w:rPr>
            </w:pPr>
            <w:r>
              <w:rPr>
                <w:rFonts w:ascii="Arial" w:hAnsi="Arial" w:cs="Arial"/>
                <w:sz w:val="20"/>
                <w:szCs w:val="20"/>
              </w:rPr>
              <w:t>NLCN</w:t>
            </w:r>
          </w:p>
        </w:tc>
        <w:tc>
          <w:tcPr>
            <w:tcW w:w="1559" w:type="dxa"/>
          </w:tcPr>
          <w:p w:rsidR="00F72435" w:rsidRDefault="00B54828" w:rsidP="0084398D">
            <w:pPr>
              <w:jc w:val="center"/>
              <w:rPr>
                <w:rFonts w:ascii="Arial" w:hAnsi="Arial" w:cs="Arial"/>
                <w:sz w:val="20"/>
                <w:szCs w:val="20"/>
              </w:rPr>
            </w:pPr>
            <w:r>
              <w:rPr>
                <w:rFonts w:ascii="Arial" w:hAnsi="Arial" w:cs="Arial"/>
                <w:sz w:val="20"/>
                <w:szCs w:val="20"/>
              </w:rPr>
              <w:t>196</w:t>
            </w:r>
          </w:p>
        </w:tc>
        <w:tc>
          <w:tcPr>
            <w:tcW w:w="1843" w:type="dxa"/>
          </w:tcPr>
          <w:p w:rsidR="00F72435" w:rsidRDefault="00B54828" w:rsidP="0084398D">
            <w:pPr>
              <w:jc w:val="center"/>
              <w:rPr>
                <w:rFonts w:ascii="Arial" w:hAnsi="Arial" w:cs="Arial"/>
                <w:sz w:val="20"/>
                <w:szCs w:val="20"/>
              </w:rPr>
            </w:pPr>
            <w:r>
              <w:rPr>
                <w:rFonts w:ascii="Arial" w:hAnsi="Arial" w:cs="Arial"/>
                <w:sz w:val="20"/>
                <w:szCs w:val="20"/>
              </w:rPr>
              <w:t>25.2</w:t>
            </w:r>
          </w:p>
        </w:tc>
        <w:tc>
          <w:tcPr>
            <w:tcW w:w="1090" w:type="dxa"/>
            <w:shd w:val="clear" w:color="auto" w:fill="A6A6A6" w:themeFill="background1" w:themeFillShade="A6"/>
          </w:tcPr>
          <w:p w:rsidR="00F72435" w:rsidRDefault="00B54828" w:rsidP="0084398D">
            <w:pPr>
              <w:jc w:val="center"/>
              <w:rPr>
                <w:rFonts w:ascii="Arial" w:hAnsi="Arial" w:cs="Arial"/>
                <w:sz w:val="20"/>
                <w:szCs w:val="20"/>
              </w:rPr>
            </w:pPr>
            <w:r>
              <w:rPr>
                <w:rFonts w:ascii="Arial" w:hAnsi="Arial" w:cs="Arial"/>
                <w:sz w:val="20"/>
                <w:szCs w:val="20"/>
              </w:rPr>
              <w:t>21.7</w:t>
            </w:r>
          </w:p>
        </w:tc>
        <w:tc>
          <w:tcPr>
            <w:tcW w:w="1541" w:type="dxa"/>
          </w:tcPr>
          <w:p w:rsidR="00F72435" w:rsidRDefault="00B54828" w:rsidP="0084398D">
            <w:pPr>
              <w:jc w:val="center"/>
              <w:rPr>
                <w:rFonts w:ascii="Arial" w:hAnsi="Arial" w:cs="Arial"/>
                <w:sz w:val="20"/>
                <w:szCs w:val="20"/>
              </w:rPr>
            </w:pPr>
            <w:r>
              <w:rPr>
                <w:rFonts w:ascii="Arial" w:hAnsi="Arial" w:cs="Arial"/>
                <w:sz w:val="20"/>
                <w:szCs w:val="20"/>
              </w:rPr>
              <w:t>18.5</w:t>
            </w:r>
          </w:p>
        </w:tc>
        <w:tc>
          <w:tcPr>
            <w:tcW w:w="1541" w:type="dxa"/>
          </w:tcPr>
          <w:p w:rsidR="00F72435" w:rsidRDefault="00B54828" w:rsidP="0084398D">
            <w:pPr>
              <w:jc w:val="center"/>
              <w:rPr>
                <w:rFonts w:ascii="Arial" w:hAnsi="Arial" w:cs="Arial"/>
                <w:sz w:val="20"/>
                <w:szCs w:val="20"/>
              </w:rPr>
            </w:pPr>
            <w:r>
              <w:rPr>
                <w:rFonts w:ascii="Arial" w:hAnsi="Arial" w:cs="Arial"/>
                <w:sz w:val="20"/>
                <w:szCs w:val="20"/>
              </w:rPr>
              <w:t>25.0</w:t>
            </w:r>
          </w:p>
        </w:tc>
      </w:tr>
      <w:tr w:rsidR="00F72435" w:rsidTr="0084398D">
        <w:tc>
          <w:tcPr>
            <w:tcW w:w="1668" w:type="dxa"/>
          </w:tcPr>
          <w:p w:rsidR="00F72435" w:rsidRDefault="00F72435" w:rsidP="00B54828">
            <w:pPr>
              <w:rPr>
                <w:rFonts w:ascii="Arial" w:hAnsi="Arial" w:cs="Arial"/>
                <w:sz w:val="20"/>
                <w:szCs w:val="20"/>
              </w:rPr>
            </w:pPr>
            <w:r>
              <w:rPr>
                <w:rFonts w:ascii="Arial" w:hAnsi="Arial" w:cs="Arial"/>
                <w:sz w:val="20"/>
                <w:szCs w:val="20"/>
              </w:rPr>
              <w:t>NELCN</w:t>
            </w:r>
          </w:p>
        </w:tc>
        <w:tc>
          <w:tcPr>
            <w:tcW w:w="1559" w:type="dxa"/>
          </w:tcPr>
          <w:p w:rsidR="00F72435" w:rsidRDefault="00B54828" w:rsidP="0084398D">
            <w:pPr>
              <w:jc w:val="center"/>
              <w:rPr>
                <w:rFonts w:ascii="Arial" w:hAnsi="Arial" w:cs="Arial"/>
                <w:sz w:val="20"/>
                <w:szCs w:val="20"/>
              </w:rPr>
            </w:pPr>
            <w:r>
              <w:rPr>
                <w:rFonts w:ascii="Arial" w:hAnsi="Arial" w:cs="Arial"/>
                <w:sz w:val="20"/>
                <w:szCs w:val="20"/>
              </w:rPr>
              <w:t>192</w:t>
            </w:r>
          </w:p>
        </w:tc>
        <w:tc>
          <w:tcPr>
            <w:tcW w:w="1843" w:type="dxa"/>
          </w:tcPr>
          <w:p w:rsidR="00F72435" w:rsidRDefault="00B54828" w:rsidP="0084398D">
            <w:pPr>
              <w:jc w:val="center"/>
              <w:rPr>
                <w:rFonts w:ascii="Arial" w:hAnsi="Arial" w:cs="Arial"/>
                <w:sz w:val="20"/>
                <w:szCs w:val="20"/>
              </w:rPr>
            </w:pPr>
            <w:r>
              <w:rPr>
                <w:rFonts w:ascii="Arial" w:hAnsi="Arial" w:cs="Arial"/>
                <w:sz w:val="20"/>
                <w:szCs w:val="20"/>
              </w:rPr>
              <w:t>24.7</w:t>
            </w:r>
          </w:p>
        </w:tc>
        <w:tc>
          <w:tcPr>
            <w:tcW w:w="1090" w:type="dxa"/>
            <w:shd w:val="clear" w:color="auto" w:fill="A6A6A6" w:themeFill="background1" w:themeFillShade="A6"/>
          </w:tcPr>
          <w:p w:rsidR="00F72435" w:rsidRDefault="00B54828" w:rsidP="0084398D">
            <w:pPr>
              <w:jc w:val="center"/>
              <w:rPr>
                <w:rFonts w:ascii="Arial" w:hAnsi="Arial" w:cs="Arial"/>
                <w:sz w:val="20"/>
                <w:szCs w:val="20"/>
              </w:rPr>
            </w:pPr>
            <w:r>
              <w:rPr>
                <w:rFonts w:ascii="Arial" w:hAnsi="Arial" w:cs="Arial"/>
                <w:sz w:val="20"/>
                <w:szCs w:val="20"/>
              </w:rPr>
              <w:t>21.2</w:t>
            </w:r>
          </w:p>
        </w:tc>
        <w:tc>
          <w:tcPr>
            <w:tcW w:w="1541" w:type="dxa"/>
          </w:tcPr>
          <w:p w:rsidR="00F72435" w:rsidRDefault="00B54828" w:rsidP="0084398D">
            <w:pPr>
              <w:jc w:val="center"/>
              <w:rPr>
                <w:rFonts w:ascii="Arial" w:hAnsi="Arial" w:cs="Arial"/>
                <w:sz w:val="20"/>
                <w:szCs w:val="20"/>
              </w:rPr>
            </w:pPr>
            <w:r>
              <w:rPr>
                <w:rFonts w:ascii="Arial" w:hAnsi="Arial" w:cs="Arial"/>
                <w:sz w:val="20"/>
                <w:szCs w:val="20"/>
              </w:rPr>
              <w:t>18.0</w:t>
            </w:r>
          </w:p>
        </w:tc>
        <w:tc>
          <w:tcPr>
            <w:tcW w:w="1541" w:type="dxa"/>
          </w:tcPr>
          <w:p w:rsidR="00F72435" w:rsidRDefault="00B54828" w:rsidP="0084398D">
            <w:pPr>
              <w:jc w:val="center"/>
              <w:rPr>
                <w:rFonts w:ascii="Arial" w:hAnsi="Arial" w:cs="Arial"/>
                <w:sz w:val="20"/>
                <w:szCs w:val="20"/>
              </w:rPr>
            </w:pPr>
            <w:r>
              <w:rPr>
                <w:rFonts w:ascii="Arial" w:hAnsi="Arial" w:cs="Arial"/>
                <w:sz w:val="20"/>
                <w:szCs w:val="20"/>
              </w:rPr>
              <w:t>24.4</w:t>
            </w:r>
          </w:p>
        </w:tc>
      </w:tr>
      <w:tr w:rsidR="00F72435" w:rsidTr="0084398D">
        <w:tc>
          <w:tcPr>
            <w:tcW w:w="1668" w:type="dxa"/>
          </w:tcPr>
          <w:p w:rsidR="00F72435" w:rsidRDefault="00F72435" w:rsidP="00B54828">
            <w:pPr>
              <w:rPr>
                <w:rFonts w:ascii="Arial" w:hAnsi="Arial" w:cs="Arial"/>
                <w:sz w:val="20"/>
                <w:szCs w:val="20"/>
              </w:rPr>
            </w:pPr>
            <w:r>
              <w:rPr>
                <w:rFonts w:ascii="Arial" w:hAnsi="Arial" w:cs="Arial"/>
                <w:sz w:val="20"/>
                <w:szCs w:val="20"/>
              </w:rPr>
              <w:t>SELCN</w:t>
            </w:r>
          </w:p>
        </w:tc>
        <w:tc>
          <w:tcPr>
            <w:tcW w:w="1559" w:type="dxa"/>
          </w:tcPr>
          <w:p w:rsidR="00F72435" w:rsidRDefault="00B54828" w:rsidP="0084398D">
            <w:pPr>
              <w:jc w:val="center"/>
              <w:rPr>
                <w:rFonts w:ascii="Arial" w:hAnsi="Arial" w:cs="Arial"/>
                <w:sz w:val="20"/>
                <w:szCs w:val="20"/>
              </w:rPr>
            </w:pPr>
            <w:r>
              <w:rPr>
                <w:rFonts w:ascii="Arial" w:hAnsi="Arial" w:cs="Arial"/>
                <w:sz w:val="20"/>
                <w:szCs w:val="20"/>
              </w:rPr>
              <w:t>198</w:t>
            </w:r>
          </w:p>
        </w:tc>
        <w:tc>
          <w:tcPr>
            <w:tcW w:w="1843" w:type="dxa"/>
          </w:tcPr>
          <w:p w:rsidR="00F72435" w:rsidRDefault="00B54828" w:rsidP="0084398D">
            <w:pPr>
              <w:jc w:val="center"/>
              <w:rPr>
                <w:rFonts w:ascii="Arial" w:hAnsi="Arial" w:cs="Arial"/>
                <w:sz w:val="20"/>
                <w:szCs w:val="20"/>
              </w:rPr>
            </w:pPr>
            <w:r>
              <w:rPr>
                <w:rFonts w:ascii="Arial" w:hAnsi="Arial" w:cs="Arial"/>
                <w:sz w:val="20"/>
                <w:szCs w:val="20"/>
              </w:rPr>
              <w:t>25.4</w:t>
            </w:r>
          </w:p>
        </w:tc>
        <w:tc>
          <w:tcPr>
            <w:tcW w:w="1090" w:type="dxa"/>
            <w:shd w:val="clear" w:color="auto" w:fill="A6A6A6" w:themeFill="background1" w:themeFillShade="A6"/>
          </w:tcPr>
          <w:p w:rsidR="00F72435" w:rsidRDefault="00B54828" w:rsidP="0084398D">
            <w:pPr>
              <w:jc w:val="center"/>
              <w:rPr>
                <w:rFonts w:ascii="Arial" w:hAnsi="Arial" w:cs="Arial"/>
                <w:sz w:val="20"/>
                <w:szCs w:val="20"/>
              </w:rPr>
            </w:pPr>
            <w:r>
              <w:rPr>
                <w:rFonts w:ascii="Arial" w:hAnsi="Arial" w:cs="Arial"/>
                <w:sz w:val="20"/>
                <w:szCs w:val="20"/>
              </w:rPr>
              <w:t>22.4</w:t>
            </w:r>
          </w:p>
        </w:tc>
        <w:tc>
          <w:tcPr>
            <w:tcW w:w="1541" w:type="dxa"/>
          </w:tcPr>
          <w:p w:rsidR="00F72435" w:rsidRDefault="00B54828" w:rsidP="0084398D">
            <w:pPr>
              <w:jc w:val="center"/>
              <w:rPr>
                <w:rFonts w:ascii="Arial" w:hAnsi="Arial" w:cs="Arial"/>
                <w:sz w:val="20"/>
                <w:szCs w:val="20"/>
              </w:rPr>
            </w:pPr>
            <w:r>
              <w:rPr>
                <w:rFonts w:ascii="Arial" w:hAnsi="Arial" w:cs="Arial"/>
                <w:sz w:val="20"/>
                <w:szCs w:val="20"/>
              </w:rPr>
              <w:t>19.1</w:t>
            </w:r>
          </w:p>
        </w:tc>
        <w:tc>
          <w:tcPr>
            <w:tcW w:w="1541" w:type="dxa"/>
          </w:tcPr>
          <w:p w:rsidR="00F72435" w:rsidRDefault="00B54828" w:rsidP="0084398D">
            <w:pPr>
              <w:jc w:val="center"/>
              <w:rPr>
                <w:rFonts w:ascii="Arial" w:hAnsi="Arial" w:cs="Arial"/>
                <w:sz w:val="20"/>
                <w:szCs w:val="20"/>
              </w:rPr>
            </w:pPr>
            <w:r>
              <w:rPr>
                <w:rFonts w:ascii="Arial" w:hAnsi="Arial" w:cs="Arial"/>
                <w:sz w:val="20"/>
                <w:szCs w:val="20"/>
              </w:rPr>
              <w:t>25.7</w:t>
            </w:r>
          </w:p>
        </w:tc>
      </w:tr>
      <w:tr w:rsidR="00F72435" w:rsidTr="0084398D">
        <w:tc>
          <w:tcPr>
            <w:tcW w:w="1668" w:type="dxa"/>
          </w:tcPr>
          <w:p w:rsidR="00F72435" w:rsidRDefault="00F72435" w:rsidP="0084398D">
            <w:pPr>
              <w:rPr>
                <w:rFonts w:ascii="Arial" w:hAnsi="Arial" w:cs="Arial"/>
                <w:sz w:val="20"/>
                <w:szCs w:val="20"/>
              </w:rPr>
            </w:pPr>
            <w:r>
              <w:rPr>
                <w:rFonts w:ascii="Arial" w:hAnsi="Arial" w:cs="Arial"/>
                <w:sz w:val="20"/>
                <w:szCs w:val="20"/>
              </w:rPr>
              <w:t>England</w:t>
            </w:r>
          </w:p>
        </w:tc>
        <w:tc>
          <w:tcPr>
            <w:tcW w:w="1559" w:type="dxa"/>
          </w:tcPr>
          <w:p w:rsidR="00F72435" w:rsidRDefault="00B54828" w:rsidP="0084398D">
            <w:pPr>
              <w:jc w:val="center"/>
              <w:rPr>
                <w:rFonts w:ascii="Arial" w:hAnsi="Arial" w:cs="Arial"/>
                <w:sz w:val="20"/>
                <w:szCs w:val="20"/>
              </w:rPr>
            </w:pPr>
            <w:r>
              <w:rPr>
                <w:rFonts w:ascii="Arial" w:hAnsi="Arial" w:cs="Arial"/>
                <w:sz w:val="20"/>
                <w:szCs w:val="20"/>
              </w:rPr>
              <w:t>9,340</w:t>
            </w:r>
          </w:p>
        </w:tc>
        <w:tc>
          <w:tcPr>
            <w:tcW w:w="1843" w:type="dxa"/>
          </w:tcPr>
          <w:p w:rsidR="00F72435" w:rsidRDefault="00B54828" w:rsidP="0084398D">
            <w:pPr>
              <w:jc w:val="center"/>
              <w:rPr>
                <w:rFonts w:ascii="Arial" w:hAnsi="Arial" w:cs="Arial"/>
                <w:sz w:val="20"/>
                <w:szCs w:val="20"/>
              </w:rPr>
            </w:pPr>
            <w:r>
              <w:rPr>
                <w:rFonts w:ascii="Arial" w:hAnsi="Arial" w:cs="Arial"/>
                <w:sz w:val="20"/>
                <w:szCs w:val="20"/>
              </w:rPr>
              <w:t>36.2</w:t>
            </w:r>
          </w:p>
        </w:tc>
        <w:tc>
          <w:tcPr>
            <w:tcW w:w="1090" w:type="dxa"/>
            <w:shd w:val="clear" w:color="auto" w:fill="A6A6A6" w:themeFill="background1" w:themeFillShade="A6"/>
          </w:tcPr>
          <w:p w:rsidR="00F72435" w:rsidRDefault="00B54828" w:rsidP="0084398D">
            <w:pPr>
              <w:jc w:val="center"/>
              <w:rPr>
                <w:rFonts w:ascii="Arial" w:hAnsi="Arial" w:cs="Arial"/>
                <w:sz w:val="20"/>
                <w:szCs w:val="20"/>
              </w:rPr>
            </w:pPr>
            <w:r>
              <w:rPr>
                <w:rFonts w:ascii="Arial" w:hAnsi="Arial" w:cs="Arial"/>
                <w:sz w:val="20"/>
                <w:szCs w:val="20"/>
              </w:rPr>
              <w:t>25.0</w:t>
            </w:r>
          </w:p>
        </w:tc>
        <w:tc>
          <w:tcPr>
            <w:tcW w:w="1541" w:type="dxa"/>
          </w:tcPr>
          <w:p w:rsidR="00F72435" w:rsidRDefault="00B54828" w:rsidP="0084398D">
            <w:pPr>
              <w:jc w:val="center"/>
              <w:rPr>
                <w:rFonts w:ascii="Arial" w:hAnsi="Arial" w:cs="Arial"/>
                <w:sz w:val="20"/>
                <w:szCs w:val="20"/>
              </w:rPr>
            </w:pPr>
            <w:r>
              <w:rPr>
                <w:rFonts w:ascii="Arial" w:hAnsi="Arial" w:cs="Arial"/>
                <w:sz w:val="20"/>
                <w:szCs w:val="20"/>
              </w:rPr>
              <w:t>24.4</w:t>
            </w:r>
          </w:p>
        </w:tc>
        <w:tc>
          <w:tcPr>
            <w:tcW w:w="1541" w:type="dxa"/>
          </w:tcPr>
          <w:p w:rsidR="00F72435" w:rsidRDefault="00B54828" w:rsidP="0084398D">
            <w:pPr>
              <w:jc w:val="center"/>
              <w:rPr>
                <w:rFonts w:ascii="Arial" w:hAnsi="Arial" w:cs="Arial"/>
                <w:sz w:val="20"/>
                <w:szCs w:val="20"/>
              </w:rPr>
            </w:pPr>
            <w:r>
              <w:rPr>
                <w:rFonts w:ascii="Arial" w:hAnsi="Arial" w:cs="Arial"/>
                <w:sz w:val="20"/>
                <w:szCs w:val="20"/>
              </w:rPr>
              <w:t>25.5</w:t>
            </w:r>
          </w:p>
        </w:tc>
      </w:tr>
    </w:tbl>
    <w:p w:rsidR="00B508A2" w:rsidRPr="00B508A2" w:rsidRDefault="00B508A2" w:rsidP="00B508A2">
      <w:pPr>
        <w:spacing w:after="0"/>
        <w:rPr>
          <w:rFonts w:ascii="Arial" w:hAnsi="Arial" w:cs="Arial"/>
          <w:sz w:val="16"/>
          <w:szCs w:val="16"/>
        </w:rPr>
      </w:pPr>
      <w:r w:rsidRPr="00B508A2">
        <w:rPr>
          <w:rFonts w:ascii="Arial" w:hAnsi="Arial" w:cs="Arial"/>
          <w:sz w:val="16"/>
          <w:szCs w:val="16"/>
        </w:rPr>
        <w:t>*Age standardised prevalence</w:t>
      </w:r>
    </w:p>
    <w:p w:rsidR="00B508A2" w:rsidRPr="00B508A2" w:rsidRDefault="00B508A2" w:rsidP="00B508A2">
      <w:pPr>
        <w:autoSpaceDE w:val="0"/>
        <w:autoSpaceDN w:val="0"/>
        <w:adjustRightInd w:val="0"/>
        <w:spacing w:after="0" w:line="240" w:lineRule="auto"/>
        <w:rPr>
          <w:rFonts w:ascii="Arial" w:hAnsi="Arial" w:cs="Arial"/>
          <w:b/>
          <w:sz w:val="16"/>
          <w:szCs w:val="16"/>
        </w:rPr>
      </w:pPr>
      <w:r w:rsidRPr="00B508A2">
        <w:rPr>
          <w:rFonts w:ascii="Arial" w:hAnsi="Arial" w:cs="Arial"/>
          <w:b/>
          <w:sz w:val="16"/>
          <w:szCs w:val="16"/>
        </w:rPr>
        <w:t>Source: National Cancer Intelligence Network (2010c).</w:t>
      </w:r>
    </w:p>
    <w:p w:rsidR="00232EF2" w:rsidRDefault="00232EF2" w:rsidP="00DC0D89">
      <w:pPr>
        <w:rPr>
          <w:rFonts w:ascii="Arial" w:hAnsi="Arial" w:cs="Arial"/>
          <w:sz w:val="20"/>
          <w:szCs w:val="20"/>
        </w:rPr>
      </w:pPr>
    </w:p>
    <w:p w:rsidR="00232EF2" w:rsidRDefault="00232EF2" w:rsidP="00DC0D89">
      <w:pPr>
        <w:rPr>
          <w:rFonts w:ascii="Arial" w:hAnsi="Arial" w:cs="Arial"/>
          <w:sz w:val="20"/>
          <w:szCs w:val="20"/>
        </w:rPr>
      </w:pPr>
    </w:p>
    <w:p w:rsidR="00232EF2" w:rsidRDefault="00232EF2" w:rsidP="00DC0D89">
      <w:pPr>
        <w:rPr>
          <w:rFonts w:ascii="Arial" w:hAnsi="Arial" w:cs="Arial"/>
          <w:sz w:val="20"/>
          <w:szCs w:val="20"/>
        </w:rPr>
      </w:pPr>
    </w:p>
    <w:p w:rsidR="00232EF2" w:rsidRDefault="00232EF2" w:rsidP="00DC0D89">
      <w:pPr>
        <w:rPr>
          <w:rFonts w:ascii="Arial" w:hAnsi="Arial" w:cs="Arial"/>
          <w:sz w:val="20"/>
          <w:szCs w:val="20"/>
        </w:rPr>
      </w:pPr>
    </w:p>
    <w:p w:rsidR="00232EF2" w:rsidRDefault="00232EF2" w:rsidP="00DC0D89">
      <w:pPr>
        <w:rPr>
          <w:rFonts w:ascii="Arial" w:hAnsi="Arial" w:cs="Arial"/>
          <w:sz w:val="20"/>
          <w:szCs w:val="20"/>
        </w:rPr>
      </w:pPr>
    </w:p>
    <w:p w:rsidR="00232EF2" w:rsidRDefault="00232EF2" w:rsidP="00DC0D89">
      <w:pPr>
        <w:rPr>
          <w:rFonts w:ascii="Arial" w:hAnsi="Arial" w:cs="Arial"/>
          <w:sz w:val="20"/>
          <w:szCs w:val="20"/>
        </w:rPr>
      </w:pPr>
    </w:p>
    <w:p w:rsidR="00232EF2" w:rsidRDefault="00232EF2" w:rsidP="00DC0D89">
      <w:pPr>
        <w:rPr>
          <w:rFonts w:ascii="Arial" w:hAnsi="Arial" w:cs="Arial"/>
          <w:sz w:val="20"/>
          <w:szCs w:val="20"/>
        </w:rPr>
      </w:pPr>
    </w:p>
    <w:p w:rsidR="00AD2369" w:rsidRDefault="00AD2369" w:rsidP="00DC0D89">
      <w:pPr>
        <w:rPr>
          <w:rFonts w:ascii="Arial" w:hAnsi="Arial" w:cs="Arial"/>
          <w:sz w:val="20"/>
          <w:szCs w:val="20"/>
        </w:rPr>
      </w:pPr>
    </w:p>
    <w:p w:rsidR="00AD2369" w:rsidRDefault="00AD2369" w:rsidP="00DC0D89">
      <w:pPr>
        <w:rPr>
          <w:rFonts w:ascii="Arial" w:hAnsi="Arial" w:cs="Arial"/>
          <w:sz w:val="20"/>
          <w:szCs w:val="20"/>
        </w:rPr>
      </w:pPr>
    </w:p>
    <w:p w:rsidR="00AD2369" w:rsidRDefault="00AD2369" w:rsidP="00DC0D89">
      <w:pPr>
        <w:rPr>
          <w:rFonts w:ascii="Arial" w:hAnsi="Arial" w:cs="Arial"/>
          <w:sz w:val="20"/>
          <w:szCs w:val="20"/>
        </w:rPr>
      </w:pPr>
    </w:p>
    <w:p w:rsidR="00A56FFF" w:rsidRDefault="00A56FFF" w:rsidP="00DC0D89">
      <w:pPr>
        <w:rPr>
          <w:rFonts w:ascii="Arial" w:hAnsi="Arial" w:cs="Arial"/>
          <w:sz w:val="20"/>
          <w:szCs w:val="20"/>
        </w:rPr>
      </w:pPr>
    </w:p>
    <w:p w:rsidR="0053370E" w:rsidRDefault="0053370E" w:rsidP="001F2601">
      <w:pPr>
        <w:pStyle w:val="Heading1"/>
        <w:numPr>
          <w:ilvl w:val="0"/>
          <w:numId w:val="1"/>
        </w:numPr>
        <w:spacing w:after="240"/>
        <w:rPr>
          <w:rFonts w:ascii="Arial" w:hAnsi="Arial" w:cs="Arial"/>
          <w:color w:val="auto"/>
        </w:rPr>
      </w:pPr>
      <w:bookmarkStart w:id="42" w:name="_Toc276037841"/>
      <w:r>
        <w:rPr>
          <w:rFonts w:ascii="Arial" w:hAnsi="Arial" w:cs="Arial"/>
          <w:color w:val="auto"/>
        </w:rPr>
        <w:t>Colorectal</w:t>
      </w:r>
      <w:r w:rsidRPr="005C4A04">
        <w:rPr>
          <w:rFonts w:ascii="Arial" w:hAnsi="Arial" w:cs="Arial"/>
          <w:color w:val="auto"/>
        </w:rPr>
        <w:t xml:space="preserve"> Cancer</w:t>
      </w:r>
      <w:r>
        <w:rPr>
          <w:rFonts w:ascii="Arial" w:hAnsi="Arial" w:cs="Arial"/>
          <w:color w:val="auto"/>
        </w:rPr>
        <w:t xml:space="preserve"> Staging</w:t>
      </w:r>
      <w:r w:rsidR="006B1CA3">
        <w:rPr>
          <w:rFonts w:ascii="Arial" w:hAnsi="Arial" w:cs="Arial"/>
          <w:color w:val="auto"/>
        </w:rPr>
        <w:t xml:space="preserve"> 2003-07</w:t>
      </w:r>
      <w:bookmarkEnd w:id="42"/>
    </w:p>
    <w:p w:rsidR="0053370E" w:rsidRDefault="0053370E" w:rsidP="0053370E">
      <w:pPr>
        <w:rPr>
          <w:rFonts w:ascii="Arial" w:hAnsi="Arial" w:cs="Arial"/>
          <w:sz w:val="20"/>
          <w:szCs w:val="20"/>
        </w:rPr>
      </w:pPr>
      <w:r>
        <w:rPr>
          <w:rFonts w:ascii="Arial" w:hAnsi="Arial" w:cs="Arial"/>
          <w:sz w:val="20"/>
          <w:szCs w:val="20"/>
        </w:rPr>
        <w:t>T</w:t>
      </w:r>
      <w:r w:rsidRPr="007D1FB6">
        <w:rPr>
          <w:rFonts w:ascii="Arial" w:hAnsi="Arial" w:cs="Arial"/>
          <w:sz w:val="20"/>
          <w:szCs w:val="20"/>
        </w:rPr>
        <w:t xml:space="preserve">he staging data presented </w:t>
      </w:r>
      <w:r>
        <w:rPr>
          <w:rFonts w:ascii="Arial" w:hAnsi="Arial" w:cs="Arial"/>
          <w:sz w:val="20"/>
          <w:szCs w:val="20"/>
        </w:rPr>
        <w:t>reveals</w:t>
      </w:r>
      <w:r w:rsidRPr="007D1FB6">
        <w:rPr>
          <w:rFonts w:ascii="Arial" w:hAnsi="Arial" w:cs="Arial"/>
          <w:sz w:val="20"/>
          <w:szCs w:val="20"/>
        </w:rPr>
        <w:t xml:space="preserve"> that the availability of information </w:t>
      </w:r>
      <w:r>
        <w:rPr>
          <w:rFonts w:ascii="Arial" w:hAnsi="Arial" w:cs="Arial"/>
          <w:sz w:val="20"/>
          <w:szCs w:val="20"/>
        </w:rPr>
        <w:t xml:space="preserve">on staging, for </w:t>
      </w:r>
      <w:r w:rsidRPr="007D1FB6">
        <w:rPr>
          <w:rFonts w:ascii="Arial" w:hAnsi="Arial" w:cs="Arial"/>
          <w:sz w:val="20"/>
          <w:szCs w:val="20"/>
        </w:rPr>
        <w:t xml:space="preserve">a cancer at </w:t>
      </w:r>
      <w:r>
        <w:rPr>
          <w:rFonts w:ascii="Arial" w:hAnsi="Arial" w:cs="Arial"/>
          <w:sz w:val="20"/>
          <w:szCs w:val="20"/>
        </w:rPr>
        <w:t>registration</w:t>
      </w:r>
      <w:r w:rsidRPr="007D1FB6">
        <w:rPr>
          <w:rFonts w:ascii="Arial" w:hAnsi="Arial" w:cs="Arial"/>
          <w:sz w:val="20"/>
          <w:szCs w:val="20"/>
        </w:rPr>
        <w:t xml:space="preserve"> is not always present</w:t>
      </w:r>
      <w:r>
        <w:rPr>
          <w:rFonts w:ascii="Arial" w:hAnsi="Arial" w:cs="Arial"/>
          <w:sz w:val="20"/>
          <w:szCs w:val="20"/>
        </w:rPr>
        <w:t xml:space="preserve"> for analysis. </w:t>
      </w:r>
      <w:r w:rsidRPr="0056514F">
        <w:rPr>
          <w:rFonts w:ascii="Arial" w:hAnsi="Arial" w:cs="Arial"/>
          <w:sz w:val="20"/>
          <w:szCs w:val="20"/>
        </w:rPr>
        <w:t>Note that this point refers to the availability of information to the T</w:t>
      </w:r>
      <w:r>
        <w:rPr>
          <w:rFonts w:ascii="Arial" w:hAnsi="Arial" w:cs="Arial"/>
          <w:sz w:val="20"/>
          <w:szCs w:val="20"/>
        </w:rPr>
        <w:t xml:space="preserve">hames </w:t>
      </w:r>
      <w:r w:rsidRPr="0056514F">
        <w:rPr>
          <w:rFonts w:ascii="Arial" w:hAnsi="Arial" w:cs="Arial"/>
          <w:sz w:val="20"/>
          <w:szCs w:val="20"/>
        </w:rPr>
        <w:t>C</w:t>
      </w:r>
      <w:r>
        <w:rPr>
          <w:rFonts w:ascii="Arial" w:hAnsi="Arial" w:cs="Arial"/>
          <w:sz w:val="20"/>
          <w:szCs w:val="20"/>
        </w:rPr>
        <w:t xml:space="preserve">ancer </w:t>
      </w:r>
      <w:r w:rsidRPr="0056514F">
        <w:rPr>
          <w:rFonts w:ascii="Arial" w:hAnsi="Arial" w:cs="Arial"/>
          <w:sz w:val="20"/>
          <w:szCs w:val="20"/>
        </w:rPr>
        <w:t>R</w:t>
      </w:r>
      <w:r>
        <w:rPr>
          <w:rFonts w:ascii="Arial" w:hAnsi="Arial" w:cs="Arial"/>
          <w:sz w:val="20"/>
          <w:szCs w:val="20"/>
        </w:rPr>
        <w:t>egistry (TCR)</w:t>
      </w:r>
      <w:r w:rsidRPr="0056514F">
        <w:rPr>
          <w:rFonts w:ascii="Arial" w:hAnsi="Arial" w:cs="Arial"/>
          <w:sz w:val="20"/>
          <w:szCs w:val="20"/>
        </w:rPr>
        <w:t xml:space="preserve"> for analysis and differs from stating that staging of tumours is not occurring and that medical notes are insufficient.</w:t>
      </w:r>
      <w:r>
        <w:rPr>
          <w:rFonts w:ascii="Arial" w:hAnsi="Arial" w:cs="Arial"/>
          <w:sz w:val="20"/>
          <w:szCs w:val="20"/>
        </w:rPr>
        <w:t xml:space="preserve"> Specifically w</w:t>
      </w:r>
      <w:r w:rsidRPr="00CF07AF">
        <w:rPr>
          <w:rFonts w:ascii="Arial" w:hAnsi="Arial" w:cs="Arial"/>
          <w:sz w:val="20"/>
          <w:szCs w:val="20"/>
        </w:rPr>
        <w:t xml:space="preserve">here the proportion of cases staged by the TCR is low (e.g. SWLCN at 55%), </w:t>
      </w:r>
      <w:r>
        <w:rPr>
          <w:rFonts w:ascii="Arial" w:hAnsi="Arial" w:cs="Arial"/>
          <w:sz w:val="20"/>
          <w:szCs w:val="20"/>
        </w:rPr>
        <w:t xml:space="preserve">it will be </w:t>
      </w:r>
      <w:r w:rsidRPr="00CF07AF">
        <w:rPr>
          <w:rFonts w:ascii="Arial" w:hAnsi="Arial" w:cs="Arial"/>
          <w:sz w:val="20"/>
          <w:szCs w:val="20"/>
        </w:rPr>
        <w:t>due to the low ascertainment of information used to construct the TCR stage</w:t>
      </w:r>
      <w:r>
        <w:rPr>
          <w:rFonts w:ascii="Arial" w:hAnsi="Arial" w:cs="Arial"/>
          <w:sz w:val="20"/>
          <w:szCs w:val="20"/>
        </w:rPr>
        <w:t>. This is due to the information not being available at the time of registration. It is possible that further information may be added at a later date. This may come from the initial hospital visited or another hospital subsequently visited, for example, in the process of treatment. The sources of information for the TCR are:</w:t>
      </w:r>
    </w:p>
    <w:p w:rsidR="0053370E" w:rsidRPr="00171F3C" w:rsidRDefault="0053370E" w:rsidP="001F2601">
      <w:pPr>
        <w:pStyle w:val="ListParagraph"/>
        <w:numPr>
          <w:ilvl w:val="0"/>
          <w:numId w:val="2"/>
        </w:numPr>
        <w:spacing w:after="0"/>
        <w:rPr>
          <w:rFonts w:ascii="Arial" w:hAnsi="Arial" w:cs="Arial"/>
          <w:sz w:val="20"/>
          <w:szCs w:val="20"/>
        </w:rPr>
      </w:pPr>
      <w:r w:rsidRPr="00171F3C">
        <w:rPr>
          <w:rFonts w:ascii="Arial" w:hAnsi="Arial" w:cs="Arial"/>
          <w:sz w:val="20"/>
          <w:szCs w:val="20"/>
        </w:rPr>
        <w:t>Medical notes</w:t>
      </w:r>
    </w:p>
    <w:p w:rsidR="0053370E" w:rsidRDefault="0053370E" w:rsidP="001F2601">
      <w:pPr>
        <w:pStyle w:val="ListParagraph"/>
        <w:numPr>
          <w:ilvl w:val="0"/>
          <w:numId w:val="2"/>
        </w:numPr>
        <w:rPr>
          <w:rFonts w:ascii="Arial" w:hAnsi="Arial" w:cs="Arial"/>
          <w:sz w:val="20"/>
          <w:szCs w:val="20"/>
        </w:rPr>
      </w:pPr>
      <w:r>
        <w:rPr>
          <w:rFonts w:ascii="Arial" w:hAnsi="Arial" w:cs="Arial"/>
          <w:sz w:val="20"/>
          <w:szCs w:val="20"/>
        </w:rPr>
        <w:t>Pathology</w:t>
      </w:r>
    </w:p>
    <w:p w:rsidR="0053370E" w:rsidRPr="00171F3C" w:rsidRDefault="0053370E" w:rsidP="001F2601">
      <w:pPr>
        <w:pStyle w:val="ListParagraph"/>
        <w:numPr>
          <w:ilvl w:val="0"/>
          <w:numId w:val="2"/>
        </w:numPr>
        <w:rPr>
          <w:rFonts w:ascii="Arial" w:hAnsi="Arial" w:cs="Arial"/>
          <w:sz w:val="20"/>
          <w:szCs w:val="20"/>
        </w:rPr>
      </w:pPr>
      <w:r>
        <w:rPr>
          <w:rFonts w:ascii="Arial" w:hAnsi="Arial" w:cs="Arial"/>
          <w:sz w:val="20"/>
          <w:szCs w:val="20"/>
        </w:rPr>
        <w:t>Electronic data sent by trust (only occurs at some trusts)</w:t>
      </w:r>
    </w:p>
    <w:p w:rsidR="0053370E" w:rsidRDefault="0053370E" w:rsidP="0053370E">
      <w:pPr>
        <w:rPr>
          <w:rFonts w:ascii="Arial" w:hAnsi="Arial" w:cs="Arial"/>
          <w:sz w:val="20"/>
          <w:szCs w:val="20"/>
        </w:rPr>
      </w:pPr>
      <w:r>
        <w:rPr>
          <w:rFonts w:ascii="Arial" w:hAnsi="Arial" w:cs="Arial"/>
          <w:sz w:val="20"/>
          <w:szCs w:val="20"/>
        </w:rPr>
        <w:t>Ultimately if the information (listed above) is not available or it is not immediately apparent in the medical notes, then constructing a TCR stage at diagnosis is not possible. Given the extent of paper medical notes possible for each patient, the TCR cannot invest inordinate amounts of time examining every piece of medical notes for each patient. It must be</w:t>
      </w:r>
      <w:r w:rsidRPr="00CF07AF">
        <w:rPr>
          <w:rFonts w:ascii="Arial" w:hAnsi="Arial" w:cs="Arial"/>
          <w:sz w:val="20"/>
          <w:szCs w:val="20"/>
        </w:rPr>
        <w:t xml:space="preserve"> emphasise</w:t>
      </w:r>
      <w:r>
        <w:rPr>
          <w:rFonts w:ascii="Arial" w:hAnsi="Arial" w:cs="Arial"/>
          <w:sz w:val="20"/>
          <w:szCs w:val="20"/>
        </w:rPr>
        <w:t>d</w:t>
      </w:r>
      <w:r w:rsidRPr="00CF07AF">
        <w:rPr>
          <w:rFonts w:ascii="Arial" w:hAnsi="Arial" w:cs="Arial"/>
          <w:sz w:val="20"/>
          <w:szCs w:val="20"/>
        </w:rPr>
        <w:t xml:space="preserve"> that the lack of staging data </w:t>
      </w:r>
      <w:r>
        <w:rPr>
          <w:rFonts w:ascii="Arial" w:hAnsi="Arial" w:cs="Arial"/>
          <w:sz w:val="20"/>
          <w:szCs w:val="20"/>
        </w:rPr>
        <w:t>(</w:t>
      </w:r>
      <w:r w:rsidRPr="00CF07AF">
        <w:rPr>
          <w:rFonts w:ascii="Arial" w:hAnsi="Arial" w:cs="Arial"/>
          <w:sz w:val="20"/>
          <w:szCs w:val="20"/>
        </w:rPr>
        <w:t xml:space="preserve">as reflected in </w:t>
      </w:r>
      <w:r>
        <w:rPr>
          <w:rFonts w:ascii="Arial" w:hAnsi="Arial" w:cs="Arial"/>
          <w:sz w:val="20"/>
          <w:szCs w:val="20"/>
        </w:rPr>
        <w:t>the SWLCN</w:t>
      </w:r>
      <w:r w:rsidRPr="00CF07AF">
        <w:rPr>
          <w:rFonts w:ascii="Arial" w:hAnsi="Arial" w:cs="Arial"/>
          <w:sz w:val="20"/>
          <w:szCs w:val="20"/>
        </w:rPr>
        <w:t xml:space="preserve"> </w:t>
      </w:r>
      <w:r>
        <w:rPr>
          <w:rFonts w:ascii="Arial" w:hAnsi="Arial" w:cs="Arial"/>
          <w:sz w:val="20"/>
          <w:szCs w:val="20"/>
        </w:rPr>
        <w:t xml:space="preserve">2007 average proportion – 55%) </w:t>
      </w:r>
      <w:r w:rsidRPr="00CF07AF">
        <w:rPr>
          <w:rFonts w:ascii="Arial" w:hAnsi="Arial" w:cs="Arial"/>
          <w:sz w:val="20"/>
          <w:szCs w:val="20"/>
        </w:rPr>
        <w:t xml:space="preserve">is due to processes in </w:t>
      </w:r>
      <w:r>
        <w:rPr>
          <w:rFonts w:ascii="Arial" w:hAnsi="Arial" w:cs="Arial"/>
          <w:sz w:val="20"/>
          <w:szCs w:val="20"/>
        </w:rPr>
        <w:t>the</w:t>
      </w:r>
      <w:r w:rsidRPr="00CF07AF">
        <w:rPr>
          <w:rFonts w:ascii="Arial" w:hAnsi="Arial" w:cs="Arial"/>
          <w:sz w:val="20"/>
          <w:szCs w:val="20"/>
        </w:rPr>
        <w:t xml:space="preserve"> ascertainmen</w:t>
      </w:r>
      <w:r>
        <w:rPr>
          <w:rFonts w:ascii="Arial" w:hAnsi="Arial" w:cs="Arial"/>
          <w:sz w:val="20"/>
          <w:szCs w:val="20"/>
        </w:rPr>
        <w:t xml:space="preserve">t of the data. It does not mean </w:t>
      </w:r>
      <w:r w:rsidRPr="00CF07AF">
        <w:rPr>
          <w:rFonts w:ascii="Arial" w:hAnsi="Arial" w:cs="Arial"/>
          <w:sz w:val="20"/>
          <w:szCs w:val="20"/>
        </w:rPr>
        <w:t>that the patients did not have their disease staged by their clinician(s)</w:t>
      </w:r>
      <w:r>
        <w:rPr>
          <w:rFonts w:ascii="Arial" w:hAnsi="Arial" w:cs="Arial"/>
          <w:sz w:val="20"/>
          <w:szCs w:val="20"/>
        </w:rPr>
        <w:t xml:space="preserve"> (Thames Cancer Registry 2010a</w:t>
      </w:r>
      <w:r w:rsidR="00922E19">
        <w:rPr>
          <w:rFonts w:ascii="Arial" w:hAnsi="Arial" w:cs="Arial"/>
          <w:sz w:val="20"/>
          <w:szCs w:val="20"/>
        </w:rPr>
        <w:t>).</w:t>
      </w:r>
    </w:p>
    <w:p w:rsidR="00922E19" w:rsidRDefault="00922E19" w:rsidP="00922E19">
      <w:pPr>
        <w:rPr>
          <w:rFonts w:ascii="Arial" w:hAnsi="Arial" w:cs="Arial"/>
          <w:sz w:val="20"/>
          <w:szCs w:val="20"/>
        </w:rPr>
      </w:pPr>
      <w:r>
        <w:rPr>
          <w:rFonts w:ascii="Arial" w:hAnsi="Arial" w:cs="Arial"/>
          <w:sz w:val="20"/>
          <w:szCs w:val="20"/>
        </w:rPr>
        <w:t>The Thames Cancer Registry staging system is as follows:</w:t>
      </w:r>
    </w:p>
    <w:p w:rsidR="00922E19" w:rsidRPr="00922E19" w:rsidRDefault="00922E19" w:rsidP="00922E19">
      <w:pPr>
        <w:pStyle w:val="Caption"/>
        <w:spacing w:after="0"/>
        <w:rPr>
          <w:rFonts w:ascii="Arial" w:hAnsi="Arial" w:cs="Arial"/>
          <w:color w:val="auto"/>
          <w:sz w:val="20"/>
          <w:szCs w:val="20"/>
        </w:rPr>
      </w:pPr>
      <w:proofErr w:type="gramStart"/>
      <w:r w:rsidRPr="00922E19">
        <w:rPr>
          <w:rFonts w:ascii="Arial" w:hAnsi="Arial" w:cs="Arial"/>
          <w:color w:val="auto"/>
        </w:rPr>
        <w:t xml:space="preserve">Table </w:t>
      </w:r>
      <w:r w:rsidR="00AF55AD" w:rsidRPr="00922E19">
        <w:rPr>
          <w:rFonts w:ascii="Arial" w:hAnsi="Arial" w:cs="Arial"/>
          <w:color w:val="auto"/>
        </w:rPr>
        <w:fldChar w:fldCharType="begin"/>
      </w:r>
      <w:r w:rsidRPr="00922E19">
        <w:rPr>
          <w:rFonts w:ascii="Arial" w:hAnsi="Arial" w:cs="Arial"/>
          <w:color w:val="auto"/>
        </w:rPr>
        <w:instrText xml:space="preserve"> SEQ Table \* ARABIC </w:instrText>
      </w:r>
      <w:r w:rsidR="00AF55AD" w:rsidRPr="00922E19">
        <w:rPr>
          <w:rFonts w:ascii="Arial" w:hAnsi="Arial" w:cs="Arial"/>
          <w:color w:val="auto"/>
        </w:rPr>
        <w:fldChar w:fldCharType="separate"/>
      </w:r>
      <w:r w:rsidR="004E6A50">
        <w:rPr>
          <w:rFonts w:ascii="Arial" w:hAnsi="Arial" w:cs="Arial"/>
          <w:noProof/>
          <w:color w:val="auto"/>
        </w:rPr>
        <w:t>3</w:t>
      </w:r>
      <w:r w:rsidR="00AF55AD" w:rsidRPr="00922E19">
        <w:rPr>
          <w:rFonts w:ascii="Arial" w:hAnsi="Arial" w:cs="Arial"/>
          <w:color w:val="auto"/>
        </w:rPr>
        <w:fldChar w:fldCharType="end"/>
      </w:r>
      <w:r w:rsidRPr="00922E19">
        <w:rPr>
          <w:rFonts w:ascii="Arial" w:hAnsi="Arial" w:cs="Arial"/>
          <w:color w:val="auto"/>
        </w:rPr>
        <w:t>: Thames Cancer Registry four level staging system.</w:t>
      </w:r>
      <w:proofErr w:type="gramEnd"/>
    </w:p>
    <w:tbl>
      <w:tblPr>
        <w:tblStyle w:val="TableGrid"/>
        <w:tblW w:w="0" w:type="auto"/>
        <w:tblLook w:val="04A0"/>
      </w:tblPr>
      <w:tblGrid>
        <w:gridCol w:w="1526"/>
        <w:gridCol w:w="7087"/>
      </w:tblGrid>
      <w:tr w:rsidR="00922E19" w:rsidTr="0084398D">
        <w:tc>
          <w:tcPr>
            <w:tcW w:w="1526" w:type="dxa"/>
          </w:tcPr>
          <w:p w:rsidR="00922E19" w:rsidRPr="00B929F6" w:rsidRDefault="00922E19" w:rsidP="00922E19">
            <w:pPr>
              <w:autoSpaceDE w:val="0"/>
              <w:autoSpaceDN w:val="0"/>
              <w:adjustRightInd w:val="0"/>
              <w:rPr>
                <w:rFonts w:ascii="Arial" w:hAnsi="Arial" w:cs="Arial"/>
                <w:b/>
                <w:sz w:val="20"/>
                <w:szCs w:val="20"/>
              </w:rPr>
            </w:pPr>
            <w:r w:rsidRPr="00B929F6">
              <w:rPr>
                <w:rFonts w:ascii="Arial" w:hAnsi="Arial" w:cs="Arial"/>
                <w:b/>
                <w:sz w:val="20"/>
                <w:szCs w:val="20"/>
              </w:rPr>
              <w:t>Stage</w:t>
            </w:r>
          </w:p>
        </w:tc>
        <w:tc>
          <w:tcPr>
            <w:tcW w:w="7087" w:type="dxa"/>
          </w:tcPr>
          <w:p w:rsidR="00922E19" w:rsidRPr="00B929F6" w:rsidRDefault="00922E19" w:rsidP="0084398D">
            <w:pPr>
              <w:autoSpaceDE w:val="0"/>
              <w:autoSpaceDN w:val="0"/>
              <w:adjustRightInd w:val="0"/>
              <w:rPr>
                <w:rFonts w:ascii="Arial" w:hAnsi="Arial" w:cs="Arial"/>
                <w:b/>
                <w:sz w:val="20"/>
                <w:szCs w:val="20"/>
              </w:rPr>
            </w:pPr>
            <w:r w:rsidRPr="00B929F6">
              <w:rPr>
                <w:rFonts w:ascii="Arial" w:hAnsi="Arial" w:cs="Arial"/>
                <w:b/>
                <w:sz w:val="20"/>
                <w:szCs w:val="20"/>
              </w:rPr>
              <w:t>Description</w:t>
            </w:r>
          </w:p>
        </w:tc>
      </w:tr>
      <w:tr w:rsidR="00922E19" w:rsidTr="0084398D">
        <w:tc>
          <w:tcPr>
            <w:tcW w:w="1526" w:type="dxa"/>
          </w:tcPr>
          <w:p w:rsidR="00922E19" w:rsidRDefault="00922E19" w:rsidP="0084398D">
            <w:pPr>
              <w:autoSpaceDE w:val="0"/>
              <w:autoSpaceDN w:val="0"/>
              <w:adjustRightInd w:val="0"/>
              <w:jc w:val="center"/>
              <w:rPr>
                <w:rFonts w:ascii="Arial" w:hAnsi="Arial" w:cs="Arial"/>
                <w:sz w:val="20"/>
                <w:szCs w:val="20"/>
              </w:rPr>
            </w:pPr>
            <w:r>
              <w:rPr>
                <w:rFonts w:ascii="Arial" w:hAnsi="Arial" w:cs="Arial"/>
                <w:sz w:val="20"/>
                <w:szCs w:val="20"/>
              </w:rPr>
              <w:t>1</w:t>
            </w:r>
          </w:p>
        </w:tc>
        <w:tc>
          <w:tcPr>
            <w:tcW w:w="7087" w:type="dxa"/>
          </w:tcPr>
          <w:p w:rsidR="00922E19" w:rsidRDefault="00922E19" w:rsidP="0084398D">
            <w:pPr>
              <w:autoSpaceDE w:val="0"/>
              <w:autoSpaceDN w:val="0"/>
              <w:adjustRightInd w:val="0"/>
              <w:rPr>
                <w:rFonts w:ascii="Arial" w:hAnsi="Arial" w:cs="Arial"/>
                <w:sz w:val="20"/>
                <w:szCs w:val="20"/>
              </w:rPr>
            </w:pPr>
            <w:r w:rsidRPr="00C26BE3">
              <w:rPr>
                <w:rFonts w:ascii="ArialMT" w:hAnsi="ArialMT" w:cs="ArialMT"/>
                <w:sz w:val="20"/>
                <w:szCs w:val="20"/>
              </w:rPr>
              <w:t>Local (tumour confined to organ of origin)</w:t>
            </w:r>
            <w:r>
              <w:rPr>
                <w:rFonts w:ascii="ArialMT" w:hAnsi="ArialMT" w:cs="ArialMT"/>
                <w:sz w:val="20"/>
                <w:szCs w:val="20"/>
              </w:rPr>
              <w:t>.</w:t>
            </w:r>
          </w:p>
        </w:tc>
      </w:tr>
      <w:tr w:rsidR="00922E19" w:rsidTr="0084398D">
        <w:tc>
          <w:tcPr>
            <w:tcW w:w="1526" w:type="dxa"/>
          </w:tcPr>
          <w:p w:rsidR="00922E19" w:rsidRDefault="00922E19" w:rsidP="0084398D">
            <w:pPr>
              <w:autoSpaceDE w:val="0"/>
              <w:autoSpaceDN w:val="0"/>
              <w:adjustRightInd w:val="0"/>
              <w:jc w:val="center"/>
              <w:rPr>
                <w:rFonts w:ascii="Arial" w:hAnsi="Arial" w:cs="Arial"/>
                <w:sz w:val="20"/>
                <w:szCs w:val="20"/>
              </w:rPr>
            </w:pPr>
            <w:r>
              <w:rPr>
                <w:rFonts w:ascii="Arial" w:hAnsi="Arial" w:cs="Arial"/>
                <w:sz w:val="20"/>
                <w:szCs w:val="20"/>
              </w:rPr>
              <w:t>2</w:t>
            </w:r>
          </w:p>
        </w:tc>
        <w:tc>
          <w:tcPr>
            <w:tcW w:w="7087" w:type="dxa"/>
          </w:tcPr>
          <w:p w:rsidR="00922E19" w:rsidRDefault="00922E19" w:rsidP="0084398D">
            <w:pPr>
              <w:autoSpaceDE w:val="0"/>
              <w:autoSpaceDN w:val="0"/>
              <w:adjustRightInd w:val="0"/>
              <w:rPr>
                <w:rFonts w:ascii="ArialMT" w:hAnsi="ArialMT" w:cs="ArialMT"/>
                <w:sz w:val="20"/>
                <w:szCs w:val="20"/>
              </w:rPr>
            </w:pPr>
            <w:r w:rsidRPr="00C26BE3">
              <w:rPr>
                <w:rFonts w:ascii="ArialMT" w:hAnsi="ArialMT" w:cs="ArialMT"/>
                <w:sz w:val="20"/>
                <w:szCs w:val="20"/>
              </w:rPr>
              <w:t>Direct extension (tumour has extended into surrounding tissues and organs)</w:t>
            </w:r>
            <w:r>
              <w:rPr>
                <w:rFonts w:ascii="ArialMT" w:hAnsi="ArialMT" w:cs="ArialMT"/>
                <w:sz w:val="20"/>
                <w:szCs w:val="20"/>
              </w:rPr>
              <w:t>.</w:t>
            </w:r>
          </w:p>
        </w:tc>
      </w:tr>
      <w:tr w:rsidR="00922E19" w:rsidTr="0084398D">
        <w:tc>
          <w:tcPr>
            <w:tcW w:w="1526" w:type="dxa"/>
          </w:tcPr>
          <w:p w:rsidR="00922E19" w:rsidRDefault="00922E19" w:rsidP="0084398D">
            <w:pPr>
              <w:autoSpaceDE w:val="0"/>
              <w:autoSpaceDN w:val="0"/>
              <w:adjustRightInd w:val="0"/>
              <w:jc w:val="center"/>
              <w:rPr>
                <w:rFonts w:ascii="Arial" w:hAnsi="Arial" w:cs="Arial"/>
                <w:sz w:val="20"/>
                <w:szCs w:val="20"/>
              </w:rPr>
            </w:pPr>
            <w:r>
              <w:rPr>
                <w:rFonts w:ascii="Arial" w:hAnsi="Arial" w:cs="Arial"/>
                <w:sz w:val="20"/>
                <w:szCs w:val="20"/>
              </w:rPr>
              <w:t>3</w:t>
            </w:r>
          </w:p>
        </w:tc>
        <w:tc>
          <w:tcPr>
            <w:tcW w:w="7087" w:type="dxa"/>
          </w:tcPr>
          <w:p w:rsidR="00922E19" w:rsidRDefault="00922E19" w:rsidP="0084398D">
            <w:pPr>
              <w:autoSpaceDE w:val="0"/>
              <w:autoSpaceDN w:val="0"/>
              <w:adjustRightInd w:val="0"/>
              <w:rPr>
                <w:rFonts w:ascii="ArialMT" w:hAnsi="ArialMT" w:cs="ArialMT"/>
                <w:sz w:val="20"/>
                <w:szCs w:val="20"/>
              </w:rPr>
            </w:pPr>
            <w:r w:rsidRPr="00C26BE3">
              <w:rPr>
                <w:rFonts w:ascii="ArialMT" w:hAnsi="ArialMT" w:cs="ArialMT"/>
                <w:sz w:val="20"/>
                <w:szCs w:val="20"/>
              </w:rPr>
              <w:t>Nodal involvement (local nodes are involved)</w:t>
            </w:r>
            <w:r>
              <w:rPr>
                <w:rFonts w:ascii="ArialMT" w:hAnsi="ArialMT" w:cs="ArialMT"/>
                <w:sz w:val="20"/>
                <w:szCs w:val="20"/>
              </w:rPr>
              <w:t>.</w:t>
            </w:r>
          </w:p>
        </w:tc>
      </w:tr>
      <w:tr w:rsidR="00922E19" w:rsidTr="0084398D">
        <w:tc>
          <w:tcPr>
            <w:tcW w:w="1526" w:type="dxa"/>
          </w:tcPr>
          <w:p w:rsidR="00922E19" w:rsidRDefault="00922E19" w:rsidP="0084398D">
            <w:pPr>
              <w:autoSpaceDE w:val="0"/>
              <w:autoSpaceDN w:val="0"/>
              <w:adjustRightInd w:val="0"/>
              <w:jc w:val="center"/>
              <w:rPr>
                <w:rFonts w:ascii="Arial" w:hAnsi="Arial" w:cs="Arial"/>
                <w:sz w:val="20"/>
                <w:szCs w:val="20"/>
              </w:rPr>
            </w:pPr>
            <w:r>
              <w:rPr>
                <w:rFonts w:ascii="Arial" w:hAnsi="Arial" w:cs="Arial"/>
                <w:sz w:val="20"/>
                <w:szCs w:val="20"/>
              </w:rPr>
              <w:t>4</w:t>
            </w:r>
          </w:p>
        </w:tc>
        <w:tc>
          <w:tcPr>
            <w:tcW w:w="7087" w:type="dxa"/>
          </w:tcPr>
          <w:p w:rsidR="00922E19" w:rsidRDefault="00922E19" w:rsidP="0084398D">
            <w:pPr>
              <w:autoSpaceDE w:val="0"/>
              <w:autoSpaceDN w:val="0"/>
              <w:adjustRightInd w:val="0"/>
              <w:rPr>
                <w:rFonts w:ascii="ArialMT" w:hAnsi="ArialMT" w:cs="ArialMT"/>
                <w:sz w:val="20"/>
                <w:szCs w:val="20"/>
              </w:rPr>
            </w:pPr>
            <w:r w:rsidRPr="00C26BE3">
              <w:rPr>
                <w:rFonts w:ascii="ArialMT" w:hAnsi="ArialMT" w:cs="ArialMT"/>
                <w:sz w:val="20"/>
                <w:szCs w:val="20"/>
              </w:rPr>
              <w:t>Metastases (distant metastases are present)</w:t>
            </w:r>
            <w:r>
              <w:rPr>
                <w:rFonts w:ascii="ArialMT" w:hAnsi="ArialMT" w:cs="ArialMT"/>
                <w:sz w:val="20"/>
                <w:szCs w:val="20"/>
              </w:rPr>
              <w:t>.</w:t>
            </w:r>
          </w:p>
        </w:tc>
      </w:tr>
    </w:tbl>
    <w:p w:rsidR="00922E19" w:rsidRDefault="00922E19" w:rsidP="00922E19">
      <w:pPr>
        <w:autoSpaceDE w:val="0"/>
        <w:autoSpaceDN w:val="0"/>
        <w:adjustRightInd w:val="0"/>
        <w:spacing w:after="0" w:line="360" w:lineRule="auto"/>
        <w:rPr>
          <w:rFonts w:ascii="Arial" w:hAnsi="Arial" w:cs="Arial"/>
          <w:b/>
          <w:sz w:val="16"/>
          <w:szCs w:val="16"/>
        </w:rPr>
      </w:pPr>
      <w:r>
        <w:rPr>
          <w:rFonts w:ascii="Arial" w:hAnsi="Arial" w:cs="Arial"/>
          <w:b/>
          <w:sz w:val="16"/>
          <w:szCs w:val="16"/>
        </w:rPr>
        <w:t>Source: Thames Cancer Registry (2009).</w:t>
      </w:r>
    </w:p>
    <w:p w:rsidR="0053370E" w:rsidRDefault="0053370E" w:rsidP="001F2601">
      <w:pPr>
        <w:pStyle w:val="Heading2"/>
        <w:numPr>
          <w:ilvl w:val="1"/>
          <w:numId w:val="1"/>
        </w:numPr>
        <w:spacing w:after="240"/>
        <w:rPr>
          <w:rFonts w:ascii="Arial" w:hAnsi="Arial" w:cs="Arial"/>
          <w:color w:val="auto"/>
          <w:sz w:val="24"/>
          <w:szCs w:val="24"/>
        </w:rPr>
      </w:pPr>
      <w:bookmarkStart w:id="43" w:name="_Toc266789753"/>
      <w:bookmarkStart w:id="44" w:name="_Toc268275500"/>
      <w:bookmarkStart w:id="45" w:name="_Toc276037842"/>
      <w:r>
        <w:rPr>
          <w:rFonts w:ascii="Arial" w:hAnsi="Arial" w:cs="Arial"/>
          <w:color w:val="auto"/>
          <w:sz w:val="24"/>
          <w:szCs w:val="24"/>
        </w:rPr>
        <w:t>PCT staging</w:t>
      </w:r>
      <w:bookmarkEnd w:id="43"/>
      <w:bookmarkEnd w:id="44"/>
      <w:bookmarkEnd w:id="45"/>
    </w:p>
    <w:p w:rsidR="0053370E" w:rsidRDefault="0053370E" w:rsidP="0053370E">
      <w:pPr>
        <w:tabs>
          <w:tab w:val="left" w:pos="2370"/>
        </w:tabs>
        <w:rPr>
          <w:rFonts w:ascii="Arial" w:hAnsi="Arial" w:cs="Arial"/>
          <w:sz w:val="20"/>
          <w:szCs w:val="20"/>
        </w:rPr>
      </w:pPr>
      <w:r w:rsidRPr="0053370E">
        <w:rPr>
          <w:rFonts w:ascii="Arial" w:hAnsi="Arial" w:cs="Arial"/>
          <w:sz w:val="20"/>
          <w:szCs w:val="20"/>
        </w:rPr>
        <w:t xml:space="preserve">Across the SWLCN, staging of colorectal cancer is distributed more widely across the groups compared to other cancers reported here. Wandsworth PCT shows higher female diagnosis at stage 4 for colorectal cancer and stage 2 for men. The highest proportion for Kingston is at stage 2 for males (23.7%) and at stage 3 for women (21.5%).  Richmond </w:t>
      </w:r>
      <w:r w:rsidR="00C67525">
        <w:rPr>
          <w:rFonts w:ascii="Arial" w:hAnsi="Arial" w:cs="Arial"/>
          <w:sz w:val="20"/>
          <w:szCs w:val="20"/>
        </w:rPr>
        <w:t>&amp;</w:t>
      </w:r>
      <w:r w:rsidRPr="0053370E">
        <w:rPr>
          <w:rFonts w:ascii="Arial" w:hAnsi="Arial" w:cs="Arial"/>
          <w:sz w:val="20"/>
          <w:szCs w:val="20"/>
        </w:rPr>
        <w:t xml:space="preserve"> Twickenham show largest proportions at stage 4 for both male (25.1%) and female (22.0%). Similarly Sutton </w:t>
      </w:r>
      <w:r w:rsidR="00C67525">
        <w:rPr>
          <w:rFonts w:ascii="Arial" w:hAnsi="Arial" w:cs="Arial"/>
          <w:sz w:val="20"/>
          <w:szCs w:val="20"/>
        </w:rPr>
        <w:t>&amp;</w:t>
      </w:r>
      <w:r w:rsidRPr="0053370E">
        <w:rPr>
          <w:rFonts w:ascii="Arial" w:hAnsi="Arial" w:cs="Arial"/>
          <w:sz w:val="20"/>
          <w:szCs w:val="20"/>
        </w:rPr>
        <w:t xml:space="preserve"> Merton have most (besides ‘Not Known’) men and women</w:t>
      </w:r>
      <w:r>
        <w:rPr>
          <w:rFonts w:ascii="Arial" w:hAnsi="Arial" w:cs="Arial"/>
          <w:sz w:val="20"/>
          <w:szCs w:val="20"/>
        </w:rPr>
        <w:t xml:space="preserve"> presenting at stage 4 (</w:t>
      </w:r>
      <w:fldSimple w:instr=" REF _Ref268531704 \h  \* MERGEFORMAT ">
        <w:r w:rsidR="004E6A50" w:rsidRPr="004E6A50">
          <w:rPr>
            <w:rFonts w:ascii="Arial" w:hAnsi="Arial" w:cs="Arial"/>
            <w:sz w:val="20"/>
            <w:szCs w:val="20"/>
          </w:rPr>
          <w:t xml:space="preserve">Figure </w:t>
        </w:r>
        <w:r w:rsidR="004E6A50" w:rsidRPr="004E6A50">
          <w:rPr>
            <w:rFonts w:ascii="Arial" w:hAnsi="Arial" w:cs="Arial"/>
            <w:noProof/>
            <w:sz w:val="20"/>
            <w:szCs w:val="20"/>
          </w:rPr>
          <w:t>15</w:t>
        </w:r>
      </w:fldSimple>
      <w:r w:rsidR="00922E19">
        <w:rPr>
          <w:rFonts w:ascii="Arial" w:hAnsi="Arial" w:cs="Arial"/>
          <w:sz w:val="20"/>
          <w:szCs w:val="20"/>
        </w:rPr>
        <w:t>).</w:t>
      </w:r>
    </w:p>
    <w:p w:rsidR="00922E19" w:rsidRDefault="00922E19" w:rsidP="0053370E">
      <w:pPr>
        <w:tabs>
          <w:tab w:val="left" w:pos="2370"/>
        </w:tabs>
        <w:rPr>
          <w:rFonts w:ascii="Arial" w:hAnsi="Arial" w:cs="Arial"/>
          <w:sz w:val="20"/>
          <w:szCs w:val="20"/>
        </w:rPr>
      </w:pPr>
    </w:p>
    <w:p w:rsidR="00922E19" w:rsidRDefault="00922E19" w:rsidP="0053370E">
      <w:pPr>
        <w:tabs>
          <w:tab w:val="left" w:pos="2370"/>
        </w:tabs>
        <w:rPr>
          <w:rFonts w:ascii="Arial" w:hAnsi="Arial" w:cs="Arial"/>
          <w:sz w:val="20"/>
          <w:szCs w:val="20"/>
        </w:rPr>
      </w:pPr>
    </w:p>
    <w:p w:rsidR="00922E19" w:rsidRDefault="00922E19" w:rsidP="0053370E">
      <w:pPr>
        <w:tabs>
          <w:tab w:val="left" w:pos="2370"/>
        </w:tabs>
        <w:rPr>
          <w:rFonts w:ascii="Arial" w:hAnsi="Arial" w:cs="Arial"/>
          <w:sz w:val="20"/>
          <w:szCs w:val="20"/>
        </w:rPr>
      </w:pPr>
    </w:p>
    <w:p w:rsidR="00922E19" w:rsidRDefault="00922E19" w:rsidP="0053370E">
      <w:pPr>
        <w:tabs>
          <w:tab w:val="left" w:pos="2370"/>
        </w:tabs>
        <w:rPr>
          <w:rFonts w:ascii="Arial" w:hAnsi="Arial" w:cs="Arial"/>
          <w:sz w:val="20"/>
          <w:szCs w:val="20"/>
        </w:rPr>
      </w:pPr>
    </w:p>
    <w:p w:rsidR="00922E19" w:rsidRDefault="00922E19" w:rsidP="0053370E">
      <w:pPr>
        <w:tabs>
          <w:tab w:val="left" w:pos="2370"/>
        </w:tabs>
        <w:rPr>
          <w:rFonts w:ascii="Arial" w:hAnsi="Arial" w:cs="Arial"/>
          <w:sz w:val="20"/>
          <w:szCs w:val="20"/>
        </w:rPr>
      </w:pPr>
    </w:p>
    <w:p w:rsidR="00922E19" w:rsidRDefault="00922E19" w:rsidP="0053370E">
      <w:pPr>
        <w:tabs>
          <w:tab w:val="left" w:pos="2370"/>
        </w:tabs>
        <w:rPr>
          <w:rFonts w:ascii="Arial" w:hAnsi="Arial" w:cs="Arial"/>
          <w:sz w:val="20"/>
          <w:szCs w:val="20"/>
        </w:rPr>
      </w:pPr>
    </w:p>
    <w:p w:rsidR="009414E5" w:rsidRDefault="009414E5" w:rsidP="009414E5">
      <w:pPr>
        <w:pStyle w:val="Caption"/>
        <w:rPr>
          <w:rFonts w:ascii="Arial" w:hAnsi="Arial" w:cs="Arial"/>
          <w:color w:val="auto"/>
        </w:rPr>
      </w:pPr>
      <w:bookmarkStart w:id="46" w:name="_Ref268531704"/>
      <w:r w:rsidRPr="009414E5">
        <w:rPr>
          <w:rFonts w:ascii="Arial" w:hAnsi="Arial" w:cs="Arial"/>
          <w:color w:val="auto"/>
        </w:rPr>
        <w:t xml:space="preserve">Figure </w:t>
      </w:r>
      <w:r w:rsidR="00AF55AD" w:rsidRPr="009414E5">
        <w:rPr>
          <w:rFonts w:ascii="Arial" w:hAnsi="Arial" w:cs="Arial"/>
          <w:color w:val="auto"/>
        </w:rPr>
        <w:fldChar w:fldCharType="begin"/>
      </w:r>
      <w:r w:rsidRPr="009414E5">
        <w:rPr>
          <w:rFonts w:ascii="Arial" w:hAnsi="Arial" w:cs="Arial"/>
          <w:color w:val="auto"/>
        </w:rPr>
        <w:instrText xml:space="preserve"> SEQ Figure \* ARABIC </w:instrText>
      </w:r>
      <w:r w:rsidR="00AF55AD" w:rsidRPr="009414E5">
        <w:rPr>
          <w:rFonts w:ascii="Arial" w:hAnsi="Arial" w:cs="Arial"/>
          <w:color w:val="auto"/>
        </w:rPr>
        <w:fldChar w:fldCharType="separate"/>
      </w:r>
      <w:r w:rsidR="004E6A50">
        <w:rPr>
          <w:rFonts w:ascii="Arial" w:hAnsi="Arial" w:cs="Arial"/>
          <w:noProof/>
          <w:color w:val="auto"/>
        </w:rPr>
        <w:t>15</w:t>
      </w:r>
      <w:r w:rsidR="00AF55AD" w:rsidRPr="009414E5">
        <w:rPr>
          <w:rFonts w:ascii="Arial" w:hAnsi="Arial" w:cs="Arial"/>
          <w:color w:val="auto"/>
        </w:rPr>
        <w:fldChar w:fldCharType="end"/>
      </w:r>
      <w:bookmarkEnd w:id="46"/>
      <w:r w:rsidRPr="009414E5">
        <w:rPr>
          <w:rFonts w:ascii="Arial" w:hAnsi="Arial" w:cs="Arial"/>
          <w:color w:val="auto"/>
        </w:rPr>
        <w:t>: Percentage of colorectal cancer incidence by stage (NK = Not Known) 2003-07 (PCT).</w:t>
      </w:r>
    </w:p>
    <w:p w:rsidR="009414E5" w:rsidRPr="009414E5" w:rsidRDefault="009414E5" w:rsidP="009414E5">
      <w:pPr>
        <w:spacing w:after="0"/>
        <w:rPr>
          <w:rFonts w:ascii="Arial" w:hAnsi="Arial" w:cs="Arial"/>
          <w:b/>
          <w:sz w:val="18"/>
          <w:szCs w:val="18"/>
        </w:rPr>
      </w:pPr>
      <w:r w:rsidRPr="009414E5">
        <w:rPr>
          <w:rFonts w:ascii="Arial" w:hAnsi="Arial" w:cs="Arial"/>
          <w:b/>
          <w:sz w:val="18"/>
          <w:szCs w:val="18"/>
        </w:rPr>
        <w:t>Male</w:t>
      </w:r>
      <w:r w:rsidRPr="009414E5">
        <w:rPr>
          <w:rFonts w:ascii="Arial" w:hAnsi="Arial" w:cs="Arial"/>
          <w:b/>
          <w:sz w:val="18"/>
          <w:szCs w:val="18"/>
        </w:rPr>
        <w:tab/>
      </w:r>
      <w:r w:rsidRPr="009414E5">
        <w:rPr>
          <w:rFonts w:ascii="Arial" w:hAnsi="Arial" w:cs="Arial"/>
          <w:b/>
          <w:sz w:val="18"/>
          <w:szCs w:val="18"/>
        </w:rPr>
        <w:tab/>
      </w:r>
      <w:r w:rsidRPr="009414E5">
        <w:rPr>
          <w:rFonts w:ascii="Arial" w:hAnsi="Arial" w:cs="Arial"/>
          <w:b/>
          <w:sz w:val="18"/>
          <w:szCs w:val="18"/>
        </w:rPr>
        <w:tab/>
      </w:r>
      <w:r w:rsidRPr="009414E5">
        <w:rPr>
          <w:rFonts w:ascii="Arial" w:hAnsi="Arial" w:cs="Arial"/>
          <w:b/>
          <w:sz w:val="18"/>
          <w:szCs w:val="18"/>
        </w:rPr>
        <w:tab/>
      </w:r>
      <w:r w:rsidRPr="009414E5">
        <w:rPr>
          <w:rFonts w:ascii="Arial" w:hAnsi="Arial" w:cs="Arial"/>
          <w:b/>
          <w:sz w:val="18"/>
          <w:szCs w:val="18"/>
        </w:rPr>
        <w:tab/>
      </w:r>
      <w:r w:rsidRPr="009414E5">
        <w:rPr>
          <w:rFonts w:ascii="Arial" w:hAnsi="Arial" w:cs="Arial"/>
          <w:b/>
          <w:sz w:val="18"/>
          <w:szCs w:val="18"/>
        </w:rPr>
        <w:tab/>
        <w:t>Female</w:t>
      </w:r>
    </w:p>
    <w:p w:rsidR="0053370E" w:rsidRPr="0053370E" w:rsidRDefault="00C67525" w:rsidP="009414E5">
      <w:pPr>
        <w:tabs>
          <w:tab w:val="left" w:pos="2370"/>
        </w:tabs>
        <w:spacing w:after="0"/>
        <w:rPr>
          <w:rFonts w:ascii="Arial" w:hAnsi="Arial" w:cs="Arial"/>
          <w:sz w:val="20"/>
          <w:szCs w:val="20"/>
        </w:rPr>
      </w:pPr>
      <w:r w:rsidRPr="00C67525">
        <w:rPr>
          <w:noProof/>
          <w:lang w:val="en-US"/>
        </w:rPr>
        <w:drawing>
          <wp:inline distT="0" distB="0" distL="0" distR="0">
            <wp:extent cx="2543175" cy="2447925"/>
            <wp:effectExtent l="19050" t="0" r="9525" b="0"/>
            <wp:docPr id="3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9414E5" w:rsidRPr="009414E5">
        <w:rPr>
          <w:noProof/>
          <w:lang w:eastAsia="en-GB"/>
        </w:rPr>
        <w:t xml:space="preserve"> </w:t>
      </w:r>
      <w:r w:rsidRPr="00C67525">
        <w:rPr>
          <w:noProof/>
          <w:lang w:val="en-US"/>
        </w:rPr>
        <w:drawing>
          <wp:inline distT="0" distB="0" distL="0" distR="0">
            <wp:extent cx="2638425" cy="2447925"/>
            <wp:effectExtent l="19050" t="0" r="9525" b="0"/>
            <wp:docPr id="33"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414E5" w:rsidRDefault="009414E5" w:rsidP="009414E5">
      <w:pPr>
        <w:rPr>
          <w:rFonts w:ascii="Arial" w:hAnsi="Arial" w:cs="Arial"/>
          <w:b/>
          <w:sz w:val="16"/>
          <w:szCs w:val="16"/>
        </w:rPr>
      </w:pPr>
      <w:r w:rsidRPr="00FD3EC4">
        <w:rPr>
          <w:rFonts w:ascii="Arial" w:hAnsi="Arial" w:cs="Arial"/>
          <w:b/>
          <w:sz w:val="16"/>
          <w:szCs w:val="16"/>
        </w:rPr>
        <w:t>Source: Thames Cancer Network</w:t>
      </w:r>
      <w:r w:rsidR="000E5EE4">
        <w:rPr>
          <w:rFonts w:ascii="Arial" w:hAnsi="Arial" w:cs="Arial"/>
          <w:b/>
          <w:sz w:val="16"/>
          <w:szCs w:val="16"/>
        </w:rPr>
        <w:t xml:space="preserve"> (2009)</w:t>
      </w:r>
      <w:r>
        <w:rPr>
          <w:rFonts w:ascii="Arial" w:hAnsi="Arial" w:cs="Arial"/>
          <w:b/>
          <w:sz w:val="16"/>
          <w:szCs w:val="16"/>
        </w:rPr>
        <w:t>.</w:t>
      </w:r>
    </w:p>
    <w:p w:rsidR="00B313CA" w:rsidRDefault="00B313CA" w:rsidP="00B313CA">
      <w:pPr>
        <w:tabs>
          <w:tab w:val="left" w:pos="2370"/>
        </w:tabs>
        <w:rPr>
          <w:rFonts w:ascii="Arial" w:hAnsi="Arial" w:cs="Arial"/>
          <w:sz w:val="20"/>
          <w:szCs w:val="20"/>
        </w:rPr>
      </w:pPr>
      <w:r>
        <w:rPr>
          <w:rFonts w:ascii="Arial" w:hAnsi="Arial" w:cs="Arial"/>
          <w:sz w:val="20"/>
          <w:szCs w:val="20"/>
        </w:rPr>
        <w:t>Croydon PCT stands out as where the TCR was unable to stage a large proportion of colorectal cancer cases, nearly half for both men and women. In fact Croydon PCT accounts for well over half (58.3%) of all non staged colorectal cancers in the SWLCN area. Consequently the proportion of malignant cancers within each stage group is low for Croydon. The next highest PCT with tumours unable to be staged is Sutton and Merton with 29.1% of m</w:t>
      </w:r>
      <w:r w:rsidR="00D55C4B">
        <w:rPr>
          <w:rFonts w:ascii="Arial" w:hAnsi="Arial" w:cs="Arial"/>
          <w:sz w:val="20"/>
          <w:szCs w:val="20"/>
        </w:rPr>
        <w:t>ale cancers and 33.8% of female</w:t>
      </w:r>
      <w:r>
        <w:rPr>
          <w:rFonts w:ascii="Arial" w:hAnsi="Arial" w:cs="Arial"/>
          <w:sz w:val="20"/>
          <w:szCs w:val="20"/>
        </w:rPr>
        <w:t xml:space="preserve"> cancer</w:t>
      </w:r>
      <w:r w:rsidR="00D55C4B">
        <w:rPr>
          <w:rFonts w:ascii="Arial" w:hAnsi="Arial" w:cs="Arial"/>
          <w:sz w:val="20"/>
          <w:szCs w:val="20"/>
        </w:rPr>
        <w:t>s</w:t>
      </w:r>
      <w:r>
        <w:rPr>
          <w:rFonts w:ascii="Arial" w:hAnsi="Arial" w:cs="Arial"/>
          <w:sz w:val="20"/>
          <w:szCs w:val="20"/>
        </w:rPr>
        <w:t xml:space="preserve"> not staged.</w:t>
      </w:r>
    </w:p>
    <w:p w:rsidR="00B313CA" w:rsidRDefault="00B313CA" w:rsidP="001F2601">
      <w:pPr>
        <w:pStyle w:val="Heading2"/>
        <w:numPr>
          <w:ilvl w:val="1"/>
          <w:numId w:val="1"/>
        </w:numPr>
        <w:spacing w:after="240"/>
        <w:rPr>
          <w:rFonts w:ascii="Arial" w:hAnsi="Arial" w:cs="Arial"/>
          <w:color w:val="auto"/>
          <w:sz w:val="24"/>
          <w:szCs w:val="24"/>
        </w:rPr>
      </w:pPr>
      <w:bookmarkStart w:id="47" w:name="_Toc276037843"/>
      <w:r>
        <w:rPr>
          <w:rFonts w:ascii="Arial" w:hAnsi="Arial" w:cs="Arial"/>
          <w:color w:val="auto"/>
          <w:sz w:val="24"/>
          <w:szCs w:val="24"/>
        </w:rPr>
        <w:t>SWLCN staging</w:t>
      </w:r>
      <w:bookmarkEnd w:id="47"/>
    </w:p>
    <w:p w:rsidR="00B313CA" w:rsidRPr="00B313CA" w:rsidRDefault="00B313CA" w:rsidP="00B313CA">
      <w:pPr>
        <w:tabs>
          <w:tab w:val="left" w:pos="2370"/>
        </w:tabs>
        <w:spacing w:after="240"/>
        <w:rPr>
          <w:rFonts w:ascii="Arial" w:hAnsi="Arial" w:cs="Arial"/>
          <w:sz w:val="20"/>
          <w:szCs w:val="20"/>
        </w:rPr>
      </w:pPr>
      <w:r w:rsidRPr="00B313CA">
        <w:rPr>
          <w:rFonts w:ascii="Arial" w:hAnsi="Arial" w:cs="Arial"/>
          <w:sz w:val="20"/>
          <w:szCs w:val="20"/>
        </w:rPr>
        <w:t xml:space="preserve">During 2003-07 there were 3,998 new incidences of colorectal cancer in the SWLCN area. Two thousand and seventy-four of these were male and 1,924 were female. </w:t>
      </w:r>
      <w:fldSimple w:instr=" REF _Ref268532602 \h  \* MERGEFORMAT ">
        <w:r w:rsidR="004E6A50" w:rsidRPr="004E6A50">
          <w:rPr>
            <w:rFonts w:ascii="Arial" w:hAnsi="Arial" w:cs="Arial"/>
            <w:sz w:val="20"/>
            <w:szCs w:val="20"/>
          </w:rPr>
          <w:t xml:space="preserve">Figure </w:t>
        </w:r>
        <w:r w:rsidR="004E6A50" w:rsidRPr="004E6A50">
          <w:rPr>
            <w:rFonts w:ascii="Arial" w:hAnsi="Arial" w:cs="Arial"/>
            <w:noProof/>
            <w:sz w:val="20"/>
            <w:szCs w:val="20"/>
          </w:rPr>
          <w:t>16</w:t>
        </w:r>
      </w:fldSimple>
      <w:r w:rsidR="000E5EE4" w:rsidRPr="000E5EE4">
        <w:rPr>
          <w:rFonts w:ascii="Arial" w:hAnsi="Arial" w:cs="Arial"/>
          <w:sz w:val="20"/>
          <w:szCs w:val="20"/>
        </w:rPr>
        <w:t xml:space="preserve"> </w:t>
      </w:r>
      <w:r w:rsidRPr="00B313CA">
        <w:rPr>
          <w:rFonts w:ascii="Arial" w:hAnsi="Arial" w:cs="Arial"/>
          <w:sz w:val="20"/>
          <w:szCs w:val="20"/>
        </w:rPr>
        <w:t>shows male and female colorectal cancer incidence proportions by stage.</w:t>
      </w:r>
    </w:p>
    <w:p w:rsidR="0053370E" w:rsidRDefault="00B313CA" w:rsidP="00B313CA">
      <w:pPr>
        <w:pStyle w:val="Caption"/>
        <w:rPr>
          <w:rFonts w:ascii="Arial" w:hAnsi="Arial" w:cs="Arial"/>
          <w:color w:val="auto"/>
        </w:rPr>
      </w:pPr>
      <w:bookmarkStart w:id="48" w:name="_Ref268532602"/>
      <w:r w:rsidRPr="00B313CA">
        <w:rPr>
          <w:rFonts w:ascii="Arial" w:hAnsi="Arial" w:cs="Arial"/>
          <w:color w:val="auto"/>
        </w:rPr>
        <w:t xml:space="preserve">Figure </w:t>
      </w:r>
      <w:r w:rsidR="00AF55AD" w:rsidRPr="00B313CA">
        <w:rPr>
          <w:rFonts w:ascii="Arial" w:hAnsi="Arial" w:cs="Arial"/>
          <w:color w:val="auto"/>
        </w:rPr>
        <w:fldChar w:fldCharType="begin"/>
      </w:r>
      <w:r w:rsidRPr="00B313CA">
        <w:rPr>
          <w:rFonts w:ascii="Arial" w:hAnsi="Arial" w:cs="Arial"/>
          <w:color w:val="auto"/>
        </w:rPr>
        <w:instrText xml:space="preserve"> SEQ Figure \* ARABIC </w:instrText>
      </w:r>
      <w:r w:rsidR="00AF55AD" w:rsidRPr="00B313CA">
        <w:rPr>
          <w:rFonts w:ascii="Arial" w:hAnsi="Arial" w:cs="Arial"/>
          <w:color w:val="auto"/>
        </w:rPr>
        <w:fldChar w:fldCharType="separate"/>
      </w:r>
      <w:r w:rsidR="004E6A50">
        <w:rPr>
          <w:rFonts w:ascii="Arial" w:hAnsi="Arial" w:cs="Arial"/>
          <w:noProof/>
          <w:color w:val="auto"/>
        </w:rPr>
        <w:t>16</w:t>
      </w:r>
      <w:r w:rsidR="00AF55AD" w:rsidRPr="00B313CA">
        <w:rPr>
          <w:rFonts w:ascii="Arial" w:hAnsi="Arial" w:cs="Arial"/>
          <w:color w:val="auto"/>
        </w:rPr>
        <w:fldChar w:fldCharType="end"/>
      </w:r>
      <w:bookmarkEnd w:id="48"/>
      <w:r w:rsidRPr="00B313CA">
        <w:rPr>
          <w:rFonts w:ascii="Arial" w:hAnsi="Arial" w:cs="Arial"/>
          <w:color w:val="auto"/>
        </w:rPr>
        <w:t>: Percentage of colorectal cancer incidence by stage (NK = Not Known) 2003-07.</w:t>
      </w:r>
    </w:p>
    <w:p w:rsidR="00B313CA" w:rsidRPr="00B313CA" w:rsidRDefault="00B313CA" w:rsidP="00B313CA">
      <w:pPr>
        <w:spacing w:after="0"/>
        <w:rPr>
          <w:rFonts w:ascii="Arial" w:hAnsi="Arial" w:cs="Arial"/>
          <w:b/>
          <w:sz w:val="18"/>
          <w:szCs w:val="18"/>
        </w:rPr>
      </w:pPr>
      <w:r w:rsidRPr="00B313CA">
        <w:rPr>
          <w:rFonts w:ascii="Arial" w:hAnsi="Arial" w:cs="Arial"/>
          <w:b/>
          <w:sz w:val="18"/>
          <w:szCs w:val="18"/>
        </w:rPr>
        <w:t>Male</w:t>
      </w:r>
      <w:r w:rsidRPr="00B313CA">
        <w:rPr>
          <w:rFonts w:ascii="Arial" w:hAnsi="Arial" w:cs="Arial"/>
          <w:b/>
          <w:sz w:val="18"/>
          <w:szCs w:val="18"/>
        </w:rPr>
        <w:tab/>
      </w:r>
      <w:r w:rsidRPr="00B313CA">
        <w:rPr>
          <w:rFonts w:ascii="Arial" w:hAnsi="Arial" w:cs="Arial"/>
          <w:b/>
          <w:sz w:val="18"/>
          <w:szCs w:val="18"/>
        </w:rPr>
        <w:tab/>
      </w:r>
      <w:r w:rsidRPr="00B313CA">
        <w:rPr>
          <w:rFonts w:ascii="Arial" w:hAnsi="Arial" w:cs="Arial"/>
          <w:b/>
          <w:sz w:val="18"/>
          <w:szCs w:val="18"/>
        </w:rPr>
        <w:tab/>
      </w:r>
      <w:r w:rsidRPr="00B313CA">
        <w:rPr>
          <w:rFonts w:ascii="Arial" w:hAnsi="Arial" w:cs="Arial"/>
          <w:b/>
          <w:sz w:val="18"/>
          <w:szCs w:val="18"/>
        </w:rPr>
        <w:tab/>
      </w:r>
      <w:r w:rsidRPr="00B313CA">
        <w:rPr>
          <w:rFonts w:ascii="Arial" w:hAnsi="Arial" w:cs="Arial"/>
          <w:b/>
          <w:sz w:val="18"/>
          <w:szCs w:val="18"/>
        </w:rPr>
        <w:tab/>
      </w:r>
      <w:r w:rsidRPr="00B313CA">
        <w:rPr>
          <w:rFonts w:ascii="Arial" w:hAnsi="Arial" w:cs="Arial"/>
          <w:b/>
          <w:sz w:val="18"/>
          <w:szCs w:val="18"/>
        </w:rPr>
        <w:tab/>
        <w:t>Female</w:t>
      </w:r>
    </w:p>
    <w:p w:rsidR="00B313CA" w:rsidRDefault="00B313CA" w:rsidP="00B313CA">
      <w:pPr>
        <w:spacing w:after="0"/>
        <w:rPr>
          <w:noProof/>
          <w:lang w:eastAsia="en-GB"/>
        </w:rPr>
      </w:pPr>
      <w:r w:rsidRPr="00B313CA">
        <w:rPr>
          <w:noProof/>
          <w:lang w:val="en-US"/>
        </w:rPr>
        <w:drawing>
          <wp:inline distT="0" distB="0" distL="0" distR="0">
            <wp:extent cx="2543175" cy="2552700"/>
            <wp:effectExtent l="19050" t="0" r="9525" b="0"/>
            <wp:docPr id="25"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B313CA">
        <w:rPr>
          <w:noProof/>
          <w:lang w:eastAsia="en-GB"/>
        </w:rPr>
        <w:t xml:space="preserve"> </w:t>
      </w:r>
      <w:r w:rsidRPr="00B313CA">
        <w:rPr>
          <w:noProof/>
          <w:lang w:val="en-US"/>
        </w:rPr>
        <w:drawing>
          <wp:inline distT="0" distB="0" distL="0" distR="0">
            <wp:extent cx="2505075" cy="2552700"/>
            <wp:effectExtent l="19050" t="0" r="9525" b="0"/>
            <wp:docPr id="2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E5EE4" w:rsidRDefault="000E5EE4" w:rsidP="000E5EE4">
      <w:pPr>
        <w:rPr>
          <w:rFonts w:ascii="Arial" w:hAnsi="Arial" w:cs="Arial"/>
          <w:b/>
          <w:sz w:val="16"/>
          <w:szCs w:val="16"/>
        </w:rPr>
      </w:pPr>
      <w:r w:rsidRPr="00FD3EC4">
        <w:rPr>
          <w:rFonts w:ascii="Arial" w:hAnsi="Arial" w:cs="Arial"/>
          <w:b/>
          <w:sz w:val="16"/>
          <w:szCs w:val="16"/>
        </w:rPr>
        <w:t>Source: Thames Cancer Network</w:t>
      </w:r>
      <w:r>
        <w:rPr>
          <w:rFonts w:ascii="Arial" w:hAnsi="Arial" w:cs="Arial"/>
          <w:b/>
          <w:sz w:val="16"/>
          <w:szCs w:val="16"/>
        </w:rPr>
        <w:t xml:space="preserve"> (2009).</w:t>
      </w:r>
    </w:p>
    <w:p w:rsidR="000E5EE4" w:rsidRDefault="000E5EE4" w:rsidP="000E5EE4">
      <w:pPr>
        <w:tabs>
          <w:tab w:val="left" w:pos="2370"/>
        </w:tabs>
        <w:rPr>
          <w:rFonts w:ascii="Arial" w:hAnsi="Arial" w:cs="Arial"/>
          <w:sz w:val="20"/>
          <w:szCs w:val="20"/>
        </w:rPr>
      </w:pPr>
      <w:r>
        <w:rPr>
          <w:rFonts w:ascii="Arial" w:hAnsi="Arial" w:cs="Arial"/>
          <w:sz w:val="20"/>
          <w:szCs w:val="20"/>
        </w:rPr>
        <w:t>The distribution of the proportions of colorectal staging is more evenly distributed across each staging group compared to lung and breast cancer. The highest proportions of colorectal cancers that have been staged are seen at stage 4. Nearly 20% of colorectal cancers in SWLCN were assessed to be stage 4 at the time of diagnosis compared to 22.6% across London and 21.6%. There is very little difference between males and females in the proportions for stage 4. However, for SWL the next highest proportion is recorded at stage 2 for colorectal cancers in men at 18.0%, then stage 1 at 16.4%. For women the next highest proportion (after stage 4) is recorded for stage 1 colorectal cancers at 17.1% followed by stage 2 at 16.2%. Recorded proportions of stage 2 colorectal cancers, for males and females, are higher in SWL (17.2%) compared to London (15.0%) and SEE (14.6%).</w:t>
      </w:r>
    </w:p>
    <w:p w:rsidR="000E5EE4" w:rsidRDefault="000E5EE4" w:rsidP="000E5EE4">
      <w:pPr>
        <w:tabs>
          <w:tab w:val="left" w:pos="2370"/>
        </w:tabs>
        <w:spacing w:after="0"/>
        <w:rPr>
          <w:rFonts w:ascii="Arial" w:hAnsi="Arial" w:cs="Arial"/>
          <w:sz w:val="20"/>
          <w:szCs w:val="20"/>
        </w:rPr>
      </w:pPr>
      <w:r>
        <w:rPr>
          <w:rFonts w:ascii="Arial" w:hAnsi="Arial" w:cs="Arial"/>
          <w:sz w:val="20"/>
          <w:szCs w:val="20"/>
        </w:rPr>
        <w:t xml:space="preserve">The </w:t>
      </w:r>
      <w:proofErr w:type="gramStart"/>
      <w:r>
        <w:rPr>
          <w:rFonts w:ascii="Arial" w:hAnsi="Arial" w:cs="Arial"/>
          <w:sz w:val="20"/>
          <w:szCs w:val="20"/>
        </w:rPr>
        <w:t>proportion</w:t>
      </w:r>
      <w:proofErr w:type="gramEnd"/>
      <w:r>
        <w:rPr>
          <w:rFonts w:ascii="Arial" w:hAnsi="Arial" w:cs="Arial"/>
          <w:sz w:val="20"/>
          <w:szCs w:val="20"/>
        </w:rPr>
        <w:t xml:space="preserve"> of colorectal cancers that have not been staged are lower compared to lung and breast cancer staging but it is still the largest group. The SWLCN area shows the highest proportion of colorectal cancers not staged for men at 29.6%, with London being highest for women at (30.1%).</w:t>
      </w:r>
    </w:p>
    <w:p w:rsidR="000E5EE4" w:rsidRDefault="000E5EE4" w:rsidP="00B313CA">
      <w:pPr>
        <w:spacing w:after="0"/>
      </w:pPr>
    </w:p>
    <w:p w:rsidR="000E5EE4" w:rsidRDefault="000E5EE4" w:rsidP="00B313CA">
      <w:pPr>
        <w:spacing w:after="0"/>
      </w:pPr>
    </w:p>
    <w:p w:rsidR="00922E19" w:rsidRDefault="00922E19" w:rsidP="00B313CA">
      <w:pPr>
        <w:spacing w:after="0"/>
      </w:pPr>
    </w:p>
    <w:p w:rsidR="00922E19" w:rsidRDefault="00922E19" w:rsidP="00B313CA">
      <w:pPr>
        <w:spacing w:after="0"/>
      </w:pPr>
    </w:p>
    <w:p w:rsidR="00922E19" w:rsidRDefault="00922E19" w:rsidP="00B313CA">
      <w:pPr>
        <w:spacing w:after="0"/>
      </w:pPr>
    </w:p>
    <w:p w:rsidR="00922E19" w:rsidRDefault="00922E19" w:rsidP="00B313CA">
      <w:pPr>
        <w:spacing w:after="0"/>
      </w:pPr>
    </w:p>
    <w:p w:rsidR="00922E19" w:rsidRDefault="00922E19" w:rsidP="00B313CA">
      <w:pPr>
        <w:spacing w:after="0"/>
      </w:pPr>
    </w:p>
    <w:p w:rsidR="00922E19" w:rsidRDefault="00922E19" w:rsidP="00B313CA">
      <w:pPr>
        <w:spacing w:after="0"/>
      </w:pPr>
    </w:p>
    <w:p w:rsidR="00922E19" w:rsidRDefault="00922E19" w:rsidP="00B313CA">
      <w:pPr>
        <w:spacing w:after="0"/>
      </w:pPr>
    </w:p>
    <w:p w:rsidR="00922E19" w:rsidRDefault="00922E19" w:rsidP="00B313CA">
      <w:pPr>
        <w:spacing w:after="0"/>
      </w:pPr>
    </w:p>
    <w:p w:rsidR="00922E19" w:rsidRDefault="00922E19" w:rsidP="00B313CA">
      <w:pPr>
        <w:spacing w:after="0"/>
      </w:pPr>
    </w:p>
    <w:p w:rsidR="00922E19" w:rsidRDefault="00922E19" w:rsidP="00B313CA">
      <w:pPr>
        <w:spacing w:after="0"/>
      </w:pPr>
    </w:p>
    <w:p w:rsidR="00922E19" w:rsidRDefault="00922E19" w:rsidP="00B313CA">
      <w:pPr>
        <w:spacing w:after="0"/>
      </w:pPr>
    </w:p>
    <w:p w:rsidR="00922E19" w:rsidRDefault="00922E19" w:rsidP="00B313CA">
      <w:pPr>
        <w:spacing w:after="0"/>
      </w:pPr>
    </w:p>
    <w:p w:rsidR="00922E19" w:rsidRDefault="00922E19" w:rsidP="00B313CA">
      <w:pPr>
        <w:spacing w:after="0"/>
      </w:pPr>
    </w:p>
    <w:p w:rsidR="00922E19" w:rsidRDefault="00922E19" w:rsidP="00B313CA">
      <w:pPr>
        <w:spacing w:after="0"/>
      </w:pPr>
    </w:p>
    <w:p w:rsidR="00922E19" w:rsidRDefault="00922E19" w:rsidP="00B313CA">
      <w:pPr>
        <w:spacing w:after="0"/>
      </w:pPr>
    </w:p>
    <w:p w:rsidR="00922E19" w:rsidRDefault="00922E19" w:rsidP="00B313CA">
      <w:pPr>
        <w:spacing w:after="0"/>
      </w:pPr>
    </w:p>
    <w:p w:rsidR="00922E19" w:rsidRDefault="00922E19" w:rsidP="00B313CA">
      <w:pPr>
        <w:spacing w:after="0"/>
      </w:pPr>
    </w:p>
    <w:p w:rsidR="00922E19" w:rsidRDefault="00922E19" w:rsidP="00B313CA">
      <w:pPr>
        <w:spacing w:after="0"/>
      </w:pPr>
    </w:p>
    <w:p w:rsidR="00922E19" w:rsidRDefault="00922E19" w:rsidP="00B313CA">
      <w:pPr>
        <w:spacing w:after="0"/>
      </w:pPr>
    </w:p>
    <w:p w:rsidR="00922E19" w:rsidRDefault="00922E19" w:rsidP="00B313CA">
      <w:pPr>
        <w:spacing w:after="0"/>
      </w:pPr>
    </w:p>
    <w:p w:rsidR="00922E19" w:rsidRDefault="00922E19" w:rsidP="00B313CA">
      <w:pPr>
        <w:spacing w:after="0"/>
      </w:pPr>
    </w:p>
    <w:p w:rsidR="00922E19" w:rsidRDefault="00922E19" w:rsidP="00B313CA">
      <w:pPr>
        <w:spacing w:after="0"/>
      </w:pPr>
    </w:p>
    <w:p w:rsidR="00922E19" w:rsidRDefault="00922E19" w:rsidP="00B313CA">
      <w:pPr>
        <w:spacing w:after="0"/>
      </w:pPr>
    </w:p>
    <w:p w:rsidR="00922E19" w:rsidRDefault="00922E19" w:rsidP="00B313CA">
      <w:pPr>
        <w:spacing w:after="0"/>
      </w:pPr>
    </w:p>
    <w:p w:rsidR="00922E19" w:rsidRDefault="00922E19" w:rsidP="00B313CA">
      <w:pPr>
        <w:spacing w:after="0"/>
      </w:pPr>
    </w:p>
    <w:p w:rsidR="00922E19" w:rsidRDefault="00922E19" w:rsidP="00B313CA">
      <w:pPr>
        <w:spacing w:after="0"/>
      </w:pPr>
    </w:p>
    <w:p w:rsidR="00922E19" w:rsidRDefault="00922E19" w:rsidP="00B313CA">
      <w:pPr>
        <w:spacing w:after="0"/>
      </w:pPr>
    </w:p>
    <w:p w:rsidR="00922E19" w:rsidRDefault="00922E19" w:rsidP="00B313CA">
      <w:pPr>
        <w:spacing w:after="0"/>
      </w:pPr>
    </w:p>
    <w:p w:rsidR="00922E19" w:rsidRPr="00B313CA" w:rsidRDefault="00922E19" w:rsidP="00B313CA">
      <w:pPr>
        <w:spacing w:after="0"/>
      </w:pPr>
    </w:p>
    <w:p w:rsidR="00AD2369" w:rsidRDefault="00CF5263" w:rsidP="001F2601">
      <w:pPr>
        <w:pStyle w:val="Heading1"/>
        <w:numPr>
          <w:ilvl w:val="0"/>
          <w:numId w:val="1"/>
        </w:numPr>
        <w:spacing w:after="240"/>
        <w:rPr>
          <w:rFonts w:ascii="Arial" w:hAnsi="Arial" w:cs="Arial"/>
          <w:color w:val="auto"/>
        </w:rPr>
      </w:pPr>
      <w:bookmarkStart w:id="49" w:name="_Toc276037844"/>
      <w:r>
        <w:rPr>
          <w:rFonts w:ascii="Arial" w:hAnsi="Arial" w:cs="Arial"/>
          <w:color w:val="auto"/>
        </w:rPr>
        <w:t>Colorectal</w:t>
      </w:r>
      <w:r w:rsidR="00AD2369" w:rsidRPr="005C4A04">
        <w:rPr>
          <w:rFonts w:ascii="Arial" w:hAnsi="Arial" w:cs="Arial"/>
          <w:color w:val="auto"/>
        </w:rPr>
        <w:t xml:space="preserve"> Cancer Survival</w:t>
      </w:r>
      <w:bookmarkEnd w:id="49"/>
    </w:p>
    <w:p w:rsidR="00C97455" w:rsidRPr="00C97455" w:rsidRDefault="00C97455" w:rsidP="00C97455">
      <w:pPr>
        <w:autoSpaceDE w:val="0"/>
        <w:autoSpaceDN w:val="0"/>
        <w:adjustRightInd w:val="0"/>
        <w:spacing w:after="0"/>
        <w:rPr>
          <w:rFonts w:ascii="Arial" w:hAnsi="Arial" w:cs="Arial"/>
          <w:sz w:val="20"/>
          <w:szCs w:val="20"/>
        </w:rPr>
      </w:pPr>
      <w:r w:rsidRPr="00C97455">
        <w:rPr>
          <w:rFonts w:ascii="Arial" w:hAnsi="Arial" w:cs="Arial"/>
          <w:sz w:val="20"/>
          <w:szCs w:val="20"/>
        </w:rPr>
        <w:t>The Cancer Reform Strategy (</w:t>
      </w:r>
      <w:r w:rsidRPr="00C97455">
        <w:rPr>
          <w:rFonts w:ascii="Arial" w:hAnsi="Arial" w:cs="Arial"/>
          <w:color w:val="000000"/>
          <w:sz w:val="20"/>
          <w:szCs w:val="20"/>
        </w:rPr>
        <w:t xml:space="preserve">Department of Health </w:t>
      </w:r>
      <w:r w:rsidRPr="00C97455">
        <w:rPr>
          <w:rFonts w:ascii="Arial" w:hAnsi="Arial" w:cs="Arial"/>
          <w:sz w:val="20"/>
          <w:szCs w:val="20"/>
        </w:rPr>
        <w:t xml:space="preserve">2007) emphasizes the importance of diagnosing cancer early by screening, raising public awareness of signs and symptoms of cancer and minimising delays in investigation and referral. The overarching goal of NAEDI is to promote earlier diagnosis of cancer and thereby improve survival rates and reduce cancer mortality. Survival data is provided by the Thames Cancer Registry, which was obtained from the NCIS. </w:t>
      </w:r>
    </w:p>
    <w:p w:rsidR="00AD2369" w:rsidRDefault="00AD2369" w:rsidP="001F2601">
      <w:pPr>
        <w:pStyle w:val="Heading2"/>
        <w:numPr>
          <w:ilvl w:val="1"/>
          <w:numId w:val="1"/>
        </w:numPr>
        <w:spacing w:after="240"/>
        <w:rPr>
          <w:rFonts w:ascii="Arial" w:hAnsi="Arial" w:cs="Arial"/>
          <w:color w:val="auto"/>
          <w:sz w:val="24"/>
          <w:szCs w:val="24"/>
        </w:rPr>
      </w:pPr>
      <w:bookmarkStart w:id="50" w:name="_Toc276037845"/>
      <w:r w:rsidRPr="005C4A04">
        <w:rPr>
          <w:rFonts w:ascii="Arial" w:hAnsi="Arial" w:cs="Arial"/>
          <w:color w:val="auto"/>
          <w:sz w:val="24"/>
          <w:szCs w:val="24"/>
        </w:rPr>
        <w:t xml:space="preserve">One-year </w:t>
      </w:r>
      <w:r>
        <w:rPr>
          <w:rFonts w:ascii="Arial" w:hAnsi="Arial" w:cs="Arial"/>
          <w:color w:val="auto"/>
          <w:sz w:val="24"/>
          <w:szCs w:val="24"/>
        </w:rPr>
        <w:t xml:space="preserve">relative </w:t>
      </w:r>
      <w:r w:rsidRPr="005C4A04">
        <w:rPr>
          <w:rFonts w:ascii="Arial" w:hAnsi="Arial" w:cs="Arial"/>
          <w:color w:val="auto"/>
          <w:sz w:val="24"/>
          <w:szCs w:val="24"/>
        </w:rPr>
        <w:t>survival</w:t>
      </w:r>
      <w:r>
        <w:rPr>
          <w:rFonts w:ascii="Arial" w:hAnsi="Arial" w:cs="Arial"/>
          <w:color w:val="auto"/>
          <w:sz w:val="24"/>
          <w:szCs w:val="24"/>
        </w:rPr>
        <w:t xml:space="preserve"> </w:t>
      </w:r>
      <w:r w:rsidR="00695D53">
        <w:rPr>
          <w:rFonts w:ascii="Arial" w:hAnsi="Arial" w:cs="Arial"/>
          <w:color w:val="auto"/>
          <w:sz w:val="24"/>
          <w:szCs w:val="24"/>
        </w:rPr>
        <w:t>by PCT and Cancer Network</w:t>
      </w:r>
      <w:r w:rsidR="000A24A2">
        <w:rPr>
          <w:rFonts w:ascii="Arial" w:hAnsi="Arial" w:cs="Arial"/>
          <w:color w:val="auto"/>
          <w:sz w:val="24"/>
          <w:szCs w:val="24"/>
        </w:rPr>
        <w:t xml:space="preserve"> 2002-07</w:t>
      </w:r>
      <w:bookmarkEnd w:id="50"/>
    </w:p>
    <w:p w:rsidR="00C97455" w:rsidRDefault="00C97455" w:rsidP="00CA454F">
      <w:pPr>
        <w:autoSpaceDE w:val="0"/>
        <w:autoSpaceDN w:val="0"/>
        <w:adjustRightInd w:val="0"/>
        <w:rPr>
          <w:rFonts w:ascii="Arial" w:hAnsi="Arial" w:cs="Arial"/>
          <w:sz w:val="20"/>
          <w:szCs w:val="20"/>
        </w:rPr>
      </w:pPr>
      <w:r w:rsidRPr="00C97455">
        <w:rPr>
          <w:rFonts w:ascii="Arial" w:hAnsi="Arial" w:cs="Arial"/>
          <w:sz w:val="20"/>
          <w:szCs w:val="20"/>
        </w:rPr>
        <w:t>The Cancer Reform Strategy (</w:t>
      </w:r>
      <w:r w:rsidRPr="00C97455">
        <w:rPr>
          <w:rFonts w:ascii="Arial" w:hAnsi="Arial" w:cs="Arial"/>
          <w:color w:val="000000"/>
          <w:sz w:val="20"/>
          <w:szCs w:val="20"/>
        </w:rPr>
        <w:t xml:space="preserve">Department of Health </w:t>
      </w:r>
      <w:r w:rsidRPr="00C97455">
        <w:rPr>
          <w:rFonts w:ascii="Arial" w:hAnsi="Arial" w:cs="Arial"/>
          <w:sz w:val="20"/>
          <w:szCs w:val="20"/>
        </w:rPr>
        <w:t xml:space="preserve">2007) acknowledges the lack of data concerning the staging of cancers and suggests that one-year cancer survivals rates are a good proxy for late presentation of cases. The survival analysis was based on a cohort of cancer patients aged between 0 and 99 years, diagnosed between 2002 and 2006, and follow-up was to the end of 2007. The cohort approach was used to </w:t>
      </w:r>
      <w:r w:rsidR="002F44BE">
        <w:rPr>
          <w:rFonts w:ascii="Arial" w:hAnsi="Arial" w:cs="Arial"/>
          <w:sz w:val="20"/>
          <w:szCs w:val="20"/>
        </w:rPr>
        <w:t>estimate the relative survival.</w:t>
      </w:r>
    </w:p>
    <w:p w:rsidR="00633786" w:rsidRDefault="00633786" w:rsidP="00633786">
      <w:pPr>
        <w:autoSpaceDE w:val="0"/>
        <w:autoSpaceDN w:val="0"/>
        <w:adjustRightInd w:val="0"/>
        <w:spacing w:line="240" w:lineRule="auto"/>
        <w:rPr>
          <w:rFonts w:ascii="Arial" w:hAnsi="Arial" w:cs="Arial"/>
          <w:sz w:val="20"/>
          <w:szCs w:val="20"/>
        </w:rPr>
      </w:pPr>
      <w:r>
        <w:rPr>
          <w:rFonts w:ascii="Arial" w:hAnsi="Arial" w:cs="Arial"/>
          <w:sz w:val="20"/>
          <w:szCs w:val="20"/>
        </w:rPr>
        <w:t xml:space="preserve">Broken down by PCT, Sutton &amp; Merton PCT (71.4% 95%CI 68.1 – 74.7) has the lowest </w:t>
      </w:r>
      <w:r w:rsidR="009065CF">
        <w:rPr>
          <w:rFonts w:ascii="Arial" w:hAnsi="Arial" w:cs="Arial"/>
          <w:sz w:val="20"/>
          <w:szCs w:val="20"/>
        </w:rPr>
        <w:t>colorectal</w:t>
      </w:r>
      <w:r>
        <w:rPr>
          <w:rFonts w:ascii="Arial" w:hAnsi="Arial" w:cs="Arial"/>
          <w:sz w:val="20"/>
          <w:szCs w:val="20"/>
        </w:rPr>
        <w:t xml:space="preserve"> cancer one-year (persons) survival rate </w:t>
      </w:r>
      <w:r w:rsidRPr="005D08C7">
        <w:rPr>
          <w:rFonts w:ascii="Arial" w:hAnsi="Arial" w:cs="Arial"/>
          <w:sz w:val="20"/>
          <w:szCs w:val="20"/>
        </w:rPr>
        <w:t>(</w:t>
      </w:r>
      <w:fldSimple w:instr=" REF _Ref265074673 \h  \* MERGEFORMAT ">
        <w:r w:rsidR="004E6A50" w:rsidRPr="004E6A50">
          <w:rPr>
            <w:rFonts w:ascii="Arial" w:hAnsi="Arial" w:cs="Arial"/>
            <w:sz w:val="20"/>
            <w:szCs w:val="20"/>
          </w:rPr>
          <w:t xml:space="preserve">Figure </w:t>
        </w:r>
        <w:r w:rsidR="004E6A50" w:rsidRPr="004E6A50">
          <w:rPr>
            <w:rFonts w:ascii="Arial" w:hAnsi="Arial" w:cs="Arial"/>
            <w:noProof/>
            <w:sz w:val="20"/>
            <w:szCs w:val="20"/>
          </w:rPr>
          <w:t>17</w:t>
        </w:r>
      </w:fldSimple>
      <w:r>
        <w:rPr>
          <w:rFonts w:ascii="Arial" w:hAnsi="Arial" w:cs="Arial"/>
          <w:sz w:val="20"/>
          <w:szCs w:val="20"/>
        </w:rPr>
        <w:t>). Croydon PCT records the highest survival rate at 74.5% (95%CI 70.9 – 78.2), however the confidence intervals are wide indicating there is not much variation between PCTs.</w:t>
      </w:r>
    </w:p>
    <w:p w:rsidR="00633786" w:rsidRPr="005D08C7" w:rsidRDefault="00633786" w:rsidP="00633786">
      <w:pPr>
        <w:pStyle w:val="Caption"/>
        <w:spacing w:after="0"/>
        <w:rPr>
          <w:rFonts w:ascii="Arial" w:hAnsi="Arial" w:cs="Arial"/>
          <w:color w:val="auto"/>
          <w:sz w:val="20"/>
          <w:szCs w:val="20"/>
        </w:rPr>
      </w:pPr>
      <w:bookmarkStart w:id="51" w:name="_Ref265074673"/>
      <w:r w:rsidRPr="005D08C7">
        <w:rPr>
          <w:rFonts w:ascii="Arial" w:hAnsi="Arial" w:cs="Arial"/>
          <w:color w:val="auto"/>
        </w:rPr>
        <w:t xml:space="preserve">Figure </w:t>
      </w:r>
      <w:r w:rsidR="00AF55AD" w:rsidRPr="005D08C7">
        <w:rPr>
          <w:rFonts w:ascii="Arial" w:hAnsi="Arial" w:cs="Arial"/>
          <w:color w:val="auto"/>
        </w:rPr>
        <w:fldChar w:fldCharType="begin"/>
      </w:r>
      <w:r w:rsidRPr="005D08C7">
        <w:rPr>
          <w:rFonts w:ascii="Arial" w:hAnsi="Arial" w:cs="Arial"/>
          <w:color w:val="auto"/>
        </w:rPr>
        <w:instrText xml:space="preserve"> SEQ Figure \* ARABIC </w:instrText>
      </w:r>
      <w:r w:rsidR="00AF55AD" w:rsidRPr="005D08C7">
        <w:rPr>
          <w:rFonts w:ascii="Arial" w:hAnsi="Arial" w:cs="Arial"/>
          <w:color w:val="auto"/>
        </w:rPr>
        <w:fldChar w:fldCharType="separate"/>
      </w:r>
      <w:r w:rsidR="004E6A50">
        <w:rPr>
          <w:rFonts w:ascii="Arial" w:hAnsi="Arial" w:cs="Arial"/>
          <w:noProof/>
          <w:color w:val="auto"/>
        </w:rPr>
        <w:t>17</w:t>
      </w:r>
      <w:r w:rsidR="00AF55AD" w:rsidRPr="005D08C7">
        <w:rPr>
          <w:rFonts w:ascii="Arial" w:hAnsi="Arial" w:cs="Arial"/>
          <w:color w:val="auto"/>
        </w:rPr>
        <w:fldChar w:fldCharType="end"/>
      </w:r>
      <w:bookmarkEnd w:id="51"/>
      <w:r w:rsidRPr="005D08C7">
        <w:rPr>
          <w:rFonts w:ascii="Arial" w:hAnsi="Arial" w:cs="Arial"/>
          <w:color w:val="auto"/>
        </w:rPr>
        <w:t xml:space="preserve">: </w:t>
      </w:r>
      <w:r>
        <w:rPr>
          <w:rFonts w:ascii="Arial" w:hAnsi="Arial" w:cs="Arial"/>
          <w:color w:val="auto"/>
        </w:rPr>
        <w:t>Persons</w:t>
      </w:r>
      <w:r w:rsidR="000A24A2">
        <w:rPr>
          <w:rFonts w:ascii="Arial" w:hAnsi="Arial" w:cs="Arial"/>
          <w:color w:val="auto"/>
        </w:rPr>
        <w:t xml:space="preserve"> one-year (2002-07</w:t>
      </w:r>
      <w:r w:rsidRPr="005D08C7">
        <w:rPr>
          <w:rFonts w:ascii="Arial" w:hAnsi="Arial" w:cs="Arial"/>
          <w:color w:val="auto"/>
        </w:rPr>
        <w:t xml:space="preserve">) estimated relative survival rates for </w:t>
      </w:r>
      <w:r>
        <w:rPr>
          <w:rFonts w:ascii="Arial" w:hAnsi="Arial" w:cs="Arial"/>
          <w:color w:val="auto"/>
        </w:rPr>
        <w:t>colorectal</w:t>
      </w:r>
      <w:r w:rsidRPr="005D08C7">
        <w:rPr>
          <w:rFonts w:ascii="Arial" w:hAnsi="Arial" w:cs="Arial"/>
          <w:color w:val="auto"/>
        </w:rPr>
        <w:t xml:space="preserve"> cancer by </w:t>
      </w:r>
      <w:r>
        <w:rPr>
          <w:rFonts w:ascii="Arial" w:hAnsi="Arial" w:cs="Arial"/>
          <w:color w:val="auto"/>
        </w:rPr>
        <w:t>PCT.</w:t>
      </w:r>
    </w:p>
    <w:p w:rsidR="00633786" w:rsidRDefault="00633786" w:rsidP="00633786">
      <w:pPr>
        <w:autoSpaceDE w:val="0"/>
        <w:autoSpaceDN w:val="0"/>
        <w:adjustRightInd w:val="0"/>
        <w:spacing w:after="0" w:line="240" w:lineRule="auto"/>
        <w:rPr>
          <w:rFonts w:ascii="Arial" w:hAnsi="Arial" w:cs="Arial"/>
          <w:sz w:val="20"/>
          <w:szCs w:val="20"/>
        </w:rPr>
      </w:pPr>
      <w:r w:rsidRPr="00BD035A">
        <w:rPr>
          <w:rFonts w:ascii="Arial" w:hAnsi="Arial" w:cs="Arial"/>
          <w:noProof/>
          <w:sz w:val="20"/>
          <w:szCs w:val="20"/>
          <w:lang w:val="en-US"/>
        </w:rPr>
        <w:drawing>
          <wp:inline distT="0" distB="0" distL="0" distR="0">
            <wp:extent cx="4574093" cy="2930770"/>
            <wp:effectExtent l="19050" t="0" r="16957" b="2930"/>
            <wp:docPr id="3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33786" w:rsidRDefault="00633786" w:rsidP="00633786">
      <w:pPr>
        <w:autoSpaceDE w:val="0"/>
        <w:autoSpaceDN w:val="0"/>
        <w:adjustRightInd w:val="0"/>
        <w:spacing w:line="240" w:lineRule="auto"/>
        <w:rPr>
          <w:rFonts w:ascii="Arial" w:hAnsi="Arial" w:cs="Arial"/>
          <w:b/>
          <w:sz w:val="16"/>
          <w:szCs w:val="16"/>
        </w:rPr>
      </w:pPr>
      <w:r w:rsidRPr="005D08C7">
        <w:rPr>
          <w:rFonts w:ascii="Arial" w:hAnsi="Arial" w:cs="Arial"/>
          <w:b/>
          <w:sz w:val="16"/>
          <w:szCs w:val="16"/>
        </w:rPr>
        <w:t>Source: NCIN/APHO/UKACR from Cancer e-Atlas 2010.</w:t>
      </w:r>
    </w:p>
    <w:p w:rsidR="002F44BE" w:rsidRDefault="002F44BE" w:rsidP="002F44BE">
      <w:pPr>
        <w:autoSpaceDE w:val="0"/>
        <w:autoSpaceDN w:val="0"/>
        <w:adjustRightInd w:val="0"/>
        <w:spacing w:after="0"/>
        <w:rPr>
          <w:rFonts w:ascii="Arial" w:hAnsi="Arial" w:cs="Arial"/>
          <w:sz w:val="20"/>
          <w:szCs w:val="20"/>
        </w:rPr>
      </w:pPr>
      <w:r w:rsidRPr="00C97455">
        <w:rPr>
          <w:rFonts w:ascii="Arial" w:hAnsi="Arial" w:cs="Arial"/>
          <w:sz w:val="20"/>
          <w:szCs w:val="20"/>
        </w:rPr>
        <w:t>The NCIN have developed benchmarks of good performance on cancer one-year survival rates. They are based on data from the EUROCARE-4 study (Department of Health 2009).</w:t>
      </w:r>
      <w:r>
        <w:rPr>
          <w:rFonts w:ascii="Arial" w:hAnsi="Arial" w:cs="Arial"/>
          <w:sz w:val="20"/>
          <w:szCs w:val="20"/>
        </w:rPr>
        <w:t xml:space="preserve"> However there is not a benchmark for colorectal cancer, only colon cancer, also benchmarks are not available by gender. However the Thames Cancer Registry follows NCIN advice and compares against similar countries to the UK in the absence of a benchmark. </w:t>
      </w:r>
      <w:r w:rsidRPr="00124526">
        <w:rPr>
          <w:rFonts w:ascii="Arial" w:hAnsi="Arial" w:cs="Arial"/>
          <w:sz w:val="20"/>
          <w:szCs w:val="20"/>
        </w:rPr>
        <w:t>Finland, Norway and Sweden were selected as these countries have similar cancer registration features and access to death certifica</w:t>
      </w:r>
      <w:r>
        <w:rPr>
          <w:rFonts w:ascii="Arial" w:hAnsi="Arial" w:cs="Arial"/>
          <w:sz w:val="20"/>
          <w:szCs w:val="20"/>
        </w:rPr>
        <w:t xml:space="preserve">tion data as the United Kingdom (Thames Cancer Registry 2010b). The column identified as ‘UK England’ is taken from the </w:t>
      </w:r>
      <w:proofErr w:type="spellStart"/>
      <w:r>
        <w:rPr>
          <w:rFonts w:ascii="Arial" w:hAnsi="Arial" w:cs="Arial"/>
          <w:sz w:val="20"/>
          <w:szCs w:val="20"/>
        </w:rPr>
        <w:t>Eurocare</w:t>
      </w:r>
      <w:proofErr w:type="spellEnd"/>
      <w:r>
        <w:rPr>
          <w:rFonts w:ascii="Arial" w:hAnsi="Arial" w:cs="Arial"/>
          <w:sz w:val="20"/>
          <w:szCs w:val="20"/>
        </w:rPr>
        <w:t xml:space="preserve"> study which looked at data from 1995 to 1999. The column marked ‘England’ is taken from the NCIS and is included in the TCR 2007 annual report and is calculated from data between 2002 and 2007. Although caution must be employed as these figures have been estimated from two different sources and time periods, it does allow comparison with European countries. It also shows the improvement in survival at the England level.</w:t>
      </w:r>
    </w:p>
    <w:p w:rsidR="00AD2369" w:rsidRDefault="00AF55AD" w:rsidP="00AD2369">
      <w:pPr>
        <w:autoSpaceDE w:val="0"/>
        <w:autoSpaceDN w:val="0"/>
        <w:adjustRightInd w:val="0"/>
        <w:rPr>
          <w:rFonts w:ascii="Arial" w:hAnsi="Arial" w:cs="Arial"/>
          <w:sz w:val="20"/>
          <w:szCs w:val="20"/>
        </w:rPr>
      </w:pPr>
      <w:fldSimple w:instr=" REF _Ref263779970 \h  \* MERGEFORMAT ">
        <w:r w:rsidR="004E6A50" w:rsidRPr="004E6A50">
          <w:rPr>
            <w:rFonts w:ascii="Arial" w:hAnsi="Arial" w:cs="Arial"/>
            <w:sz w:val="20"/>
            <w:szCs w:val="20"/>
          </w:rPr>
          <w:t xml:space="preserve">Figure </w:t>
        </w:r>
        <w:r w:rsidR="004E6A50" w:rsidRPr="004E6A50">
          <w:rPr>
            <w:rFonts w:ascii="Arial" w:hAnsi="Arial" w:cs="Arial"/>
            <w:noProof/>
            <w:sz w:val="20"/>
            <w:szCs w:val="20"/>
          </w:rPr>
          <w:t>18</w:t>
        </w:r>
      </w:fldSimple>
      <w:r w:rsidR="00AD2369" w:rsidRPr="00D15B41">
        <w:rPr>
          <w:rFonts w:ascii="Arial" w:hAnsi="Arial" w:cs="Arial"/>
          <w:sz w:val="20"/>
          <w:szCs w:val="20"/>
        </w:rPr>
        <w:t xml:space="preserve"> shows that </w:t>
      </w:r>
      <w:r w:rsidR="00CA454F">
        <w:rPr>
          <w:rFonts w:ascii="Arial" w:hAnsi="Arial" w:cs="Arial"/>
          <w:sz w:val="20"/>
          <w:szCs w:val="20"/>
        </w:rPr>
        <w:t>76.9</w:t>
      </w:r>
      <w:r w:rsidR="00AD2369">
        <w:rPr>
          <w:rFonts w:ascii="Arial" w:hAnsi="Arial" w:cs="Arial"/>
          <w:sz w:val="20"/>
          <w:szCs w:val="20"/>
        </w:rPr>
        <w:t xml:space="preserve">% </w:t>
      </w:r>
      <w:r w:rsidR="00633786">
        <w:rPr>
          <w:rFonts w:ascii="Arial" w:hAnsi="Arial" w:cs="Arial"/>
          <w:sz w:val="20"/>
          <w:szCs w:val="20"/>
        </w:rPr>
        <w:t xml:space="preserve">(95%CI 74.8 – 79.1) </w:t>
      </w:r>
      <w:r w:rsidR="00AD2369">
        <w:rPr>
          <w:rFonts w:ascii="Arial" w:hAnsi="Arial" w:cs="Arial"/>
          <w:sz w:val="20"/>
          <w:szCs w:val="20"/>
        </w:rPr>
        <w:t xml:space="preserve">of males diagnosed with </w:t>
      </w:r>
      <w:r w:rsidR="009065CF">
        <w:rPr>
          <w:rFonts w:ascii="Arial" w:hAnsi="Arial" w:cs="Arial"/>
          <w:sz w:val="20"/>
          <w:szCs w:val="20"/>
        </w:rPr>
        <w:t>colorectal</w:t>
      </w:r>
      <w:r w:rsidR="009D236E">
        <w:rPr>
          <w:rFonts w:ascii="Arial" w:hAnsi="Arial" w:cs="Arial"/>
          <w:sz w:val="20"/>
          <w:szCs w:val="20"/>
        </w:rPr>
        <w:t xml:space="preserve"> cancer between </w:t>
      </w:r>
      <w:r w:rsidR="009065CF">
        <w:rPr>
          <w:rFonts w:ascii="Arial" w:hAnsi="Arial" w:cs="Arial"/>
          <w:sz w:val="20"/>
          <w:szCs w:val="20"/>
        </w:rPr>
        <w:t>2002 and 2006</w:t>
      </w:r>
      <w:r w:rsidR="00AD2369">
        <w:rPr>
          <w:rFonts w:ascii="Arial" w:hAnsi="Arial" w:cs="Arial"/>
          <w:sz w:val="20"/>
          <w:szCs w:val="20"/>
        </w:rPr>
        <w:t xml:space="preserve"> were still alive a year later in the SWLCN area. This is the highest survival rate of all </w:t>
      </w:r>
      <w:r w:rsidR="00CA454F">
        <w:rPr>
          <w:rFonts w:ascii="Arial" w:hAnsi="Arial" w:cs="Arial"/>
          <w:sz w:val="20"/>
          <w:szCs w:val="20"/>
        </w:rPr>
        <w:t xml:space="preserve">London </w:t>
      </w:r>
      <w:r w:rsidR="00AD2369">
        <w:rPr>
          <w:rFonts w:ascii="Arial" w:hAnsi="Arial" w:cs="Arial"/>
          <w:sz w:val="20"/>
          <w:szCs w:val="20"/>
        </w:rPr>
        <w:t>cancer networks</w:t>
      </w:r>
      <w:r w:rsidR="00CA454F">
        <w:rPr>
          <w:rFonts w:ascii="Arial" w:hAnsi="Arial" w:cs="Arial"/>
          <w:sz w:val="20"/>
          <w:szCs w:val="20"/>
        </w:rPr>
        <w:t>, and is significantly higher than all networks except the SELCN.</w:t>
      </w:r>
      <w:r w:rsidR="006C7ACC">
        <w:rPr>
          <w:rFonts w:ascii="Arial" w:hAnsi="Arial" w:cs="Arial"/>
          <w:sz w:val="20"/>
          <w:szCs w:val="20"/>
        </w:rPr>
        <w:t xml:space="preserve"> T</w:t>
      </w:r>
      <w:r w:rsidR="00AD2369">
        <w:rPr>
          <w:rFonts w:ascii="Arial" w:hAnsi="Arial" w:cs="Arial"/>
          <w:sz w:val="20"/>
          <w:szCs w:val="20"/>
        </w:rPr>
        <w:t xml:space="preserve">he </w:t>
      </w:r>
      <w:r w:rsidR="00CA454F">
        <w:rPr>
          <w:rFonts w:ascii="Arial" w:hAnsi="Arial" w:cs="Arial"/>
          <w:sz w:val="20"/>
          <w:szCs w:val="20"/>
        </w:rPr>
        <w:t xml:space="preserve">male </w:t>
      </w:r>
      <w:r w:rsidR="00AD2369">
        <w:rPr>
          <w:rFonts w:ascii="Arial" w:hAnsi="Arial" w:cs="Arial"/>
          <w:sz w:val="20"/>
          <w:szCs w:val="20"/>
        </w:rPr>
        <w:t>relative survival rate in the SWLCN is</w:t>
      </w:r>
      <w:r w:rsidR="00CA454F">
        <w:rPr>
          <w:rFonts w:ascii="Arial" w:hAnsi="Arial" w:cs="Arial"/>
          <w:sz w:val="20"/>
          <w:szCs w:val="20"/>
        </w:rPr>
        <w:t xml:space="preserve"> also</w:t>
      </w:r>
      <w:r w:rsidR="00AD2369">
        <w:rPr>
          <w:rFonts w:ascii="Arial" w:hAnsi="Arial" w:cs="Arial"/>
          <w:sz w:val="20"/>
          <w:szCs w:val="20"/>
        </w:rPr>
        <w:t xml:space="preserve"> significantly higher than the England </w:t>
      </w:r>
      <w:r w:rsidR="0042222F">
        <w:rPr>
          <w:rFonts w:ascii="Arial" w:hAnsi="Arial" w:cs="Arial"/>
          <w:sz w:val="20"/>
          <w:szCs w:val="20"/>
        </w:rPr>
        <w:t xml:space="preserve">and London </w:t>
      </w:r>
      <w:r w:rsidR="00AD2369">
        <w:rPr>
          <w:rFonts w:ascii="Arial" w:hAnsi="Arial" w:cs="Arial"/>
          <w:sz w:val="20"/>
          <w:szCs w:val="20"/>
        </w:rPr>
        <w:t>average</w:t>
      </w:r>
      <w:r w:rsidR="0042222F">
        <w:rPr>
          <w:rFonts w:ascii="Arial" w:hAnsi="Arial" w:cs="Arial"/>
          <w:sz w:val="20"/>
          <w:szCs w:val="20"/>
        </w:rPr>
        <w:t>s</w:t>
      </w:r>
      <w:r w:rsidR="00CA454F">
        <w:rPr>
          <w:rFonts w:ascii="Arial" w:hAnsi="Arial" w:cs="Arial"/>
          <w:sz w:val="20"/>
          <w:szCs w:val="20"/>
        </w:rPr>
        <w:t>.</w:t>
      </w:r>
      <w:r w:rsidR="00AD2369">
        <w:rPr>
          <w:rFonts w:ascii="Arial" w:hAnsi="Arial" w:cs="Arial"/>
          <w:sz w:val="20"/>
          <w:szCs w:val="20"/>
        </w:rPr>
        <w:t xml:space="preserve"> </w:t>
      </w:r>
      <w:r w:rsidR="002D62FD">
        <w:rPr>
          <w:rFonts w:ascii="Arial" w:hAnsi="Arial" w:cs="Arial"/>
          <w:sz w:val="20"/>
          <w:szCs w:val="20"/>
        </w:rPr>
        <w:t>In relation to the EUROCARE-4 countries, the SWLCN one-year survival rate is below all 3 countries; however SWLCN is only slightly below the male one-year survival rate in Norway</w:t>
      </w:r>
      <w:r w:rsidR="00633786">
        <w:rPr>
          <w:rFonts w:ascii="Arial" w:hAnsi="Arial" w:cs="Arial"/>
          <w:sz w:val="20"/>
          <w:szCs w:val="20"/>
        </w:rPr>
        <w:t xml:space="preserve"> (77.3% 95%CI 76.7 – 77.8)</w:t>
      </w:r>
      <w:r w:rsidR="002D62FD">
        <w:rPr>
          <w:rFonts w:ascii="Arial" w:hAnsi="Arial" w:cs="Arial"/>
          <w:sz w:val="20"/>
          <w:szCs w:val="20"/>
        </w:rPr>
        <w:t>.</w:t>
      </w:r>
    </w:p>
    <w:p w:rsidR="00AD2369" w:rsidRPr="00D15B41" w:rsidRDefault="00AD2369" w:rsidP="00AD2369">
      <w:pPr>
        <w:pStyle w:val="Caption"/>
        <w:spacing w:after="0"/>
        <w:rPr>
          <w:rFonts w:ascii="Arial" w:hAnsi="Arial" w:cs="Arial"/>
          <w:color w:val="auto"/>
          <w:sz w:val="20"/>
          <w:szCs w:val="20"/>
        </w:rPr>
      </w:pPr>
      <w:bookmarkStart w:id="52" w:name="_Ref263779970"/>
      <w:r w:rsidRPr="00D15B41">
        <w:rPr>
          <w:rFonts w:ascii="Arial" w:hAnsi="Arial" w:cs="Arial"/>
          <w:color w:val="auto"/>
        </w:rPr>
        <w:t xml:space="preserve">Figure </w:t>
      </w:r>
      <w:r w:rsidR="00AF55AD" w:rsidRPr="00D15B41">
        <w:rPr>
          <w:rFonts w:ascii="Arial" w:hAnsi="Arial" w:cs="Arial"/>
          <w:color w:val="auto"/>
        </w:rPr>
        <w:fldChar w:fldCharType="begin"/>
      </w:r>
      <w:r w:rsidRPr="00D15B41">
        <w:rPr>
          <w:rFonts w:ascii="Arial" w:hAnsi="Arial" w:cs="Arial"/>
          <w:color w:val="auto"/>
        </w:rPr>
        <w:instrText xml:space="preserve"> SEQ Figure \* ARABIC </w:instrText>
      </w:r>
      <w:r w:rsidR="00AF55AD" w:rsidRPr="00D15B41">
        <w:rPr>
          <w:rFonts w:ascii="Arial" w:hAnsi="Arial" w:cs="Arial"/>
          <w:color w:val="auto"/>
        </w:rPr>
        <w:fldChar w:fldCharType="separate"/>
      </w:r>
      <w:r w:rsidR="004E6A50">
        <w:rPr>
          <w:rFonts w:ascii="Arial" w:hAnsi="Arial" w:cs="Arial"/>
          <w:noProof/>
          <w:color w:val="auto"/>
        </w:rPr>
        <w:t>18</w:t>
      </w:r>
      <w:r w:rsidR="00AF55AD" w:rsidRPr="00D15B41">
        <w:rPr>
          <w:rFonts w:ascii="Arial" w:hAnsi="Arial" w:cs="Arial"/>
          <w:color w:val="auto"/>
        </w:rPr>
        <w:fldChar w:fldCharType="end"/>
      </w:r>
      <w:bookmarkEnd w:id="52"/>
      <w:r w:rsidRPr="00D15B41">
        <w:rPr>
          <w:rFonts w:ascii="Arial" w:hAnsi="Arial" w:cs="Arial"/>
          <w:color w:val="auto"/>
        </w:rPr>
        <w:t xml:space="preserve">: </w:t>
      </w:r>
      <w:r>
        <w:rPr>
          <w:rFonts w:ascii="Arial" w:hAnsi="Arial" w:cs="Arial"/>
          <w:color w:val="auto"/>
        </w:rPr>
        <w:t>Male one-</w:t>
      </w:r>
      <w:r w:rsidRPr="00D15B41">
        <w:rPr>
          <w:rFonts w:ascii="Arial" w:hAnsi="Arial" w:cs="Arial"/>
          <w:color w:val="auto"/>
        </w:rPr>
        <w:t xml:space="preserve">year </w:t>
      </w:r>
      <w:r w:rsidR="00AC339B">
        <w:rPr>
          <w:rFonts w:ascii="Arial" w:hAnsi="Arial" w:cs="Arial"/>
          <w:color w:val="auto"/>
        </w:rPr>
        <w:t>(2002-0</w:t>
      </w:r>
      <w:r w:rsidR="000A24A2">
        <w:rPr>
          <w:rFonts w:ascii="Arial" w:hAnsi="Arial" w:cs="Arial"/>
          <w:color w:val="auto"/>
        </w:rPr>
        <w:t>7</w:t>
      </w:r>
      <w:r>
        <w:rPr>
          <w:rFonts w:ascii="Arial" w:hAnsi="Arial" w:cs="Arial"/>
          <w:color w:val="auto"/>
        </w:rPr>
        <w:t xml:space="preserve">) </w:t>
      </w:r>
      <w:r w:rsidR="006C7ACC">
        <w:rPr>
          <w:rFonts w:ascii="Arial" w:hAnsi="Arial" w:cs="Arial"/>
          <w:color w:val="auto"/>
        </w:rPr>
        <w:t xml:space="preserve">estimated relative </w:t>
      </w:r>
      <w:r w:rsidRPr="00D15B41">
        <w:rPr>
          <w:rFonts w:ascii="Arial" w:hAnsi="Arial" w:cs="Arial"/>
          <w:color w:val="auto"/>
        </w:rPr>
        <w:t xml:space="preserve">survival rates for </w:t>
      </w:r>
      <w:r w:rsidR="007343D8">
        <w:rPr>
          <w:rFonts w:ascii="Arial" w:hAnsi="Arial" w:cs="Arial"/>
          <w:color w:val="auto"/>
        </w:rPr>
        <w:t>colorectal</w:t>
      </w:r>
      <w:r w:rsidRPr="00D15B41">
        <w:rPr>
          <w:rFonts w:ascii="Arial" w:hAnsi="Arial" w:cs="Arial"/>
          <w:color w:val="auto"/>
        </w:rPr>
        <w:t xml:space="preserve"> cancer by cancer network </w:t>
      </w:r>
      <w:r w:rsidR="00C97455">
        <w:rPr>
          <w:rFonts w:ascii="Arial" w:hAnsi="Arial" w:cs="Arial"/>
          <w:color w:val="auto"/>
        </w:rPr>
        <w:t xml:space="preserve">with </w:t>
      </w:r>
      <w:r w:rsidR="00CA454F">
        <w:rPr>
          <w:rFonts w:ascii="Arial" w:hAnsi="Arial" w:cs="Arial"/>
          <w:color w:val="auto"/>
        </w:rPr>
        <w:t>selected E</w:t>
      </w:r>
      <w:r w:rsidR="00FE6CD5">
        <w:rPr>
          <w:rFonts w:ascii="Arial" w:hAnsi="Arial" w:cs="Arial"/>
          <w:color w:val="auto"/>
        </w:rPr>
        <w:t>UROCARE</w:t>
      </w:r>
      <w:r w:rsidR="00CA454F">
        <w:rPr>
          <w:rFonts w:ascii="Arial" w:hAnsi="Arial" w:cs="Arial"/>
          <w:color w:val="auto"/>
        </w:rPr>
        <w:t>-</w:t>
      </w:r>
      <w:r w:rsidR="00C97455" w:rsidRPr="00D15B41">
        <w:rPr>
          <w:rFonts w:ascii="Arial" w:hAnsi="Arial" w:cs="Arial"/>
          <w:color w:val="auto"/>
        </w:rPr>
        <w:t>4 study</w:t>
      </w:r>
      <w:r w:rsidR="00CA454F">
        <w:rPr>
          <w:rFonts w:ascii="Arial" w:hAnsi="Arial" w:cs="Arial"/>
          <w:color w:val="auto"/>
        </w:rPr>
        <w:t xml:space="preserve"> countries</w:t>
      </w:r>
      <w:r w:rsidRPr="00D15B41">
        <w:rPr>
          <w:rFonts w:ascii="Arial" w:hAnsi="Arial" w:cs="Arial"/>
          <w:noProof/>
          <w:color w:val="auto"/>
        </w:rPr>
        <w:t>.</w:t>
      </w:r>
    </w:p>
    <w:p w:rsidR="00AD2369" w:rsidRPr="00B24BF0" w:rsidRDefault="0042222F" w:rsidP="00AD2369">
      <w:pPr>
        <w:spacing w:after="0"/>
      </w:pPr>
      <w:r w:rsidRPr="0042222F">
        <w:rPr>
          <w:noProof/>
          <w:lang w:val="en-US"/>
        </w:rPr>
        <w:drawing>
          <wp:inline distT="0" distB="0" distL="0" distR="0">
            <wp:extent cx="5731510" cy="3096864"/>
            <wp:effectExtent l="19050" t="0" r="21590" b="8286"/>
            <wp:docPr id="19"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D2369" w:rsidRDefault="00AD2369" w:rsidP="00AD2369">
      <w:pPr>
        <w:autoSpaceDE w:val="0"/>
        <w:autoSpaceDN w:val="0"/>
        <w:adjustRightInd w:val="0"/>
        <w:spacing w:line="240" w:lineRule="auto"/>
        <w:rPr>
          <w:rFonts w:ascii="Arial" w:hAnsi="Arial" w:cs="Arial"/>
          <w:b/>
          <w:sz w:val="16"/>
          <w:szCs w:val="16"/>
        </w:rPr>
      </w:pPr>
      <w:r w:rsidRPr="00D15B41">
        <w:rPr>
          <w:rFonts w:ascii="Arial" w:hAnsi="Arial" w:cs="Arial"/>
          <w:b/>
          <w:sz w:val="16"/>
          <w:szCs w:val="16"/>
        </w:rPr>
        <w:t>Source: Cancer in South East England 2007 Report, Thames Cancer Registry, 2010.</w:t>
      </w:r>
    </w:p>
    <w:p w:rsidR="003A3AF0" w:rsidRDefault="003A3AF0" w:rsidP="003A3AF0">
      <w:pPr>
        <w:autoSpaceDE w:val="0"/>
        <w:autoSpaceDN w:val="0"/>
        <w:adjustRightInd w:val="0"/>
        <w:rPr>
          <w:rFonts w:ascii="Arial" w:hAnsi="Arial" w:cs="Arial"/>
          <w:sz w:val="20"/>
          <w:szCs w:val="20"/>
        </w:rPr>
      </w:pPr>
      <w:r>
        <w:rPr>
          <w:rFonts w:ascii="Arial" w:hAnsi="Arial" w:cs="Arial"/>
          <w:sz w:val="20"/>
          <w:szCs w:val="20"/>
        </w:rPr>
        <w:t xml:space="preserve">Female one-year survival rates are less compared to males. </w:t>
      </w:r>
      <w:r w:rsidR="00AD2369">
        <w:rPr>
          <w:rFonts w:ascii="Arial" w:hAnsi="Arial" w:cs="Arial"/>
          <w:sz w:val="20"/>
          <w:szCs w:val="20"/>
        </w:rPr>
        <w:t>The SWLCN female relative survival rate</w:t>
      </w:r>
      <w:r>
        <w:rPr>
          <w:rFonts w:ascii="Arial" w:hAnsi="Arial" w:cs="Arial"/>
          <w:sz w:val="20"/>
          <w:szCs w:val="20"/>
        </w:rPr>
        <w:t xml:space="preserve"> (71.2%</w:t>
      </w:r>
      <w:r w:rsidR="00633786">
        <w:rPr>
          <w:rFonts w:ascii="Arial" w:hAnsi="Arial" w:cs="Arial"/>
          <w:sz w:val="20"/>
          <w:szCs w:val="20"/>
        </w:rPr>
        <w:t xml:space="preserve"> 95%CI 68.9 – 73.4</w:t>
      </w:r>
      <w:r>
        <w:rPr>
          <w:rFonts w:ascii="Arial" w:hAnsi="Arial" w:cs="Arial"/>
          <w:sz w:val="20"/>
          <w:szCs w:val="20"/>
        </w:rPr>
        <w:t>)</w:t>
      </w:r>
      <w:r w:rsidR="00AD2369">
        <w:rPr>
          <w:rFonts w:ascii="Arial" w:hAnsi="Arial" w:cs="Arial"/>
          <w:sz w:val="20"/>
          <w:szCs w:val="20"/>
        </w:rPr>
        <w:t xml:space="preserve"> is </w:t>
      </w:r>
      <w:r>
        <w:rPr>
          <w:rFonts w:ascii="Arial" w:hAnsi="Arial" w:cs="Arial"/>
          <w:sz w:val="20"/>
          <w:szCs w:val="20"/>
        </w:rPr>
        <w:t xml:space="preserve">again higher than all other networks in London. The rate is </w:t>
      </w:r>
      <w:r w:rsidR="00AD2369">
        <w:rPr>
          <w:rFonts w:ascii="Arial" w:hAnsi="Arial" w:cs="Arial"/>
          <w:sz w:val="20"/>
          <w:szCs w:val="20"/>
        </w:rPr>
        <w:t xml:space="preserve">significantly higher than the England </w:t>
      </w:r>
      <w:r w:rsidR="00633786">
        <w:rPr>
          <w:rFonts w:ascii="Arial" w:hAnsi="Arial" w:cs="Arial"/>
          <w:sz w:val="20"/>
          <w:szCs w:val="20"/>
        </w:rPr>
        <w:t>(</w:t>
      </w:r>
      <w:r w:rsidR="00BA75B1">
        <w:rPr>
          <w:rFonts w:ascii="Arial" w:hAnsi="Arial" w:cs="Arial"/>
          <w:sz w:val="20"/>
          <w:szCs w:val="20"/>
        </w:rPr>
        <w:t xml:space="preserve">70.8% 95CI 70.4 – 71.2) </w:t>
      </w:r>
      <w:r w:rsidR="00AD2369">
        <w:rPr>
          <w:rFonts w:ascii="Arial" w:hAnsi="Arial" w:cs="Arial"/>
          <w:sz w:val="20"/>
          <w:szCs w:val="20"/>
        </w:rPr>
        <w:t>average (</w:t>
      </w:r>
      <w:fldSimple w:instr=" REF _Ref263781642 \h  \* MERGEFORMAT ">
        <w:r w:rsidR="004E6A50" w:rsidRPr="004E6A50">
          <w:rPr>
            <w:rFonts w:ascii="Arial" w:hAnsi="Arial" w:cs="Arial"/>
            <w:sz w:val="20"/>
            <w:szCs w:val="20"/>
          </w:rPr>
          <w:t xml:space="preserve">Figure </w:t>
        </w:r>
        <w:r w:rsidR="004E6A50" w:rsidRPr="004E6A50">
          <w:rPr>
            <w:rFonts w:ascii="Arial" w:hAnsi="Arial" w:cs="Arial"/>
            <w:noProof/>
            <w:sz w:val="20"/>
            <w:szCs w:val="20"/>
          </w:rPr>
          <w:t>19</w:t>
        </w:r>
      </w:fldSimple>
      <w:r>
        <w:rPr>
          <w:rFonts w:ascii="Arial" w:hAnsi="Arial" w:cs="Arial"/>
          <w:sz w:val="20"/>
          <w:szCs w:val="20"/>
        </w:rPr>
        <w:t>)</w:t>
      </w:r>
      <w:r w:rsidR="00AD2369">
        <w:rPr>
          <w:rFonts w:ascii="Arial" w:hAnsi="Arial" w:cs="Arial"/>
          <w:sz w:val="20"/>
          <w:szCs w:val="20"/>
        </w:rPr>
        <w:t xml:space="preserve">. </w:t>
      </w:r>
      <w:r>
        <w:rPr>
          <w:rFonts w:ascii="Arial" w:hAnsi="Arial" w:cs="Arial"/>
          <w:sz w:val="20"/>
          <w:szCs w:val="20"/>
        </w:rPr>
        <w:t xml:space="preserve">The gap between the SWLCN one-year survival </w:t>
      </w:r>
      <w:proofErr w:type="gramStart"/>
      <w:r>
        <w:rPr>
          <w:rFonts w:ascii="Arial" w:hAnsi="Arial" w:cs="Arial"/>
          <w:sz w:val="20"/>
          <w:szCs w:val="20"/>
        </w:rPr>
        <w:t>rate</w:t>
      </w:r>
      <w:proofErr w:type="gramEnd"/>
      <w:r>
        <w:rPr>
          <w:rFonts w:ascii="Arial" w:hAnsi="Arial" w:cs="Arial"/>
          <w:sz w:val="20"/>
          <w:szCs w:val="20"/>
        </w:rPr>
        <w:t xml:space="preserve"> for women and the EUROCARE-4 countries is larger compared to men, with Norway the closest at 77.1%</w:t>
      </w:r>
      <w:r w:rsidR="00BA75B1">
        <w:rPr>
          <w:rFonts w:ascii="Arial" w:hAnsi="Arial" w:cs="Arial"/>
          <w:sz w:val="20"/>
          <w:szCs w:val="20"/>
        </w:rPr>
        <w:t xml:space="preserve"> (95%CI 76.6 – 77.7)</w:t>
      </w:r>
      <w:r>
        <w:rPr>
          <w:rFonts w:ascii="Arial" w:hAnsi="Arial" w:cs="Arial"/>
          <w:sz w:val="20"/>
          <w:szCs w:val="20"/>
        </w:rPr>
        <w:t>.</w:t>
      </w:r>
    </w:p>
    <w:p w:rsidR="00AD2369" w:rsidRPr="00D83B24" w:rsidRDefault="00AD2369" w:rsidP="00AD2369">
      <w:pPr>
        <w:pStyle w:val="Caption"/>
        <w:spacing w:after="0"/>
        <w:rPr>
          <w:rFonts w:ascii="Arial" w:hAnsi="Arial" w:cs="Arial"/>
          <w:b w:val="0"/>
          <w:color w:val="auto"/>
          <w:sz w:val="16"/>
          <w:szCs w:val="16"/>
        </w:rPr>
      </w:pPr>
      <w:bookmarkStart w:id="53" w:name="_Ref263781642"/>
      <w:r w:rsidRPr="00D83B24">
        <w:rPr>
          <w:rFonts w:ascii="Arial" w:hAnsi="Arial" w:cs="Arial"/>
          <w:color w:val="auto"/>
        </w:rPr>
        <w:t xml:space="preserve">Figure </w:t>
      </w:r>
      <w:r w:rsidR="00AF55AD" w:rsidRPr="00D83B24">
        <w:rPr>
          <w:rFonts w:ascii="Arial" w:hAnsi="Arial" w:cs="Arial"/>
          <w:color w:val="auto"/>
        </w:rPr>
        <w:fldChar w:fldCharType="begin"/>
      </w:r>
      <w:r w:rsidRPr="00D83B24">
        <w:rPr>
          <w:rFonts w:ascii="Arial" w:hAnsi="Arial" w:cs="Arial"/>
          <w:color w:val="auto"/>
        </w:rPr>
        <w:instrText xml:space="preserve"> SEQ Figure \* ARABIC </w:instrText>
      </w:r>
      <w:r w:rsidR="00AF55AD" w:rsidRPr="00D83B24">
        <w:rPr>
          <w:rFonts w:ascii="Arial" w:hAnsi="Arial" w:cs="Arial"/>
          <w:color w:val="auto"/>
        </w:rPr>
        <w:fldChar w:fldCharType="separate"/>
      </w:r>
      <w:r w:rsidR="004E6A50">
        <w:rPr>
          <w:rFonts w:ascii="Arial" w:hAnsi="Arial" w:cs="Arial"/>
          <w:noProof/>
          <w:color w:val="auto"/>
        </w:rPr>
        <w:t>19</w:t>
      </w:r>
      <w:r w:rsidR="00AF55AD" w:rsidRPr="00D83B24">
        <w:rPr>
          <w:rFonts w:ascii="Arial" w:hAnsi="Arial" w:cs="Arial"/>
          <w:color w:val="auto"/>
        </w:rPr>
        <w:fldChar w:fldCharType="end"/>
      </w:r>
      <w:bookmarkEnd w:id="53"/>
      <w:r w:rsidRPr="00D83B24">
        <w:rPr>
          <w:rFonts w:ascii="Arial" w:hAnsi="Arial" w:cs="Arial"/>
          <w:color w:val="auto"/>
        </w:rPr>
        <w:t xml:space="preserve">: </w:t>
      </w:r>
      <w:r>
        <w:rPr>
          <w:rFonts w:ascii="Arial" w:hAnsi="Arial" w:cs="Arial"/>
          <w:color w:val="auto"/>
        </w:rPr>
        <w:t>Fem</w:t>
      </w:r>
      <w:r w:rsidR="00A42F4B">
        <w:rPr>
          <w:rFonts w:ascii="Arial" w:hAnsi="Arial" w:cs="Arial"/>
          <w:color w:val="auto"/>
        </w:rPr>
        <w:t>ale one-year (2002-0</w:t>
      </w:r>
      <w:r w:rsidR="000A24A2">
        <w:rPr>
          <w:rFonts w:ascii="Arial" w:hAnsi="Arial" w:cs="Arial"/>
          <w:color w:val="auto"/>
        </w:rPr>
        <w:t>7</w:t>
      </w:r>
      <w:r w:rsidRPr="00D83B24">
        <w:rPr>
          <w:rFonts w:ascii="Arial" w:hAnsi="Arial" w:cs="Arial"/>
          <w:color w:val="auto"/>
        </w:rPr>
        <w:t xml:space="preserve">) </w:t>
      </w:r>
      <w:r>
        <w:rPr>
          <w:rFonts w:ascii="Arial" w:hAnsi="Arial" w:cs="Arial"/>
          <w:color w:val="auto"/>
        </w:rPr>
        <w:t xml:space="preserve">estimated relative </w:t>
      </w:r>
      <w:r w:rsidRPr="00D83B24">
        <w:rPr>
          <w:rFonts w:ascii="Arial" w:hAnsi="Arial" w:cs="Arial"/>
          <w:color w:val="auto"/>
        </w:rPr>
        <w:t xml:space="preserve">survival rates for </w:t>
      </w:r>
      <w:r w:rsidR="00FE6CD5">
        <w:rPr>
          <w:rFonts w:ascii="Arial" w:hAnsi="Arial" w:cs="Arial"/>
          <w:color w:val="auto"/>
        </w:rPr>
        <w:t>col</w:t>
      </w:r>
      <w:r w:rsidR="00FA630F">
        <w:rPr>
          <w:rFonts w:ascii="Arial" w:hAnsi="Arial" w:cs="Arial"/>
          <w:color w:val="auto"/>
        </w:rPr>
        <w:t>o</w:t>
      </w:r>
      <w:r w:rsidR="00FE6CD5">
        <w:rPr>
          <w:rFonts w:ascii="Arial" w:hAnsi="Arial" w:cs="Arial"/>
          <w:color w:val="auto"/>
        </w:rPr>
        <w:t>rectal</w:t>
      </w:r>
      <w:r w:rsidRPr="00D83B24">
        <w:rPr>
          <w:rFonts w:ascii="Arial" w:hAnsi="Arial" w:cs="Arial"/>
          <w:color w:val="auto"/>
        </w:rPr>
        <w:t xml:space="preserve"> cancer by cancer network </w:t>
      </w:r>
      <w:r w:rsidR="006C7ACC">
        <w:rPr>
          <w:rFonts w:ascii="Arial" w:hAnsi="Arial" w:cs="Arial"/>
          <w:color w:val="auto"/>
        </w:rPr>
        <w:t xml:space="preserve">with </w:t>
      </w:r>
      <w:r w:rsidR="00FE6CD5">
        <w:rPr>
          <w:rFonts w:ascii="Arial" w:hAnsi="Arial" w:cs="Arial"/>
          <w:color w:val="auto"/>
        </w:rPr>
        <w:t>selected EUROCARE-</w:t>
      </w:r>
      <w:r w:rsidR="00FE6CD5" w:rsidRPr="00D15B41">
        <w:rPr>
          <w:rFonts w:ascii="Arial" w:hAnsi="Arial" w:cs="Arial"/>
          <w:color w:val="auto"/>
        </w:rPr>
        <w:t>4 study</w:t>
      </w:r>
      <w:r w:rsidR="00FE6CD5">
        <w:rPr>
          <w:rFonts w:ascii="Arial" w:hAnsi="Arial" w:cs="Arial"/>
          <w:color w:val="auto"/>
        </w:rPr>
        <w:t xml:space="preserve"> countries</w:t>
      </w:r>
      <w:r w:rsidR="00FE6CD5" w:rsidRPr="00D15B41">
        <w:rPr>
          <w:rFonts w:ascii="Arial" w:hAnsi="Arial" w:cs="Arial"/>
          <w:noProof/>
          <w:color w:val="auto"/>
        </w:rPr>
        <w:t>.</w:t>
      </w:r>
    </w:p>
    <w:p w:rsidR="00AD2369" w:rsidRDefault="0042222F" w:rsidP="00AD2369">
      <w:pPr>
        <w:autoSpaceDE w:val="0"/>
        <w:autoSpaceDN w:val="0"/>
        <w:adjustRightInd w:val="0"/>
        <w:spacing w:after="0" w:line="240" w:lineRule="auto"/>
        <w:rPr>
          <w:rFonts w:ascii="Arial" w:hAnsi="Arial" w:cs="Arial"/>
          <w:b/>
          <w:sz w:val="16"/>
          <w:szCs w:val="16"/>
        </w:rPr>
      </w:pPr>
      <w:r w:rsidRPr="0042222F">
        <w:rPr>
          <w:rFonts w:ascii="Arial" w:hAnsi="Arial" w:cs="Arial"/>
          <w:b/>
          <w:noProof/>
          <w:sz w:val="16"/>
          <w:szCs w:val="16"/>
          <w:lang w:val="en-US"/>
        </w:rPr>
        <w:drawing>
          <wp:inline distT="0" distB="0" distL="0" distR="0">
            <wp:extent cx="5731510" cy="2562225"/>
            <wp:effectExtent l="19050" t="0" r="21590" b="0"/>
            <wp:docPr id="17"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D2369" w:rsidRDefault="00AD2369" w:rsidP="00AD2369">
      <w:pPr>
        <w:autoSpaceDE w:val="0"/>
        <w:autoSpaceDN w:val="0"/>
        <w:adjustRightInd w:val="0"/>
        <w:spacing w:line="240" w:lineRule="auto"/>
        <w:rPr>
          <w:rFonts w:ascii="Arial" w:hAnsi="Arial" w:cs="Arial"/>
          <w:b/>
          <w:sz w:val="16"/>
          <w:szCs w:val="16"/>
        </w:rPr>
      </w:pPr>
      <w:r w:rsidRPr="00D15B41">
        <w:rPr>
          <w:rFonts w:ascii="Arial" w:hAnsi="Arial" w:cs="Arial"/>
          <w:b/>
          <w:sz w:val="16"/>
          <w:szCs w:val="16"/>
        </w:rPr>
        <w:t>Source: Cancer in South East England 2007 Report, Thames Cancer Registry, 2010.</w:t>
      </w:r>
    </w:p>
    <w:p w:rsidR="00177561" w:rsidRPr="00177561" w:rsidRDefault="00177561" w:rsidP="00177561">
      <w:pPr>
        <w:autoSpaceDE w:val="0"/>
        <w:autoSpaceDN w:val="0"/>
        <w:adjustRightInd w:val="0"/>
        <w:rPr>
          <w:rFonts w:ascii="Arial" w:hAnsi="Arial" w:cs="Arial"/>
          <w:sz w:val="20"/>
          <w:szCs w:val="20"/>
        </w:rPr>
      </w:pPr>
      <w:r w:rsidRPr="00177561">
        <w:rPr>
          <w:rFonts w:ascii="Arial" w:hAnsi="Arial" w:cs="Arial"/>
          <w:sz w:val="20"/>
          <w:szCs w:val="20"/>
        </w:rPr>
        <w:t>Providing comparisons and a benchmark to aim for is valid. The difference in survival rates between the UK and European rates may not only be due to later presentation in the UK but also additional factors such as data quality, tumour-related factors, host factors and healthcare-related factors (Thomson and Forman 2009, Brewster 2010). However comment and research does state that poor survival in the UK compared to other European countries is associated with more advanced stage at presentation (</w:t>
      </w:r>
      <w:proofErr w:type="spellStart"/>
      <w:r w:rsidR="00AF55AD">
        <w:fldChar w:fldCharType="begin"/>
      </w:r>
      <w:r w:rsidR="00AF55AD">
        <w:instrText>HYPERLINK "http://thorax.bmj.com/search?author1=A+Imperatori&amp;sortspec=date&amp;submit=Submit"</w:instrText>
      </w:r>
      <w:r w:rsidR="00AF55AD">
        <w:fldChar w:fldCharType="separate"/>
      </w:r>
      <w:r w:rsidRPr="00177561">
        <w:rPr>
          <w:rFonts w:ascii="Arial" w:eastAsia="Times New Roman" w:hAnsi="Arial" w:cs="Arial"/>
          <w:bCs/>
          <w:color w:val="333333"/>
          <w:sz w:val="20"/>
          <w:szCs w:val="20"/>
          <w:lang w:eastAsia="en-GB"/>
        </w:rPr>
        <w:t>Imperatori</w:t>
      </w:r>
      <w:proofErr w:type="spellEnd"/>
      <w:r w:rsidR="00AF55AD">
        <w:fldChar w:fldCharType="end"/>
      </w:r>
      <w:r w:rsidRPr="00177561">
        <w:rPr>
          <w:rFonts w:ascii="Arial" w:eastAsia="Times New Roman" w:hAnsi="Arial" w:cs="Arial"/>
          <w:bCs/>
          <w:color w:val="333333"/>
          <w:sz w:val="20"/>
          <w:szCs w:val="20"/>
          <w:lang w:eastAsia="en-GB"/>
        </w:rPr>
        <w:t xml:space="preserve"> et al. 2006, Richards 2009, </w:t>
      </w:r>
      <w:r w:rsidRPr="00177561">
        <w:rPr>
          <w:rFonts w:ascii="Arial" w:hAnsi="Arial" w:cs="Arial"/>
          <w:sz w:val="20"/>
          <w:szCs w:val="20"/>
        </w:rPr>
        <w:t xml:space="preserve">Brewster 2010, </w:t>
      </w:r>
      <w:proofErr w:type="gramStart"/>
      <w:r w:rsidRPr="00177561">
        <w:rPr>
          <w:rFonts w:ascii="Arial" w:eastAsia="Times New Roman" w:hAnsi="Arial" w:cs="Arial"/>
          <w:bCs/>
          <w:color w:val="333333"/>
          <w:sz w:val="20"/>
          <w:szCs w:val="20"/>
          <w:lang w:eastAsia="en-GB"/>
        </w:rPr>
        <w:t>Crawford</w:t>
      </w:r>
      <w:proofErr w:type="gramEnd"/>
      <w:r w:rsidRPr="00177561">
        <w:rPr>
          <w:rFonts w:ascii="Arial" w:eastAsia="Times New Roman" w:hAnsi="Arial" w:cs="Arial"/>
          <w:bCs/>
          <w:color w:val="333333"/>
          <w:sz w:val="20"/>
          <w:szCs w:val="20"/>
          <w:lang w:eastAsia="en-GB"/>
        </w:rPr>
        <w:t xml:space="preserve"> 2010).</w:t>
      </w:r>
    </w:p>
    <w:p w:rsidR="00AD2369" w:rsidRDefault="00AD2369" w:rsidP="001F2601">
      <w:pPr>
        <w:pStyle w:val="Heading2"/>
        <w:numPr>
          <w:ilvl w:val="1"/>
          <w:numId w:val="1"/>
        </w:numPr>
        <w:spacing w:after="240"/>
        <w:rPr>
          <w:rFonts w:ascii="Arial" w:hAnsi="Arial" w:cs="Arial"/>
          <w:color w:val="auto"/>
          <w:sz w:val="24"/>
          <w:szCs w:val="24"/>
        </w:rPr>
      </w:pPr>
      <w:bookmarkStart w:id="54" w:name="_Toc276037846"/>
      <w:r>
        <w:rPr>
          <w:rFonts w:ascii="Arial" w:hAnsi="Arial" w:cs="Arial"/>
          <w:color w:val="auto"/>
          <w:sz w:val="24"/>
          <w:szCs w:val="24"/>
        </w:rPr>
        <w:t>Five</w:t>
      </w:r>
      <w:r w:rsidRPr="005C4A04">
        <w:rPr>
          <w:rFonts w:ascii="Arial" w:hAnsi="Arial" w:cs="Arial"/>
          <w:color w:val="auto"/>
          <w:sz w:val="24"/>
          <w:szCs w:val="24"/>
        </w:rPr>
        <w:t xml:space="preserve">-year </w:t>
      </w:r>
      <w:r>
        <w:rPr>
          <w:rFonts w:ascii="Arial" w:hAnsi="Arial" w:cs="Arial"/>
          <w:color w:val="auto"/>
          <w:sz w:val="24"/>
          <w:szCs w:val="24"/>
        </w:rPr>
        <w:t xml:space="preserve">relative </w:t>
      </w:r>
      <w:r w:rsidRPr="005C4A04">
        <w:rPr>
          <w:rFonts w:ascii="Arial" w:hAnsi="Arial" w:cs="Arial"/>
          <w:color w:val="auto"/>
          <w:sz w:val="24"/>
          <w:szCs w:val="24"/>
        </w:rPr>
        <w:t>survival</w:t>
      </w:r>
      <w:r w:rsidR="00695D53" w:rsidRPr="00695D53">
        <w:rPr>
          <w:rFonts w:ascii="Arial" w:hAnsi="Arial" w:cs="Arial"/>
          <w:color w:val="auto"/>
          <w:sz w:val="24"/>
          <w:szCs w:val="24"/>
        </w:rPr>
        <w:t xml:space="preserve"> </w:t>
      </w:r>
      <w:r w:rsidR="00695D53">
        <w:rPr>
          <w:rFonts w:ascii="Arial" w:hAnsi="Arial" w:cs="Arial"/>
          <w:color w:val="auto"/>
          <w:sz w:val="24"/>
          <w:szCs w:val="24"/>
        </w:rPr>
        <w:t>PCT and Cancer Network</w:t>
      </w:r>
      <w:bookmarkEnd w:id="54"/>
    </w:p>
    <w:p w:rsidR="00BA75B1" w:rsidRPr="00BA75B1" w:rsidRDefault="00BA75B1" w:rsidP="00BA75B1">
      <w:pPr>
        <w:autoSpaceDE w:val="0"/>
        <w:autoSpaceDN w:val="0"/>
        <w:adjustRightInd w:val="0"/>
        <w:rPr>
          <w:rFonts w:ascii="Arial" w:hAnsi="Arial" w:cs="Arial"/>
          <w:sz w:val="20"/>
          <w:szCs w:val="20"/>
        </w:rPr>
      </w:pPr>
      <w:r w:rsidRPr="00BA75B1">
        <w:rPr>
          <w:rFonts w:ascii="Arial" w:hAnsi="Arial" w:cs="Arial"/>
          <w:sz w:val="20"/>
          <w:szCs w:val="20"/>
        </w:rPr>
        <w:t>Sutton &amp; Merton PCT has the highest 5-year relative survival rate at 56.0%</w:t>
      </w:r>
      <w:r>
        <w:rPr>
          <w:rFonts w:ascii="Arial" w:hAnsi="Arial" w:cs="Arial"/>
          <w:sz w:val="20"/>
          <w:szCs w:val="20"/>
        </w:rPr>
        <w:t xml:space="preserve"> (95%CI 51.6 – 60.3)</w:t>
      </w:r>
      <w:r w:rsidRPr="00BA75B1">
        <w:rPr>
          <w:rFonts w:ascii="Arial" w:hAnsi="Arial" w:cs="Arial"/>
          <w:sz w:val="20"/>
          <w:szCs w:val="20"/>
        </w:rPr>
        <w:t xml:space="preserve"> (</w:t>
      </w:r>
      <w:fldSimple w:instr=" REF _Ref265136138 \h  \* MERGEFORMAT ">
        <w:r w:rsidR="004E6A50" w:rsidRPr="004E6A50">
          <w:rPr>
            <w:rFonts w:ascii="Arial" w:hAnsi="Arial" w:cs="Arial"/>
            <w:sz w:val="20"/>
            <w:szCs w:val="20"/>
          </w:rPr>
          <w:t xml:space="preserve">Figure </w:t>
        </w:r>
        <w:r w:rsidR="004E6A50" w:rsidRPr="004E6A50">
          <w:rPr>
            <w:rFonts w:ascii="Arial" w:hAnsi="Arial" w:cs="Arial"/>
            <w:noProof/>
            <w:sz w:val="20"/>
            <w:szCs w:val="20"/>
          </w:rPr>
          <w:t>20</w:t>
        </w:r>
      </w:fldSimple>
      <w:r w:rsidRPr="00BA75B1">
        <w:rPr>
          <w:rFonts w:ascii="Arial" w:hAnsi="Arial" w:cs="Arial"/>
          <w:sz w:val="20"/>
          <w:szCs w:val="20"/>
        </w:rPr>
        <w:t>). Wandsworth has the lowest survival rate at 44.0%</w:t>
      </w:r>
      <w:r>
        <w:rPr>
          <w:rFonts w:ascii="Arial" w:hAnsi="Arial" w:cs="Arial"/>
          <w:sz w:val="20"/>
          <w:szCs w:val="20"/>
        </w:rPr>
        <w:t xml:space="preserve"> (95%CI 38.2 – 49.7)</w:t>
      </w:r>
      <w:proofErr w:type="gramStart"/>
      <w:r w:rsidRPr="00BA75B1">
        <w:rPr>
          <w:rFonts w:ascii="Arial" w:hAnsi="Arial" w:cs="Arial"/>
          <w:sz w:val="20"/>
          <w:szCs w:val="20"/>
        </w:rPr>
        <w:t>,</w:t>
      </w:r>
      <w:proofErr w:type="gramEnd"/>
      <w:r w:rsidRPr="00BA75B1">
        <w:rPr>
          <w:rFonts w:ascii="Arial" w:hAnsi="Arial" w:cs="Arial"/>
          <w:sz w:val="20"/>
          <w:szCs w:val="20"/>
        </w:rPr>
        <w:t xml:space="preserve"> this is significantly lower than the national. Due to small numbers of colorectal cancer incidence occurring at a PCT level, survival rates at PCT level are calculated on a 5-year rolling average as opposed to 3 years at sector level. Also PCT data shown is for a different time period to the sector data </w:t>
      </w:r>
      <w:r>
        <w:rPr>
          <w:rFonts w:ascii="Arial" w:hAnsi="Arial" w:cs="Arial"/>
          <w:sz w:val="20"/>
          <w:szCs w:val="20"/>
        </w:rPr>
        <w:t>below</w:t>
      </w:r>
      <w:r w:rsidRPr="00BA75B1">
        <w:rPr>
          <w:rFonts w:ascii="Arial" w:hAnsi="Arial" w:cs="Arial"/>
          <w:sz w:val="20"/>
          <w:szCs w:val="20"/>
        </w:rPr>
        <w:t xml:space="preserve"> (</w:t>
      </w:r>
      <w:fldSimple w:instr=" REF _Ref263841908 \h  \* MERGEFORMAT ">
        <w:r w:rsidR="004E6A50" w:rsidRPr="004E6A50">
          <w:rPr>
            <w:rFonts w:ascii="Arial" w:hAnsi="Arial" w:cs="Arial"/>
            <w:sz w:val="20"/>
            <w:szCs w:val="20"/>
          </w:rPr>
          <w:t xml:space="preserve">Figure </w:t>
        </w:r>
        <w:r w:rsidR="004E6A50" w:rsidRPr="004E6A50">
          <w:rPr>
            <w:rFonts w:ascii="Arial" w:hAnsi="Arial" w:cs="Arial"/>
            <w:noProof/>
            <w:sz w:val="20"/>
            <w:szCs w:val="20"/>
          </w:rPr>
          <w:t>21</w:t>
        </w:r>
      </w:fldSimple>
      <w:r w:rsidRPr="00BA75B1">
        <w:rPr>
          <w:rFonts w:ascii="Arial" w:hAnsi="Arial" w:cs="Arial"/>
          <w:sz w:val="20"/>
          <w:szCs w:val="20"/>
        </w:rPr>
        <w:t>).</w:t>
      </w:r>
    </w:p>
    <w:p w:rsidR="00BA75B1" w:rsidRPr="003E5B5E" w:rsidRDefault="00BA75B1" w:rsidP="00BA75B1">
      <w:pPr>
        <w:pStyle w:val="Caption"/>
        <w:spacing w:after="0"/>
        <w:rPr>
          <w:rFonts w:ascii="Arial" w:hAnsi="Arial" w:cs="Arial"/>
          <w:color w:val="auto"/>
          <w:sz w:val="20"/>
          <w:szCs w:val="20"/>
        </w:rPr>
      </w:pPr>
      <w:bookmarkStart w:id="55" w:name="_Ref265136138"/>
      <w:r w:rsidRPr="003E5B5E">
        <w:rPr>
          <w:rFonts w:ascii="Arial" w:hAnsi="Arial" w:cs="Arial"/>
          <w:color w:val="auto"/>
        </w:rPr>
        <w:t xml:space="preserve">Figure </w:t>
      </w:r>
      <w:r w:rsidR="00AF55AD" w:rsidRPr="003E5B5E">
        <w:rPr>
          <w:rFonts w:ascii="Arial" w:hAnsi="Arial" w:cs="Arial"/>
          <w:color w:val="auto"/>
        </w:rPr>
        <w:fldChar w:fldCharType="begin"/>
      </w:r>
      <w:r w:rsidRPr="003E5B5E">
        <w:rPr>
          <w:rFonts w:ascii="Arial" w:hAnsi="Arial" w:cs="Arial"/>
          <w:color w:val="auto"/>
        </w:rPr>
        <w:instrText xml:space="preserve"> SEQ Figure \* ARABIC </w:instrText>
      </w:r>
      <w:r w:rsidR="00AF55AD" w:rsidRPr="003E5B5E">
        <w:rPr>
          <w:rFonts w:ascii="Arial" w:hAnsi="Arial" w:cs="Arial"/>
          <w:color w:val="auto"/>
        </w:rPr>
        <w:fldChar w:fldCharType="separate"/>
      </w:r>
      <w:r w:rsidR="004E6A50">
        <w:rPr>
          <w:rFonts w:ascii="Arial" w:hAnsi="Arial" w:cs="Arial"/>
          <w:noProof/>
          <w:color w:val="auto"/>
        </w:rPr>
        <w:t>20</w:t>
      </w:r>
      <w:r w:rsidR="00AF55AD" w:rsidRPr="003E5B5E">
        <w:rPr>
          <w:rFonts w:ascii="Arial" w:hAnsi="Arial" w:cs="Arial"/>
          <w:color w:val="auto"/>
        </w:rPr>
        <w:fldChar w:fldCharType="end"/>
      </w:r>
      <w:bookmarkEnd w:id="55"/>
      <w:r w:rsidRPr="003E5B5E">
        <w:rPr>
          <w:rFonts w:ascii="Arial" w:hAnsi="Arial" w:cs="Arial"/>
          <w:color w:val="auto"/>
        </w:rPr>
        <w:t xml:space="preserve">: All persons five-year (1998-2002) estimated relative survival rates for </w:t>
      </w:r>
      <w:r w:rsidR="009065CF">
        <w:rPr>
          <w:rFonts w:ascii="Arial" w:hAnsi="Arial" w:cs="Arial"/>
          <w:color w:val="auto"/>
        </w:rPr>
        <w:t>colorectal</w:t>
      </w:r>
      <w:r w:rsidRPr="003E5B5E">
        <w:rPr>
          <w:rFonts w:ascii="Arial" w:hAnsi="Arial" w:cs="Arial"/>
          <w:color w:val="auto"/>
        </w:rPr>
        <w:t xml:space="preserve"> cancer by PCT.</w:t>
      </w:r>
    </w:p>
    <w:p w:rsidR="00BA75B1" w:rsidRPr="00BA75B1" w:rsidRDefault="00BA75B1" w:rsidP="00BA75B1">
      <w:pPr>
        <w:autoSpaceDE w:val="0"/>
        <w:autoSpaceDN w:val="0"/>
        <w:adjustRightInd w:val="0"/>
        <w:spacing w:after="0" w:line="240" w:lineRule="auto"/>
        <w:rPr>
          <w:rFonts w:ascii="Arial" w:hAnsi="Arial" w:cs="Arial"/>
          <w:b/>
          <w:sz w:val="16"/>
          <w:szCs w:val="16"/>
        </w:rPr>
      </w:pPr>
      <w:r w:rsidRPr="008E17A5">
        <w:rPr>
          <w:noProof/>
          <w:lang w:val="en-US"/>
        </w:rPr>
        <w:drawing>
          <wp:inline distT="0" distB="0" distL="0" distR="0">
            <wp:extent cx="4572000" cy="1895475"/>
            <wp:effectExtent l="19050" t="0" r="19050" b="0"/>
            <wp:docPr id="4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A75B1" w:rsidRPr="00BA75B1" w:rsidRDefault="00BA75B1" w:rsidP="00BA75B1">
      <w:pPr>
        <w:autoSpaceDE w:val="0"/>
        <w:autoSpaceDN w:val="0"/>
        <w:adjustRightInd w:val="0"/>
        <w:spacing w:after="0" w:line="240" w:lineRule="auto"/>
        <w:rPr>
          <w:rFonts w:ascii="Arial" w:hAnsi="Arial" w:cs="Arial"/>
          <w:b/>
          <w:sz w:val="16"/>
          <w:szCs w:val="16"/>
        </w:rPr>
      </w:pPr>
      <w:r w:rsidRPr="00BA75B1">
        <w:rPr>
          <w:rFonts w:ascii="Arial" w:hAnsi="Arial" w:cs="Arial"/>
          <w:b/>
          <w:sz w:val="16"/>
          <w:szCs w:val="16"/>
        </w:rPr>
        <w:t>Source: NCIN/APHO/UKACR from Cancer e-Atlas 2010.</w:t>
      </w:r>
    </w:p>
    <w:p w:rsidR="00AD2369" w:rsidRDefault="00AD2369" w:rsidP="00AD2369">
      <w:pPr>
        <w:pStyle w:val="NormalWeb"/>
        <w:spacing w:line="276" w:lineRule="auto"/>
        <w:rPr>
          <w:rFonts w:ascii="Arial" w:hAnsi="Arial" w:cs="Arial"/>
          <w:sz w:val="20"/>
          <w:szCs w:val="20"/>
        </w:rPr>
      </w:pPr>
      <w:r w:rsidRPr="001631B8">
        <w:rPr>
          <w:rFonts w:ascii="Arial" w:hAnsi="Arial" w:cs="Arial"/>
          <w:sz w:val="20"/>
          <w:szCs w:val="20"/>
        </w:rPr>
        <w:t>Five year cohort relative survival estimates for persons have been extracted from the Cancer Information Service (CIS) database by rolling 3 year cohorts (1990-1992, 1991-1993 ... 1999-2001) for cancer networks (CNs). The survival estimates from CIS relates to the June 2008 data submission by Registries to CIS, which contains follow up on death information to the end of 2006</w:t>
      </w:r>
      <w:r>
        <w:rPr>
          <w:rFonts w:ascii="Arial" w:hAnsi="Arial" w:cs="Arial"/>
          <w:sz w:val="20"/>
          <w:szCs w:val="20"/>
        </w:rPr>
        <w:t>.</w:t>
      </w:r>
    </w:p>
    <w:p w:rsidR="00AD2369" w:rsidRDefault="00AD2369" w:rsidP="00AD2369">
      <w:pPr>
        <w:pStyle w:val="NormalWeb"/>
        <w:spacing w:line="276" w:lineRule="auto"/>
        <w:rPr>
          <w:rFonts w:ascii="Arial" w:hAnsi="Arial" w:cs="Arial"/>
          <w:sz w:val="20"/>
          <w:szCs w:val="20"/>
        </w:rPr>
      </w:pPr>
      <w:r>
        <w:rPr>
          <w:rFonts w:ascii="Arial" w:hAnsi="Arial" w:cs="Arial"/>
          <w:sz w:val="20"/>
          <w:szCs w:val="20"/>
        </w:rPr>
        <w:t xml:space="preserve">The SWLCN has the highest 5-year </w:t>
      </w:r>
      <w:r w:rsidR="00EC4C5F">
        <w:rPr>
          <w:rFonts w:ascii="Arial" w:hAnsi="Arial" w:cs="Arial"/>
          <w:sz w:val="20"/>
          <w:szCs w:val="20"/>
        </w:rPr>
        <w:t>colorectal</w:t>
      </w:r>
      <w:r>
        <w:rPr>
          <w:rFonts w:ascii="Arial" w:hAnsi="Arial" w:cs="Arial"/>
          <w:sz w:val="20"/>
          <w:szCs w:val="20"/>
        </w:rPr>
        <w:t xml:space="preserve"> cancer relative survival in the </w:t>
      </w:r>
      <w:r w:rsidR="00EC4C5F">
        <w:rPr>
          <w:rFonts w:ascii="Arial" w:hAnsi="Arial" w:cs="Arial"/>
          <w:sz w:val="20"/>
          <w:szCs w:val="20"/>
        </w:rPr>
        <w:t>London area</w:t>
      </w:r>
      <w:r>
        <w:rPr>
          <w:rFonts w:ascii="Arial" w:hAnsi="Arial" w:cs="Arial"/>
          <w:sz w:val="20"/>
          <w:szCs w:val="20"/>
        </w:rPr>
        <w:t xml:space="preserve"> at </w:t>
      </w:r>
      <w:r w:rsidR="00EC4C5F">
        <w:rPr>
          <w:rFonts w:ascii="Arial" w:hAnsi="Arial" w:cs="Arial"/>
          <w:sz w:val="20"/>
          <w:szCs w:val="20"/>
        </w:rPr>
        <w:t>52.7</w:t>
      </w:r>
      <w:r>
        <w:rPr>
          <w:rFonts w:ascii="Arial" w:hAnsi="Arial" w:cs="Arial"/>
          <w:sz w:val="20"/>
          <w:szCs w:val="20"/>
        </w:rPr>
        <w:t>% (</w:t>
      </w:r>
      <w:fldSimple w:instr=" REF _Ref263841908 \h  \* MERGEFORMAT ">
        <w:r w:rsidR="004E6A50" w:rsidRPr="004E6A50">
          <w:rPr>
            <w:rFonts w:ascii="Arial" w:hAnsi="Arial" w:cs="Arial"/>
            <w:sz w:val="20"/>
            <w:szCs w:val="20"/>
          </w:rPr>
          <w:t xml:space="preserve">Figure </w:t>
        </w:r>
        <w:r w:rsidR="004E6A50" w:rsidRPr="004E6A50">
          <w:rPr>
            <w:rFonts w:ascii="Arial" w:hAnsi="Arial" w:cs="Arial"/>
            <w:noProof/>
            <w:sz w:val="20"/>
            <w:szCs w:val="20"/>
          </w:rPr>
          <w:t>21</w:t>
        </w:r>
      </w:fldSimple>
      <w:r>
        <w:rPr>
          <w:rFonts w:ascii="Arial" w:hAnsi="Arial" w:cs="Arial"/>
          <w:sz w:val="20"/>
          <w:szCs w:val="20"/>
        </w:rPr>
        <w:t xml:space="preserve">). It is also </w:t>
      </w:r>
      <w:r w:rsidR="00EC4C5F">
        <w:rPr>
          <w:rFonts w:ascii="Arial" w:hAnsi="Arial" w:cs="Arial"/>
          <w:sz w:val="20"/>
          <w:szCs w:val="20"/>
        </w:rPr>
        <w:t xml:space="preserve">slightly </w:t>
      </w:r>
      <w:r>
        <w:rPr>
          <w:rFonts w:ascii="Arial" w:hAnsi="Arial" w:cs="Arial"/>
          <w:sz w:val="20"/>
          <w:szCs w:val="20"/>
        </w:rPr>
        <w:t>highe</w:t>
      </w:r>
      <w:r w:rsidR="00EC4C5F">
        <w:rPr>
          <w:rFonts w:ascii="Arial" w:hAnsi="Arial" w:cs="Arial"/>
          <w:sz w:val="20"/>
          <w:szCs w:val="20"/>
        </w:rPr>
        <w:t>r than the national average at 51</w:t>
      </w:r>
      <w:r>
        <w:rPr>
          <w:rFonts w:ascii="Arial" w:hAnsi="Arial" w:cs="Arial"/>
          <w:sz w:val="20"/>
          <w:szCs w:val="20"/>
        </w:rPr>
        <w:t xml:space="preserve">.7%. Confidence intervals were not available. The </w:t>
      </w:r>
      <w:r w:rsidR="00EC4C5F">
        <w:rPr>
          <w:rFonts w:ascii="Arial" w:hAnsi="Arial" w:cs="Arial"/>
          <w:sz w:val="20"/>
          <w:szCs w:val="20"/>
        </w:rPr>
        <w:t>lowest</w:t>
      </w:r>
      <w:r>
        <w:rPr>
          <w:rFonts w:ascii="Arial" w:hAnsi="Arial" w:cs="Arial"/>
          <w:sz w:val="20"/>
          <w:szCs w:val="20"/>
        </w:rPr>
        <w:t xml:space="preserve"> estimated survival rate is in the </w:t>
      </w:r>
      <w:r w:rsidR="00EC4C5F">
        <w:rPr>
          <w:rFonts w:ascii="Arial" w:hAnsi="Arial" w:cs="Arial"/>
          <w:sz w:val="20"/>
          <w:szCs w:val="20"/>
        </w:rPr>
        <w:t>Kent &amp; Medway CN</w:t>
      </w:r>
      <w:r>
        <w:rPr>
          <w:rFonts w:ascii="Arial" w:hAnsi="Arial" w:cs="Arial"/>
          <w:sz w:val="20"/>
          <w:szCs w:val="20"/>
        </w:rPr>
        <w:t xml:space="preserve"> at </w:t>
      </w:r>
      <w:r w:rsidR="00EC4C5F">
        <w:rPr>
          <w:rFonts w:ascii="Arial" w:hAnsi="Arial" w:cs="Arial"/>
          <w:sz w:val="20"/>
          <w:szCs w:val="20"/>
        </w:rPr>
        <w:t>43.4</w:t>
      </w:r>
      <w:r>
        <w:rPr>
          <w:rFonts w:ascii="Arial" w:hAnsi="Arial" w:cs="Arial"/>
          <w:sz w:val="20"/>
          <w:szCs w:val="20"/>
        </w:rPr>
        <w:t xml:space="preserve">% while the lowest </w:t>
      </w:r>
      <w:r w:rsidR="00EC4C5F">
        <w:rPr>
          <w:rFonts w:ascii="Arial" w:hAnsi="Arial" w:cs="Arial"/>
          <w:sz w:val="20"/>
          <w:szCs w:val="20"/>
        </w:rPr>
        <w:t>in London is the NELCN</w:t>
      </w:r>
      <w:r>
        <w:rPr>
          <w:rFonts w:ascii="Arial" w:hAnsi="Arial" w:cs="Arial"/>
          <w:sz w:val="20"/>
          <w:szCs w:val="20"/>
        </w:rPr>
        <w:t xml:space="preserve"> at </w:t>
      </w:r>
      <w:r w:rsidR="00EC4C5F">
        <w:rPr>
          <w:rFonts w:ascii="Arial" w:hAnsi="Arial" w:cs="Arial"/>
          <w:sz w:val="20"/>
          <w:szCs w:val="20"/>
        </w:rPr>
        <w:t>4</w:t>
      </w:r>
      <w:r>
        <w:rPr>
          <w:rFonts w:ascii="Arial" w:hAnsi="Arial" w:cs="Arial"/>
          <w:sz w:val="20"/>
          <w:szCs w:val="20"/>
        </w:rPr>
        <w:t>5.</w:t>
      </w:r>
      <w:r w:rsidR="00EC4C5F">
        <w:rPr>
          <w:rFonts w:ascii="Arial" w:hAnsi="Arial" w:cs="Arial"/>
          <w:sz w:val="20"/>
          <w:szCs w:val="20"/>
        </w:rPr>
        <w:t>8</w:t>
      </w:r>
      <w:r>
        <w:rPr>
          <w:rFonts w:ascii="Arial" w:hAnsi="Arial" w:cs="Arial"/>
          <w:sz w:val="20"/>
          <w:szCs w:val="20"/>
        </w:rPr>
        <w:t>%.</w:t>
      </w:r>
    </w:p>
    <w:p w:rsidR="00AD2369" w:rsidRPr="001631B8" w:rsidRDefault="00AD2369" w:rsidP="00AD2369">
      <w:pPr>
        <w:pStyle w:val="Caption"/>
        <w:spacing w:after="0"/>
        <w:rPr>
          <w:rFonts w:ascii="Arial" w:hAnsi="Arial" w:cs="Arial"/>
          <w:sz w:val="20"/>
          <w:szCs w:val="20"/>
        </w:rPr>
      </w:pPr>
      <w:bookmarkStart w:id="56" w:name="_Ref263841908"/>
      <w:r w:rsidRPr="008A7878">
        <w:rPr>
          <w:rFonts w:ascii="Arial" w:hAnsi="Arial" w:cs="Arial"/>
          <w:color w:val="auto"/>
        </w:rPr>
        <w:t xml:space="preserve">Figure </w:t>
      </w:r>
      <w:r w:rsidR="00AF55AD" w:rsidRPr="008A7878">
        <w:rPr>
          <w:rFonts w:ascii="Arial" w:hAnsi="Arial" w:cs="Arial"/>
          <w:color w:val="auto"/>
        </w:rPr>
        <w:fldChar w:fldCharType="begin"/>
      </w:r>
      <w:r w:rsidRPr="008A7878">
        <w:rPr>
          <w:rFonts w:ascii="Arial" w:hAnsi="Arial" w:cs="Arial"/>
          <w:color w:val="auto"/>
        </w:rPr>
        <w:instrText xml:space="preserve"> SEQ Figure \* ARABIC </w:instrText>
      </w:r>
      <w:r w:rsidR="00AF55AD" w:rsidRPr="008A7878">
        <w:rPr>
          <w:rFonts w:ascii="Arial" w:hAnsi="Arial" w:cs="Arial"/>
          <w:color w:val="auto"/>
        </w:rPr>
        <w:fldChar w:fldCharType="separate"/>
      </w:r>
      <w:r w:rsidR="004E6A50">
        <w:rPr>
          <w:rFonts w:ascii="Arial" w:hAnsi="Arial" w:cs="Arial"/>
          <w:noProof/>
          <w:color w:val="auto"/>
        </w:rPr>
        <w:t>21</w:t>
      </w:r>
      <w:r w:rsidR="00AF55AD" w:rsidRPr="008A7878">
        <w:rPr>
          <w:rFonts w:ascii="Arial" w:hAnsi="Arial" w:cs="Arial"/>
          <w:color w:val="auto"/>
        </w:rPr>
        <w:fldChar w:fldCharType="end"/>
      </w:r>
      <w:bookmarkEnd w:id="56"/>
      <w:r w:rsidR="000A24A2">
        <w:rPr>
          <w:rFonts w:ascii="Arial" w:hAnsi="Arial" w:cs="Arial"/>
          <w:color w:val="auto"/>
        </w:rPr>
        <w:t xml:space="preserve">: All </w:t>
      </w:r>
      <w:proofErr w:type="gramStart"/>
      <w:r w:rsidR="000A24A2">
        <w:rPr>
          <w:rFonts w:ascii="Arial" w:hAnsi="Arial" w:cs="Arial"/>
          <w:color w:val="auto"/>
        </w:rPr>
        <w:t>persons</w:t>
      </w:r>
      <w:proofErr w:type="gramEnd"/>
      <w:r w:rsidR="000A24A2">
        <w:rPr>
          <w:rFonts w:ascii="Arial" w:hAnsi="Arial" w:cs="Arial"/>
          <w:color w:val="auto"/>
        </w:rPr>
        <w:t xml:space="preserve"> five-year</w:t>
      </w:r>
      <w:r w:rsidRPr="008A7878">
        <w:rPr>
          <w:rFonts w:ascii="Arial" w:hAnsi="Arial" w:cs="Arial"/>
          <w:color w:val="auto"/>
        </w:rPr>
        <w:t xml:space="preserve"> </w:t>
      </w:r>
      <w:r>
        <w:rPr>
          <w:rFonts w:ascii="Arial" w:hAnsi="Arial" w:cs="Arial"/>
          <w:color w:val="auto"/>
        </w:rPr>
        <w:t xml:space="preserve">estimated relative </w:t>
      </w:r>
      <w:r w:rsidRPr="008A7878">
        <w:rPr>
          <w:rFonts w:ascii="Arial" w:hAnsi="Arial" w:cs="Arial"/>
          <w:color w:val="auto"/>
        </w:rPr>
        <w:t xml:space="preserve">survival rates for </w:t>
      </w:r>
      <w:r w:rsidR="009065CF">
        <w:rPr>
          <w:rFonts w:ascii="Arial" w:hAnsi="Arial" w:cs="Arial"/>
          <w:color w:val="auto"/>
        </w:rPr>
        <w:t>colorectal</w:t>
      </w:r>
      <w:r w:rsidRPr="008A7878">
        <w:rPr>
          <w:rFonts w:ascii="Arial" w:hAnsi="Arial" w:cs="Arial"/>
          <w:color w:val="auto"/>
        </w:rPr>
        <w:t xml:space="preserve"> cancer by cancer network.</w:t>
      </w:r>
      <w:r w:rsidR="00A42489" w:rsidRPr="00A42489">
        <w:rPr>
          <w:noProof/>
          <w:lang w:eastAsia="en-GB"/>
        </w:rPr>
        <w:t xml:space="preserve"> </w:t>
      </w:r>
      <w:r w:rsidR="00EC4C5F" w:rsidRPr="00EC4C5F">
        <w:rPr>
          <w:noProof/>
          <w:lang w:val="en-US"/>
        </w:rPr>
        <w:drawing>
          <wp:inline distT="0" distB="0" distL="0" distR="0">
            <wp:extent cx="5731510" cy="1828800"/>
            <wp:effectExtent l="19050" t="0" r="21590" b="0"/>
            <wp:docPr id="1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D2369" w:rsidRDefault="00AD2369" w:rsidP="00AD2369">
      <w:pPr>
        <w:autoSpaceDE w:val="0"/>
        <w:autoSpaceDN w:val="0"/>
        <w:adjustRightInd w:val="0"/>
        <w:spacing w:line="240" w:lineRule="auto"/>
        <w:rPr>
          <w:rFonts w:ascii="Arial" w:hAnsi="Arial" w:cs="Arial"/>
          <w:b/>
          <w:sz w:val="16"/>
          <w:szCs w:val="16"/>
        </w:rPr>
      </w:pPr>
      <w:r w:rsidRPr="000C10E2">
        <w:rPr>
          <w:rFonts w:ascii="Arial" w:hAnsi="Arial" w:cs="Arial"/>
          <w:b/>
          <w:sz w:val="16"/>
          <w:szCs w:val="16"/>
        </w:rPr>
        <w:t>Source: Nati</w:t>
      </w:r>
      <w:r w:rsidR="00A7686D">
        <w:rPr>
          <w:rFonts w:ascii="Arial" w:hAnsi="Arial" w:cs="Arial"/>
          <w:b/>
          <w:sz w:val="16"/>
          <w:szCs w:val="16"/>
        </w:rPr>
        <w:t>onal Cancer Information Service, Cancer Commissioning Toolkit.</w:t>
      </w:r>
    </w:p>
    <w:p w:rsidR="001D71B5" w:rsidRDefault="00466CE4" w:rsidP="001F2601">
      <w:pPr>
        <w:pStyle w:val="Heading1"/>
        <w:numPr>
          <w:ilvl w:val="0"/>
          <w:numId w:val="1"/>
        </w:numPr>
        <w:spacing w:after="240"/>
        <w:rPr>
          <w:rFonts w:ascii="Arial" w:hAnsi="Arial" w:cs="Arial"/>
          <w:color w:val="auto"/>
        </w:rPr>
      </w:pPr>
      <w:bookmarkStart w:id="57" w:name="_Toc276037847"/>
      <w:r>
        <w:rPr>
          <w:rFonts w:ascii="Arial" w:hAnsi="Arial" w:cs="Arial"/>
          <w:color w:val="auto"/>
        </w:rPr>
        <w:t>Colorectal</w:t>
      </w:r>
      <w:r w:rsidR="001D71B5" w:rsidRPr="001D71B5">
        <w:rPr>
          <w:rFonts w:ascii="Arial" w:hAnsi="Arial" w:cs="Arial"/>
          <w:color w:val="auto"/>
        </w:rPr>
        <w:t xml:space="preserve"> Cancer </w:t>
      </w:r>
      <w:r w:rsidR="001D71B5">
        <w:rPr>
          <w:rFonts w:ascii="Arial" w:hAnsi="Arial" w:cs="Arial"/>
          <w:color w:val="auto"/>
        </w:rPr>
        <w:t>Mortality</w:t>
      </w:r>
      <w:bookmarkEnd w:id="57"/>
    </w:p>
    <w:p w:rsidR="002D5240" w:rsidRPr="002D5240" w:rsidRDefault="002D5240" w:rsidP="001F2601">
      <w:pPr>
        <w:pStyle w:val="Heading2"/>
        <w:numPr>
          <w:ilvl w:val="1"/>
          <w:numId w:val="1"/>
        </w:numPr>
        <w:spacing w:after="240"/>
        <w:rPr>
          <w:rFonts w:ascii="Arial" w:hAnsi="Arial" w:cs="Arial"/>
          <w:color w:val="auto"/>
          <w:sz w:val="24"/>
          <w:szCs w:val="24"/>
        </w:rPr>
      </w:pPr>
      <w:bookmarkStart w:id="58" w:name="_Toc276037848"/>
      <w:r w:rsidRPr="002D5240">
        <w:rPr>
          <w:rFonts w:ascii="Arial" w:hAnsi="Arial" w:cs="Arial"/>
          <w:color w:val="auto"/>
          <w:sz w:val="24"/>
          <w:szCs w:val="24"/>
        </w:rPr>
        <w:t>Under 75 mortality</w:t>
      </w:r>
      <w:r w:rsidR="006840FE">
        <w:rPr>
          <w:rFonts w:ascii="Arial" w:hAnsi="Arial" w:cs="Arial"/>
          <w:color w:val="auto"/>
          <w:sz w:val="24"/>
          <w:szCs w:val="24"/>
        </w:rPr>
        <w:t xml:space="preserve"> </w:t>
      </w:r>
      <w:r w:rsidR="00695D53">
        <w:rPr>
          <w:rFonts w:ascii="Arial" w:hAnsi="Arial" w:cs="Arial"/>
          <w:color w:val="auto"/>
          <w:sz w:val="24"/>
          <w:szCs w:val="24"/>
        </w:rPr>
        <w:t>by PCT</w:t>
      </w:r>
      <w:r w:rsidR="006B1CA3">
        <w:rPr>
          <w:rFonts w:ascii="Arial" w:hAnsi="Arial" w:cs="Arial"/>
          <w:color w:val="auto"/>
          <w:sz w:val="24"/>
          <w:szCs w:val="24"/>
        </w:rPr>
        <w:t xml:space="preserve"> 2006-08</w:t>
      </w:r>
      <w:bookmarkEnd w:id="58"/>
    </w:p>
    <w:p w:rsidR="00A35970" w:rsidRPr="00A35970" w:rsidRDefault="00AF55AD" w:rsidP="00A35970">
      <w:pPr>
        <w:rPr>
          <w:rFonts w:ascii="Arial" w:hAnsi="Arial" w:cs="Arial"/>
          <w:sz w:val="20"/>
          <w:szCs w:val="20"/>
        </w:rPr>
      </w:pPr>
      <w:fldSimple w:instr=" REF _Ref263684477 \h  \* MERGEFORMAT ">
        <w:r w:rsidR="004E6A50" w:rsidRPr="004E6A50">
          <w:rPr>
            <w:rFonts w:ascii="Arial" w:hAnsi="Arial" w:cs="Arial"/>
            <w:sz w:val="20"/>
            <w:szCs w:val="20"/>
          </w:rPr>
          <w:t xml:space="preserve">Figure </w:t>
        </w:r>
        <w:r w:rsidR="004E6A50" w:rsidRPr="004E6A50">
          <w:rPr>
            <w:rFonts w:ascii="Arial" w:hAnsi="Arial" w:cs="Arial"/>
            <w:noProof/>
            <w:sz w:val="20"/>
            <w:szCs w:val="20"/>
          </w:rPr>
          <w:t>22</w:t>
        </w:r>
      </w:fldSimple>
      <w:r w:rsidR="00A35970">
        <w:rPr>
          <w:rFonts w:ascii="Arial" w:hAnsi="Arial" w:cs="Arial"/>
          <w:sz w:val="20"/>
          <w:szCs w:val="20"/>
        </w:rPr>
        <w:t xml:space="preserve"> reveals similar </w:t>
      </w:r>
      <w:r w:rsidR="00240456">
        <w:rPr>
          <w:rFonts w:ascii="Arial" w:hAnsi="Arial" w:cs="Arial"/>
          <w:sz w:val="20"/>
          <w:szCs w:val="20"/>
        </w:rPr>
        <w:t xml:space="preserve">male mortality </w:t>
      </w:r>
      <w:r w:rsidR="00A35970">
        <w:rPr>
          <w:rFonts w:ascii="Arial" w:hAnsi="Arial" w:cs="Arial"/>
          <w:sz w:val="20"/>
          <w:szCs w:val="20"/>
        </w:rPr>
        <w:t xml:space="preserve">patterns to the pattern of </w:t>
      </w:r>
      <w:r w:rsidR="00240456">
        <w:rPr>
          <w:rFonts w:ascii="Arial" w:hAnsi="Arial" w:cs="Arial"/>
          <w:sz w:val="20"/>
          <w:szCs w:val="20"/>
        </w:rPr>
        <w:t>male colorectal</w:t>
      </w:r>
      <w:r w:rsidR="005A00E3">
        <w:rPr>
          <w:rFonts w:ascii="Arial" w:hAnsi="Arial" w:cs="Arial"/>
          <w:sz w:val="20"/>
          <w:szCs w:val="20"/>
        </w:rPr>
        <w:t xml:space="preserve"> cancer incidence with Wandsworth recording the highest rate at 13.57 per 100,000 population </w:t>
      </w:r>
      <w:r w:rsidR="00902EA0">
        <w:rPr>
          <w:rFonts w:ascii="Arial" w:hAnsi="Arial" w:cs="Arial"/>
          <w:sz w:val="20"/>
          <w:szCs w:val="20"/>
        </w:rPr>
        <w:t xml:space="preserve">(95%CI 8.97 – 18.18) </w:t>
      </w:r>
      <w:r w:rsidR="005A00E3">
        <w:rPr>
          <w:rFonts w:ascii="Arial" w:hAnsi="Arial" w:cs="Arial"/>
          <w:sz w:val="20"/>
          <w:szCs w:val="20"/>
        </w:rPr>
        <w:t>and Kingston the lowest at 10.14</w:t>
      </w:r>
      <w:r w:rsidR="00902EA0">
        <w:rPr>
          <w:rFonts w:ascii="Arial" w:hAnsi="Arial" w:cs="Arial"/>
          <w:sz w:val="20"/>
          <w:szCs w:val="20"/>
        </w:rPr>
        <w:t xml:space="preserve"> (95%CI 5.57 – 14.70)</w:t>
      </w:r>
      <w:r w:rsidR="005A00E3">
        <w:rPr>
          <w:rFonts w:ascii="Arial" w:hAnsi="Arial" w:cs="Arial"/>
          <w:sz w:val="20"/>
          <w:szCs w:val="20"/>
        </w:rPr>
        <w:t xml:space="preserve">. </w:t>
      </w:r>
      <w:r w:rsidR="00164E6A">
        <w:rPr>
          <w:rFonts w:ascii="Arial" w:hAnsi="Arial" w:cs="Arial"/>
          <w:sz w:val="20"/>
          <w:szCs w:val="20"/>
        </w:rPr>
        <w:t xml:space="preserve">Wandsworth </w:t>
      </w:r>
      <w:r w:rsidR="00802836">
        <w:rPr>
          <w:rFonts w:ascii="Arial" w:hAnsi="Arial" w:cs="Arial"/>
          <w:sz w:val="20"/>
          <w:szCs w:val="20"/>
        </w:rPr>
        <w:t xml:space="preserve">also records the highest mortality rate for females at 9.42 </w:t>
      </w:r>
      <w:r w:rsidR="00902EA0">
        <w:rPr>
          <w:rFonts w:ascii="Arial" w:hAnsi="Arial" w:cs="Arial"/>
          <w:sz w:val="20"/>
          <w:szCs w:val="20"/>
        </w:rPr>
        <w:t xml:space="preserve">(95%CI 5.84 – 13.00) </w:t>
      </w:r>
      <w:r w:rsidR="00802836">
        <w:rPr>
          <w:rFonts w:ascii="Arial" w:hAnsi="Arial" w:cs="Arial"/>
          <w:sz w:val="20"/>
          <w:szCs w:val="20"/>
        </w:rPr>
        <w:t>as well as Kingston having the lowest rate at 6.60</w:t>
      </w:r>
      <w:r w:rsidR="00902EA0">
        <w:rPr>
          <w:rFonts w:ascii="Arial" w:hAnsi="Arial" w:cs="Arial"/>
          <w:sz w:val="20"/>
          <w:szCs w:val="20"/>
        </w:rPr>
        <w:t xml:space="preserve"> (95%CI 3.10 – 10.10)</w:t>
      </w:r>
      <w:r w:rsidR="00802836">
        <w:rPr>
          <w:rFonts w:ascii="Arial" w:hAnsi="Arial" w:cs="Arial"/>
          <w:sz w:val="20"/>
          <w:szCs w:val="20"/>
        </w:rPr>
        <w:t>. For colorectal cancer incidence Kingston records the highest rate. Due to a small number of deaths the confidence intervals are wide, revealing no significant differences</w:t>
      </w:r>
      <w:r w:rsidR="002D0F3B">
        <w:rPr>
          <w:rFonts w:ascii="Arial" w:hAnsi="Arial" w:cs="Arial"/>
          <w:sz w:val="20"/>
          <w:szCs w:val="20"/>
        </w:rPr>
        <w:t xml:space="preserve"> between PCTs or regional and national averages.</w:t>
      </w:r>
      <w:r w:rsidR="00164E6A">
        <w:rPr>
          <w:rFonts w:ascii="Arial" w:hAnsi="Arial" w:cs="Arial"/>
          <w:sz w:val="20"/>
          <w:szCs w:val="20"/>
        </w:rPr>
        <w:t xml:space="preserve"> </w:t>
      </w:r>
    </w:p>
    <w:p w:rsidR="004B5F61" w:rsidRPr="00A35970" w:rsidRDefault="00A35970" w:rsidP="005A00E3">
      <w:pPr>
        <w:pStyle w:val="Caption"/>
        <w:spacing w:after="0"/>
        <w:rPr>
          <w:rFonts w:ascii="Arial" w:hAnsi="Arial" w:cs="Arial"/>
          <w:color w:val="auto"/>
          <w:sz w:val="20"/>
          <w:szCs w:val="20"/>
        </w:rPr>
      </w:pPr>
      <w:bookmarkStart w:id="59" w:name="_Ref263684477"/>
      <w:r w:rsidRPr="00A35970">
        <w:rPr>
          <w:rFonts w:ascii="Arial" w:hAnsi="Arial" w:cs="Arial"/>
          <w:color w:val="auto"/>
        </w:rPr>
        <w:t xml:space="preserve">Figure </w:t>
      </w:r>
      <w:r w:rsidR="00AF55AD" w:rsidRPr="00A35970">
        <w:rPr>
          <w:rFonts w:ascii="Arial" w:hAnsi="Arial" w:cs="Arial"/>
          <w:color w:val="auto"/>
        </w:rPr>
        <w:fldChar w:fldCharType="begin"/>
      </w:r>
      <w:r w:rsidRPr="00A35970">
        <w:rPr>
          <w:rFonts w:ascii="Arial" w:hAnsi="Arial" w:cs="Arial"/>
          <w:color w:val="auto"/>
        </w:rPr>
        <w:instrText xml:space="preserve"> SEQ Figure \* ARABIC </w:instrText>
      </w:r>
      <w:r w:rsidR="00AF55AD" w:rsidRPr="00A35970">
        <w:rPr>
          <w:rFonts w:ascii="Arial" w:hAnsi="Arial" w:cs="Arial"/>
          <w:color w:val="auto"/>
        </w:rPr>
        <w:fldChar w:fldCharType="separate"/>
      </w:r>
      <w:r w:rsidR="004E6A50">
        <w:rPr>
          <w:rFonts w:ascii="Arial" w:hAnsi="Arial" w:cs="Arial"/>
          <w:noProof/>
          <w:color w:val="auto"/>
        </w:rPr>
        <w:t>22</w:t>
      </w:r>
      <w:r w:rsidR="00AF55AD" w:rsidRPr="00A35970">
        <w:rPr>
          <w:rFonts w:ascii="Arial" w:hAnsi="Arial" w:cs="Arial"/>
          <w:color w:val="auto"/>
        </w:rPr>
        <w:fldChar w:fldCharType="end"/>
      </w:r>
      <w:bookmarkEnd w:id="59"/>
      <w:r w:rsidRPr="00A35970">
        <w:rPr>
          <w:rFonts w:ascii="Arial" w:hAnsi="Arial" w:cs="Arial"/>
          <w:color w:val="auto"/>
        </w:rPr>
        <w:t xml:space="preserve">: Directly age standardised (DSR) under 75 years </w:t>
      </w:r>
      <w:r w:rsidR="009065CF">
        <w:rPr>
          <w:rFonts w:ascii="Arial" w:hAnsi="Arial" w:cs="Arial"/>
          <w:color w:val="auto"/>
        </w:rPr>
        <w:t>colorectal</w:t>
      </w:r>
      <w:r w:rsidRPr="00A35970">
        <w:rPr>
          <w:rFonts w:ascii="Arial" w:hAnsi="Arial" w:cs="Arial"/>
          <w:color w:val="auto"/>
        </w:rPr>
        <w:t xml:space="preserve"> cancer mortality, 2006-08.</w:t>
      </w:r>
    </w:p>
    <w:p w:rsidR="001D71B5" w:rsidRDefault="00240456" w:rsidP="00A35970">
      <w:pPr>
        <w:spacing w:after="0"/>
        <w:rPr>
          <w:rFonts w:ascii="Arial" w:hAnsi="Arial" w:cs="Arial"/>
          <w:sz w:val="20"/>
          <w:szCs w:val="20"/>
        </w:rPr>
      </w:pPr>
      <w:r w:rsidRPr="00240456">
        <w:rPr>
          <w:rFonts w:ascii="Arial" w:hAnsi="Arial" w:cs="Arial"/>
          <w:noProof/>
          <w:sz w:val="20"/>
          <w:szCs w:val="20"/>
          <w:lang w:val="en-US"/>
        </w:rPr>
        <w:drawing>
          <wp:inline distT="0" distB="0" distL="0" distR="0">
            <wp:extent cx="5731510" cy="2284644"/>
            <wp:effectExtent l="19050" t="0" r="21590" b="1356"/>
            <wp:docPr id="22"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35970" w:rsidRDefault="00A35970" w:rsidP="00A35970">
      <w:pPr>
        <w:rPr>
          <w:rStyle w:val="foos21"/>
          <w:rFonts w:ascii="Arial" w:hAnsi="Arial" w:cs="Arial"/>
          <w:b/>
          <w:sz w:val="16"/>
          <w:szCs w:val="16"/>
        </w:rPr>
      </w:pPr>
      <w:r w:rsidRPr="00DC0D89">
        <w:rPr>
          <w:rFonts w:ascii="Arial" w:hAnsi="Arial" w:cs="Arial"/>
          <w:b/>
          <w:sz w:val="16"/>
          <w:szCs w:val="16"/>
        </w:rPr>
        <w:t xml:space="preserve">Source: </w:t>
      </w:r>
      <w:r w:rsidRPr="00DC0D89">
        <w:rPr>
          <w:rFonts w:ascii="Arial" w:hAnsi="Arial" w:cs="Arial"/>
          <w:b/>
          <w:bCs/>
          <w:sz w:val="16"/>
          <w:szCs w:val="16"/>
        </w:rPr>
        <w:t xml:space="preserve">Clinical and Health Outcomes Knowledge Base, </w:t>
      </w:r>
      <w:r w:rsidRPr="00DC0D89">
        <w:rPr>
          <w:rStyle w:val="foos21"/>
          <w:rFonts w:ascii="Arial" w:hAnsi="Arial" w:cs="Arial"/>
          <w:b/>
          <w:sz w:val="16"/>
          <w:szCs w:val="16"/>
        </w:rPr>
        <w:t>National Centre for Health Outcomes Development</w:t>
      </w:r>
      <w:r>
        <w:rPr>
          <w:rStyle w:val="foos21"/>
          <w:rFonts w:ascii="Arial" w:hAnsi="Arial" w:cs="Arial"/>
          <w:b/>
          <w:sz w:val="16"/>
          <w:szCs w:val="16"/>
        </w:rPr>
        <w:t xml:space="preserve"> (NCHOD).</w:t>
      </w:r>
    </w:p>
    <w:p w:rsidR="00B83456" w:rsidRDefault="00D7558C" w:rsidP="001F2601">
      <w:pPr>
        <w:pStyle w:val="Heading2"/>
        <w:numPr>
          <w:ilvl w:val="1"/>
          <w:numId w:val="1"/>
        </w:numPr>
        <w:spacing w:after="240"/>
        <w:rPr>
          <w:rFonts w:ascii="Arial" w:hAnsi="Arial" w:cs="Arial"/>
          <w:color w:val="auto"/>
          <w:sz w:val="24"/>
          <w:szCs w:val="24"/>
        </w:rPr>
      </w:pPr>
      <w:bookmarkStart w:id="60" w:name="_Toc276037849"/>
      <w:r>
        <w:rPr>
          <w:rFonts w:ascii="Arial" w:hAnsi="Arial" w:cs="Arial"/>
          <w:color w:val="auto"/>
          <w:sz w:val="24"/>
          <w:szCs w:val="24"/>
        </w:rPr>
        <w:t xml:space="preserve">All ages </w:t>
      </w:r>
      <w:r w:rsidR="00E91F6C">
        <w:rPr>
          <w:rFonts w:ascii="Arial" w:hAnsi="Arial" w:cs="Arial"/>
          <w:color w:val="auto"/>
          <w:sz w:val="24"/>
          <w:szCs w:val="24"/>
        </w:rPr>
        <w:t xml:space="preserve">mortality </w:t>
      </w:r>
      <w:r w:rsidR="00695D53">
        <w:rPr>
          <w:rFonts w:ascii="Arial" w:hAnsi="Arial" w:cs="Arial"/>
          <w:color w:val="auto"/>
          <w:sz w:val="24"/>
          <w:szCs w:val="24"/>
        </w:rPr>
        <w:t>by PCT</w:t>
      </w:r>
      <w:r w:rsidR="006B1CA3">
        <w:rPr>
          <w:rFonts w:ascii="Arial" w:hAnsi="Arial" w:cs="Arial"/>
          <w:color w:val="auto"/>
          <w:sz w:val="24"/>
          <w:szCs w:val="24"/>
        </w:rPr>
        <w:t xml:space="preserve"> 1993-2008 (3-year rolling average)</w:t>
      </w:r>
      <w:bookmarkEnd w:id="60"/>
    </w:p>
    <w:p w:rsidR="00734EBF" w:rsidRDefault="00AF55AD" w:rsidP="00E91F6C">
      <w:pPr>
        <w:rPr>
          <w:rFonts w:ascii="Arial" w:hAnsi="Arial" w:cs="Arial"/>
          <w:sz w:val="20"/>
          <w:szCs w:val="20"/>
        </w:rPr>
      </w:pPr>
      <w:fldSimple w:instr=" REF _Ref263929864 \h  \* MERGEFORMAT ">
        <w:r w:rsidR="004E6A50" w:rsidRPr="004E6A50">
          <w:rPr>
            <w:rFonts w:ascii="Arial" w:hAnsi="Arial" w:cs="Arial"/>
            <w:sz w:val="20"/>
            <w:szCs w:val="20"/>
          </w:rPr>
          <w:t xml:space="preserve">Figure </w:t>
        </w:r>
        <w:r w:rsidR="004E6A50" w:rsidRPr="004E6A50">
          <w:rPr>
            <w:rFonts w:ascii="Arial" w:hAnsi="Arial" w:cs="Arial"/>
            <w:noProof/>
            <w:sz w:val="20"/>
            <w:szCs w:val="20"/>
          </w:rPr>
          <w:t>23</w:t>
        </w:r>
      </w:fldSimple>
      <w:r w:rsidR="00E24A03" w:rsidRPr="00E24A03">
        <w:rPr>
          <w:rFonts w:ascii="Arial" w:hAnsi="Arial" w:cs="Arial"/>
          <w:sz w:val="20"/>
          <w:szCs w:val="20"/>
        </w:rPr>
        <w:t xml:space="preserve"> and </w:t>
      </w:r>
      <w:fldSimple w:instr=" REF _Ref263929867 \h  \* MERGEFORMAT ">
        <w:r w:rsidR="004E6A50" w:rsidRPr="004E6A50">
          <w:rPr>
            <w:rFonts w:ascii="Arial" w:hAnsi="Arial" w:cs="Arial"/>
            <w:sz w:val="20"/>
            <w:szCs w:val="20"/>
          </w:rPr>
          <w:t xml:space="preserve">Figure </w:t>
        </w:r>
        <w:r w:rsidR="004E6A50" w:rsidRPr="004E6A50">
          <w:rPr>
            <w:rFonts w:ascii="Arial" w:hAnsi="Arial" w:cs="Arial"/>
            <w:noProof/>
            <w:sz w:val="20"/>
            <w:szCs w:val="20"/>
          </w:rPr>
          <w:t>24</w:t>
        </w:r>
      </w:fldSimple>
      <w:r w:rsidR="00E24A03">
        <w:rPr>
          <w:rFonts w:ascii="Arial" w:hAnsi="Arial" w:cs="Arial"/>
          <w:sz w:val="20"/>
          <w:szCs w:val="20"/>
        </w:rPr>
        <w:t xml:space="preserve"> shows </w:t>
      </w:r>
      <w:r w:rsidR="00D7558C">
        <w:rPr>
          <w:rFonts w:ascii="Arial" w:hAnsi="Arial" w:cs="Arial"/>
          <w:sz w:val="20"/>
          <w:szCs w:val="20"/>
        </w:rPr>
        <w:t>all age</w:t>
      </w:r>
      <w:r w:rsidR="00E24A03">
        <w:rPr>
          <w:rFonts w:ascii="Arial" w:hAnsi="Arial" w:cs="Arial"/>
          <w:sz w:val="20"/>
          <w:szCs w:val="20"/>
        </w:rPr>
        <w:t xml:space="preserve"> </w:t>
      </w:r>
      <w:r w:rsidR="00D7558C">
        <w:rPr>
          <w:rFonts w:ascii="Arial" w:hAnsi="Arial" w:cs="Arial"/>
          <w:sz w:val="20"/>
          <w:szCs w:val="20"/>
        </w:rPr>
        <w:t>colorectal</w:t>
      </w:r>
      <w:r w:rsidR="00E24A03">
        <w:rPr>
          <w:rFonts w:ascii="Arial" w:hAnsi="Arial" w:cs="Arial"/>
          <w:sz w:val="20"/>
          <w:szCs w:val="20"/>
        </w:rPr>
        <w:t xml:space="preserve"> cancer mortality for males and females o</w:t>
      </w:r>
      <w:r w:rsidR="00D7558C">
        <w:rPr>
          <w:rFonts w:ascii="Arial" w:hAnsi="Arial" w:cs="Arial"/>
          <w:sz w:val="20"/>
          <w:szCs w:val="20"/>
        </w:rPr>
        <w:t>ver time. The male trend overall shows a decrease in mortality with large increases for Kingston and a smaller increase for Croydon at the beginning of the time period.</w:t>
      </w:r>
      <w:r w:rsidR="00734EBF">
        <w:rPr>
          <w:rFonts w:ascii="Arial" w:hAnsi="Arial" w:cs="Arial"/>
          <w:sz w:val="20"/>
          <w:szCs w:val="20"/>
        </w:rPr>
        <w:t xml:space="preserve"> Kingston has experienced a sharp decrease in mortality since 20</w:t>
      </w:r>
      <w:r w:rsidR="00A63EC4">
        <w:rPr>
          <w:rFonts w:ascii="Arial" w:hAnsi="Arial" w:cs="Arial"/>
          <w:sz w:val="20"/>
          <w:szCs w:val="20"/>
        </w:rPr>
        <w:t>04-</w:t>
      </w:r>
      <w:r w:rsidR="00734EBF">
        <w:rPr>
          <w:rFonts w:ascii="Arial" w:hAnsi="Arial" w:cs="Arial"/>
          <w:sz w:val="20"/>
          <w:szCs w:val="20"/>
        </w:rPr>
        <w:t>06, from 22.55 per 100,000 to 16.24 in 20</w:t>
      </w:r>
      <w:r w:rsidR="00A63EC4">
        <w:rPr>
          <w:rFonts w:ascii="Arial" w:hAnsi="Arial" w:cs="Arial"/>
          <w:sz w:val="20"/>
          <w:szCs w:val="20"/>
        </w:rPr>
        <w:t>06-</w:t>
      </w:r>
      <w:r w:rsidR="00734EBF">
        <w:rPr>
          <w:rFonts w:ascii="Arial" w:hAnsi="Arial" w:cs="Arial"/>
          <w:sz w:val="20"/>
          <w:szCs w:val="20"/>
        </w:rPr>
        <w:t>08. Currently (20</w:t>
      </w:r>
      <w:r w:rsidR="00A63EC4">
        <w:rPr>
          <w:rFonts w:ascii="Arial" w:hAnsi="Arial" w:cs="Arial"/>
          <w:sz w:val="20"/>
          <w:szCs w:val="20"/>
        </w:rPr>
        <w:t>06-</w:t>
      </w:r>
      <w:r w:rsidR="00734EBF">
        <w:rPr>
          <w:rFonts w:ascii="Arial" w:hAnsi="Arial" w:cs="Arial"/>
          <w:sz w:val="20"/>
          <w:szCs w:val="20"/>
        </w:rPr>
        <w:t xml:space="preserve">08) all PCTs in SWL have a mortality rate below the national average for colorectal cancer (22.19). Only Kingston has a rate below the London average (20.12) for males. </w:t>
      </w:r>
    </w:p>
    <w:p w:rsidR="00E91F6C" w:rsidRPr="00E91F6C" w:rsidRDefault="00E91F6C" w:rsidP="00E91F6C">
      <w:pPr>
        <w:pStyle w:val="Caption"/>
        <w:spacing w:after="0"/>
        <w:rPr>
          <w:rFonts w:ascii="Arial" w:hAnsi="Arial" w:cs="Arial"/>
          <w:color w:val="auto"/>
        </w:rPr>
      </w:pPr>
      <w:bookmarkStart w:id="61" w:name="_Ref263929864"/>
      <w:r w:rsidRPr="00E91F6C">
        <w:rPr>
          <w:rFonts w:ascii="Arial" w:hAnsi="Arial" w:cs="Arial"/>
          <w:color w:val="auto"/>
        </w:rPr>
        <w:t xml:space="preserve">Figure </w:t>
      </w:r>
      <w:r w:rsidR="00AF55AD" w:rsidRPr="00E91F6C">
        <w:rPr>
          <w:rFonts w:ascii="Arial" w:hAnsi="Arial" w:cs="Arial"/>
          <w:color w:val="auto"/>
        </w:rPr>
        <w:fldChar w:fldCharType="begin"/>
      </w:r>
      <w:r w:rsidRPr="00E91F6C">
        <w:rPr>
          <w:rFonts w:ascii="Arial" w:hAnsi="Arial" w:cs="Arial"/>
          <w:color w:val="auto"/>
        </w:rPr>
        <w:instrText xml:space="preserve"> SEQ Figure \* ARABIC </w:instrText>
      </w:r>
      <w:r w:rsidR="00AF55AD" w:rsidRPr="00E91F6C">
        <w:rPr>
          <w:rFonts w:ascii="Arial" w:hAnsi="Arial" w:cs="Arial"/>
          <w:color w:val="auto"/>
        </w:rPr>
        <w:fldChar w:fldCharType="separate"/>
      </w:r>
      <w:r w:rsidR="004E6A50">
        <w:rPr>
          <w:rFonts w:ascii="Arial" w:hAnsi="Arial" w:cs="Arial"/>
          <w:noProof/>
          <w:color w:val="auto"/>
        </w:rPr>
        <w:t>23</w:t>
      </w:r>
      <w:r w:rsidR="00AF55AD" w:rsidRPr="00E91F6C">
        <w:rPr>
          <w:rFonts w:ascii="Arial" w:hAnsi="Arial" w:cs="Arial"/>
          <w:color w:val="auto"/>
        </w:rPr>
        <w:fldChar w:fldCharType="end"/>
      </w:r>
      <w:bookmarkEnd w:id="61"/>
      <w:r w:rsidRPr="00E91F6C">
        <w:rPr>
          <w:rFonts w:ascii="Arial" w:hAnsi="Arial" w:cs="Arial"/>
          <w:color w:val="auto"/>
        </w:rPr>
        <w:t xml:space="preserve">: Male directly age standardised (DSR) under 75 years </w:t>
      </w:r>
      <w:r w:rsidR="00F15819">
        <w:rPr>
          <w:rFonts w:ascii="Arial" w:hAnsi="Arial" w:cs="Arial"/>
          <w:color w:val="auto"/>
        </w:rPr>
        <w:t>colorectal</w:t>
      </w:r>
      <w:r w:rsidRPr="00E91F6C">
        <w:rPr>
          <w:rFonts w:ascii="Arial" w:hAnsi="Arial" w:cs="Arial"/>
          <w:color w:val="auto"/>
        </w:rPr>
        <w:t xml:space="preserve"> cancer mortality, 1993-2008 3-year rolling average.</w:t>
      </w:r>
    </w:p>
    <w:p w:rsidR="00B83456" w:rsidRDefault="00902EA0" w:rsidP="00E91F6C">
      <w:pPr>
        <w:spacing w:after="0"/>
        <w:rPr>
          <w:rStyle w:val="foos21"/>
          <w:rFonts w:ascii="Arial" w:hAnsi="Arial" w:cs="Arial"/>
        </w:rPr>
      </w:pPr>
      <w:r w:rsidRPr="00902EA0">
        <w:rPr>
          <w:rStyle w:val="foos21"/>
          <w:rFonts w:ascii="Arial" w:hAnsi="Arial" w:cs="Arial"/>
          <w:noProof/>
          <w:lang w:val="en-US"/>
        </w:rPr>
        <w:drawing>
          <wp:inline distT="0" distB="0" distL="0" distR="0">
            <wp:extent cx="5731510" cy="2219325"/>
            <wp:effectExtent l="19050" t="0" r="21590" b="0"/>
            <wp:docPr id="4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91F6C" w:rsidRDefault="00E91F6C" w:rsidP="00E91F6C">
      <w:pPr>
        <w:rPr>
          <w:rStyle w:val="foos21"/>
          <w:rFonts w:ascii="Arial" w:hAnsi="Arial" w:cs="Arial"/>
          <w:b/>
          <w:sz w:val="16"/>
          <w:szCs w:val="16"/>
        </w:rPr>
      </w:pPr>
      <w:r w:rsidRPr="00DC0D89">
        <w:rPr>
          <w:rFonts w:ascii="Arial" w:hAnsi="Arial" w:cs="Arial"/>
          <w:b/>
          <w:sz w:val="16"/>
          <w:szCs w:val="16"/>
        </w:rPr>
        <w:t xml:space="preserve">Source: </w:t>
      </w:r>
      <w:r w:rsidRPr="00DC0D89">
        <w:rPr>
          <w:rFonts w:ascii="Arial" w:hAnsi="Arial" w:cs="Arial"/>
          <w:b/>
          <w:bCs/>
          <w:sz w:val="16"/>
          <w:szCs w:val="16"/>
        </w:rPr>
        <w:t xml:space="preserve">Clinical and Health Outcomes Knowledge Base, </w:t>
      </w:r>
      <w:r w:rsidRPr="00DC0D89">
        <w:rPr>
          <w:rStyle w:val="foos21"/>
          <w:rFonts w:ascii="Arial" w:hAnsi="Arial" w:cs="Arial"/>
          <w:b/>
          <w:sz w:val="16"/>
          <w:szCs w:val="16"/>
        </w:rPr>
        <w:t>National Centre for Health Outcomes Development</w:t>
      </w:r>
      <w:r>
        <w:rPr>
          <w:rStyle w:val="foos21"/>
          <w:rFonts w:ascii="Arial" w:hAnsi="Arial" w:cs="Arial"/>
          <w:b/>
          <w:sz w:val="16"/>
          <w:szCs w:val="16"/>
        </w:rPr>
        <w:t xml:space="preserve"> (NCHOD).</w:t>
      </w:r>
    </w:p>
    <w:p w:rsidR="00EB26F7" w:rsidRDefault="00EB26F7" w:rsidP="00A655EC">
      <w:pPr>
        <w:rPr>
          <w:rStyle w:val="foos21"/>
          <w:rFonts w:ascii="Arial" w:hAnsi="Arial" w:cs="Arial"/>
        </w:rPr>
      </w:pPr>
      <w:r>
        <w:rPr>
          <w:rFonts w:ascii="Arial" w:hAnsi="Arial" w:cs="Arial"/>
          <w:sz w:val="20"/>
          <w:szCs w:val="20"/>
        </w:rPr>
        <w:t xml:space="preserve">The pattern for female mortality is less clear </w:t>
      </w:r>
      <w:r w:rsidRPr="00734EBF">
        <w:rPr>
          <w:rFonts w:ascii="Arial" w:hAnsi="Arial" w:cs="Arial"/>
          <w:sz w:val="20"/>
          <w:szCs w:val="20"/>
        </w:rPr>
        <w:t>(</w:t>
      </w:r>
      <w:fldSimple w:instr=" REF _Ref263929867 \h  \* MERGEFORMAT ">
        <w:r w:rsidR="004E6A50" w:rsidRPr="004E6A50">
          <w:rPr>
            <w:rFonts w:ascii="Arial" w:hAnsi="Arial" w:cs="Arial"/>
            <w:sz w:val="20"/>
            <w:szCs w:val="20"/>
          </w:rPr>
          <w:t xml:space="preserve">Figure </w:t>
        </w:r>
        <w:r w:rsidR="004E6A50" w:rsidRPr="004E6A50">
          <w:rPr>
            <w:rFonts w:ascii="Arial" w:hAnsi="Arial" w:cs="Arial"/>
            <w:noProof/>
            <w:sz w:val="20"/>
            <w:szCs w:val="20"/>
          </w:rPr>
          <w:t>24</w:t>
        </w:r>
      </w:fldSimple>
      <w:r>
        <w:rPr>
          <w:rFonts w:ascii="Arial" w:hAnsi="Arial" w:cs="Arial"/>
          <w:sz w:val="20"/>
          <w:szCs w:val="20"/>
        </w:rPr>
        <w:t>) with a number of PCTs showing erratic trends (Richmond &amp; Twickenham, Kingston and Wandsworth). The latest data (20</w:t>
      </w:r>
      <w:r w:rsidR="00A63EC4">
        <w:rPr>
          <w:rFonts w:ascii="Arial" w:hAnsi="Arial" w:cs="Arial"/>
          <w:sz w:val="20"/>
          <w:szCs w:val="20"/>
        </w:rPr>
        <w:t>06-</w:t>
      </w:r>
      <w:r>
        <w:rPr>
          <w:rFonts w:ascii="Arial" w:hAnsi="Arial" w:cs="Arial"/>
          <w:sz w:val="20"/>
          <w:szCs w:val="20"/>
        </w:rPr>
        <w:t>08) shows that Kingston (12.34) and Sutton &amp; Merton (15.58) have mortality rates higher than the national average (14.08), while Croydon (17.21) in addition (to Kingston and Sutton &amp; Merton) record a rate above the female London average (16.49). All PCTs record a lower female mortality rate than at the beginning of the time period.</w:t>
      </w:r>
    </w:p>
    <w:p w:rsidR="00E91F6C" w:rsidRPr="00E91F6C" w:rsidRDefault="00E91F6C" w:rsidP="00E91F6C">
      <w:pPr>
        <w:pStyle w:val="Caption"/>
        <w:spacing w:after="0"/>
        <w:rPr>
          <w:rStyle w:val="foos21"/>
          <w:rFonts w:ascii="Arial" w:hAnsi="Arial" w:cs="Arial"/>
          <w:color w:val="auto"/>
        </w:rPr>
      </w:pPr>
      <w:bookmarkStart w:id="62" w:name="_Ref263929867"/>
      <w:r w:rsidRPr="00E91F6C">
        <w:rPr>
          <w:rFonts w:ascii="Arial" w:hAnsi="Arial" w:cs="Arial"/>
          <w:color w:val="auto"/>
        </w:rPr>
        <w:t xml:space="preserve">Figure </w:t>
      </w:r>
      <w:r w:rsidR="00AF55AD" w:rsidRPr="00E91F6C">
        <w:rPr>
          <w:rFonts w:ascii="Arial" w:hAnsi="Arial" w:cs="Arial"/>
          <w:color w:val="auto"/>
        </w:rPr>
        <w:fldChar w:fldCharType="begin"/>
      </w:r>
      <w:r w:rsidRPr="00E91F6C">
        <w:rPr>
          <w:rFonts w:ascii="Arial" w:hAnsi="Arial" w:cs="Arial"/>
          <w:color w:val="auto"/>
        </w:rPr>
        <w:instrText xml:space="preserve"> SEQ Figure \* ARABIC </w:instrText>
      </w:r>
      <w:r w:rsidR="00AF55AD" w:rsidRPr="00E91F6C">
        <w:rPr>
          <w:rFonts w:ascii="Arial" w:hAnsi="Arial" w:cs="Arial"/>
          <w:color w:val="auto"/>
        </w:rPr>
        <w:fldChar w:fldCharType="separate"/>
      </w:r>
      <w:r w:rsidR="004E6A50">
        <w:rPr>
          <w:rFonts w:ascii="Arial" w:hAnsi="Arial" w:cs="Arial"/>
          <w:noProof/>
          <w:color w:val="auto"/>
        </w:rPr>
        <w:t>24</w:t>
      </w:r>
      <w:r w:rsidR="00AF55AD" w:rsidRPr="00E91F6C">
        <w:rPr>
          <w:rFonts w:ascii="Arial" w:hAnsi="Arial" w:cs="Arial"/>
          <w:color w:val="auto"/>
        </w:rPr>
        <w:fldChar w:fldCharType="end"/>
      </w:r>
      <w:bookmarkEnd w:id="62"/>
      <w:r w:rsidRPr="00E91F6C">
        <w:rPr>
          <w:rFonts w:ascii="Arial" w:hAnsi="Arial" w:cs="Arial"/>
          <w:color w:val="auto"/>
        </w:rPr>
        <w:t xml:space="preserve">: Female directly age standardised (DSR) under 75 years </w:t>
      </w:r>
      <w:r w:rsidR="009065CF">
        <w:rPr>
          <w:rFonts w:ascii="Arial" w:hAnsi="Arial" w:cs="Arial"/>
          <w:color w:val="auto"/>
        </w:rPr>
        <w:t>colorectal</w:t>
      </w:r>
      <w:r w:rsidRPr="00E91F6C">
        <w:rPr>
          <w:rFonts w:ascii="Arial" w:hAnsi="Arial" w:cs="Arial"/>
          <w:color w:val="auto"/>
        </w:rPr>
        <w:t xml:space="preserve"> cancer mortality, 1993-2008 3-year rolling average.</w:t>
      </w:r>
    </w:p>
    <w:p w:rsidR="00E91F6C" w:rsidRPr="00B83456" w:rsidRDefault="00A63EC4" w:rsidP="00E91F6C">
      <w:pPr>
        <w:spacing w:after="0"/>
        <w:rPr>
          <w:rStyle w:val="foos21"/>
          <w:rFonts w:ascii="Arial" w:hAnsi="Arial" w:cs="Arial"/>
        </w:rPr>
      </w:pPr>
      <w:r w:rsidRPr="00A63EC4">
        <w:rPr>
          <w:rStyle w:val="foos21"/>
          <w:rFonts w:ascii="Arial" w:hAnsi="Arial" w:cs="Arial"/>
          <w:noProof/>
          <w:lang w:val="en-US"/>
        </w:rPr>
        <w:drawing>
          <wp:inline distT="0" distB="0" distL="0" distR="0">
            <wp:extent cx="5731510" cy="2428875"/>
            <wp:effectExtent l="19050" t="0" r="21590" b="0"/>
            <wp:docPr id="42"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E91F6C" w:rsidRDefault="00E91F6C" w:rsidP="00E91F6C">
      <w:pPr>
        <w:rPr>
          <w:rStyle w:val="foos21"/>
          <w:rFonts w:ascii="Arial" w:hAnsi="Arial" w:cs="Arial"/>
          <w:b/>
          <w:sz w:val="16"/>
          <w:szCs w:val="16"/>
        </w:rPr>
      </w:pPr>
      <w:r w:rsidRPr="00DC0D89">
        <w:rPr>
          <w:rFonts w:ascii="Arial" w:hAnsi="Arial" w:cs="Arial"/>
          <w:b/>
          <w:sz w:val="16"/>
          <w:szCs w:val="16"/>
        </w:rPr>
        <w:t xml:space="preserve">Source: </w:t>
      </w:r>
      <w:r w:rsidRPr="00DC0D89">
        <w:rPr>
          <w:rFonts w:ascii="Arial" w:hAnsi="Arial" w:cs="Arial"/>
          <w:b/>
          <w:bCs/>
          <w:sz w:val="16"/>
          <w:szCs w:val="16"/>
        </w:rPr>
        <w:t xml:space="preserve">Clinical and Health Outcomes Knowledge Base, </w:t>
      </w:r>
      <w:r w:rsidRPr="00DC0D89">
        <w:rPr>
          <w:rStyle w:val="foos21"/>
          <w:rFonts w:ascii="Arial" w:hAnsi="Arial" w:cs="Arial"/>
          <w:b/>
          <w:sz w:val="16"/>
          <w:szCs w:val="16"/>
        </w:rPr>
        <w:t>National Centre for Health Outcomes Development</w:t>
      </w:r>
      <w:r>
        <w:rPr>
          <w:rStyle w:val="foos21"/>
          <w:rFonts w:ascii="Arial" w:hAnsi="Arial" w:cs="Arial"/>
          <w:b/>
          <w:sz w:val="16"/>
          <w:szCs w:val="16"/>
        </w:rPr>
        <w:t xml:space="preserve"> (NCHOD).</w:t>
      </w:r>
    </w:p>
    <w:p w:rsidR="003145C6" w:rsidRPr="002F03E5" w:rsidRDefault="002F03E5" w:rsidP="003145C6">
      <w:pPr>
        <w:rPr>
          <w:rFonts w:ascii="Arial" w:hAnsi="Arial" w:cs="Arial"/>
          <w:sz w:val="20"/>
          <w:szCs w:val="20"/>
        </w:rPr>
      </w:pPr>
      <w:r w:rsidRPr="002F03E5">
        <w:rPr>
          <w:rFonts w:ascii="Arial" w:hAnsi="Arial" w:cs="Arial"/>
          <w:sz w:val="20"/>
          <w:szCs w:val="20"/>
        </w:rPr>
        <w:t>All age mortality trend data has not been included as the same trends seen above is revealed.</w:t>
      </w:r>
    </w:p>
    <w:p w:rsidR="003145C6" w:rsidRDefault="003145C6" w:rsidP="001F2601">
      <w:pPr>
        <w:pStyle w:val="Heading2"/>
        <w:numPr>
          <w:ilvl w:val="1"/>
          <w:numId w:val="1"/>
        </w:numPr>
        <w:spacing w:after="240"/>
        <w:rPr>
          <w:rFonts w:ascii="Arial" w:hAnsi="Arial" w:cs="Arial"/>
          <w:color w:val="auto"/>
          <w:sz w:val="24"/>
          <w:szCs w:val="24"/>
        </w:rPr>
      </w:pPr>
      <w:bookmarkStart w:id="63" w:name="_Toc276037850"/>
      <w:r>
        <w:rPr>
          <w:rFonts w:ascii="Arial" w:hAnsi="Arial" w:cs="Arial"/>
          <w:color w:val="auto"/>
          <w:sz w:val="24"/>
          <w:szCs w:val="24"/>
        </w:rPr>
        <w:t>All age</w:t>
      </w:r>
      <w:r w:rsidRPr="002D5240">
        <w:rPr>
          <w:rFonts w:ascii="Arial" w:hAnsi="Arial" w:cs="Arial"/>
          <w:color w:val="auto"/>
          <w:sz w:val="24"/>
          <w:szCs w:val="24"/>
        </w:rPr>
        <w:t xml:space="preserve"> mortality</w:t>
      </w:r>
      <w:r w:rsidR="008E6CED">
        <w:rPr>
          <w:rFonts w:ascii="Arial" w:hAnsi="Arial" w:cs="Arial"/>
          <w:color w:val="auto"/>
          <w:sz w:val="24"/>
          <w:szCs w:val="24"/>
        </w:rPr>
        <w:t xml:space="preserve"> </w:t>
      </w:r>
      <w:r w:rsidR="00695D53">
        <w:rPr>
          <w:rFonts w:ascii="Arial" w:hAnsi="Arial" w:cs="Arial"/>
          <w:color w:val="auto"/>
          <w:sz w:val="24"/>
          <w:szCs w:val="24"/>
        </w:rPr>
        <w:t>by PCT</w:t>
      </w:r>
      <w:r w:rsidR="006B1CA3">
        <w:rPr>
          <w:rFonts w:ascii="Arial" w:hAnsi="Arial" w:cs="Arial"/>
          <w:color w:val="auto"/>
          <w:sz w:val="24"/>
          <w:szCs w:val="24"/>
        </w:rPr>
        <w:t xml:space="preserve"> 2006-08</w:t>
      </w:r>
      <w:bookmarkEnd w:id="63"/>
    </w:p>
    <w:p w:rsidR="00130A7C" w:rsidRDefault="00130A7C" w:rsidP="00130A7C">
      <w:pPr>
        <w:rPr>
          <w:rFonts w:ascii="Arial" w:hAnsi="Arial" w:cs="Arial"/>
          <w:sz w:val="20"/>
          <w:szCs w:val="20"/>
        </w:rPr>
      </w:pPr>
      <w:r>
        <w:rPr>
          <w:rFonts w:ascii="Arial" w:hAnsi="Arial" w:cs="Arial"/>
          <w:sz w:val="20"/>
          <w:szCs w:val="20"/>
        </w:rPr>
        <w:t xml:space="preserve">As with incidence, </w:t>
      </w:r>
      <w:r w:rsidR="00B24C25">
        <w:rPr>
          <w:rFonts w:ascii="Arial" w:hAnsi="Arial" w:cs="Arial"/>
          <w:sz w:val="20"/>
          <w:szCs w:val="20"/>
        </w:rPr>
        <w:t xml:space="preserve">male </w:t>
      </w:r>
      <w:r>
        <w:rPr>
          <w:rFonts w:ascii="Arial" w:hAnsi="Arial" w:cs="Arial"/>
          <w:sz w:val="20"/>
          <w:szCs w:val="20"/>
        </w:rPr>
        <w:t xml:space="preserve">all age </w:t>
      </w:r>
      <w:r w:rsidR="00A65D8D">
        <w:rPr>
          <w:rFonts w:ascii="Arial" w:hAnsi="Arial" w:cs="Arial"/>
          <w:sz w:val="20"/>
          <w:szCs w:val="20"/>
        </w:rPr>
        <w:t>colorectal</w:t>
      </w:r>
      <w:r>
        <w:rPr>
          <w:rFonts w:ascii="Arial" w:hAnsi="Arial" w:cs="Arial"/>
          <w:sz w:val="20"/>
          <w:szCs w:val="20"/>
        </w:rPr>
        <w:t xml:space="preserve"> cancer mortality follows </w:t>
      </w:r>
      <w:r w:rsidR="00A65D8D">
        <w:rPr>
          <w:rFonts w:ascii="Arial" w:hAnsi="Arial" w:cs="Arial"/>
          <w:sz w:val="20"/>
          <w:szCs w:val="20"/>
        </w:rPr>
        <w:t>a</w:t>
      </w:r>
      <w:r>
        <w:rPr>
          <w:rFonts w:ascii="Arial" w:hAnsi="Arial" w:cs="Arial"/>
          <w:sz w:val="20"/>
          <w:szCs w:val="20"/>
        </w:rPr>
        <w:t xml:space="preserve"> s</w:t>
      </w:r>
      <w:r w:rsidR="00A65D8D">
        <w:rPr>
          <w:rFonts w:ascii="Arial" w:hAnsi="Arial" w:cs="Arial"/>
          <w:sz w:val="20"/>
          <w:szCs w:val="20"/>
        </w:rPr>
        <w:t>imilar</w:t>
      </w:r>
      <w:r>
        <w:rPr>
          <w:rFonts w:ascii="Arial" w:hAnsi="Arial" w:cs="Arial"/>
          <w:sz w:val="20"/>
          <w:szCs w:val="20"/>
        </w:rPr>
        <w:t xml:space="preserve"> pattern as the under 75 mortality</w:t>
      </w:r>
      <w:r w:rsidR="00B24C25">
        <w:rPr>
          <w:rFonts w:ascii="Arial" w:hAnsi="Arial" w:cs="Arial"/>
          <w:sz w:val="20"/>
          <w:szCs w:val="20"/>
        </w:rPr>
        <w:t xml:space="preserve"> rate</w:t>
      </w:r>
      <w:r>
        <w:rPr>
          <w:rFonts w:ascii="Arial" w:hAnsi="Arial" w:cs="Arial"/>
          <w:sz w:val="20"/>
          <w:szCs w:val="20"/>
        </w:rPr>
        <w:t xml:space="preserve">, with Wandsworth </w:t>
      </w:r>
      <w:r w:rsidR="00A65D8D">
        <w:rPr>
          <w:rFonts w:ascii="Arial" w:hAnsi="Arial" w:cs="Arial"/>
          <w:sz w:val="20"/>
          <w:szCs w:val="20"/>
        </w:rPr>
        <w:t>(21.36</w:t>
      </w:r>
      <w:r w:rsidR="00A63EC4">
        <w:rPr>
          <w:rFonts w:ascii="Arial" w:hAnsi="Arial" w:cs="Arial"/>
          <w:sz w:val="20"/>
          <w:szCs w:val="20"/>
        </w:rPr>
        <w:t xml:space="preserve"> 95%CI 16.07 – 26.66</w:t>
      </w:r>
      <w:r w:rsidR="00A65D8D">
        <w:rPr>
          <w:rFonts w:ascii="Arial" w:hAnsi="Arial" w:cs="Arial"/>
          <w:sz w:val="20"/>
          <w:szCs w:val="20"/>
        </w:rPr>
        <w:t xml:space="preserve">) </w:t>
      </w:r>
      <w:r>
        <w:rPr>
          <w:rFonts w:ascii="Arial" w:hAnsi="Arial" w:cs="Arial"/>
          <w:sz w:val="20"/>
          <w:szCs w:val="20"/>
        </w:rPr>
        <w:t>recordin</w:t>
      </w:r>
      <w:r w:rsidR="00A65D8D">
        <w:rPr>
          <w:rFonts w:ascii="Arial" w:hAnsi="Arial" w:cs="Arial"/>
          <w:sz w:val="20"/>
          <w:szCs w:val="20"/>
        </w:rPr>
        <w:t>g the highest mortality and Kingston</w:t>
      </w:r>
      <w:r w:rsidR="009D3D63">
        <w:rPr>
          <w:rFonts w:ascii="Arial" w:hAnsi="Arial" w:cs="Arial"/>
          <w:sz w:val="20"/>
          <w:szCs w:val="20"/>
        </w:rPr>
        <w:t xml:space="preserve"> (16.24</w:t>
      </w:r>
      <w:r w:rsidR="00A63EC4">
        <w:rPr>
          <w:rFonts w:ascii="Arial" w:hAnsi="Arial" w:cs="Arial"/>
          <w:sz w:val="20"/>
          <w:szCs w:val="20"/>
        </w:rPr>
        <w:t xml:space="preserve"> 95%CI 11.00 – 21.48</w:t>
      </w:r>
      <w:r w:rsidR="009D3D63">
        <w:rPr>
          <w:rFonts w:ascii="Arial" w:hAnsi="Arial" w:cs="Arial"/>
          <w:sz w:val="20"/>
          <w:szCs w:val="20"/>
        </w:rPr>
        <w:t>)</w:t>
      </w:r>
      <w:r>
        <w:rPr>
          <w:rFonts w:ascii="Arial" w:hAnsi="Arial" w:cs="Arial"/>
          <w:sz w:val="20"/>
          <w:szCs w:val="20"/>
        </w:rPr>
        <w:t xml:space="preserve"> the lowest</w:t>
      </w:r>
      <w:r w:rsidR="00226443">
        <w:rPr>
          <w:rFonts w:ascii="Arial" w:hAnsi="Arial" w:cs="Arial"/>
          <w:sz w:val="20"/>
          <w:szCs w:val="20"/>
        </w:rPr>
        <w:t xml:space="preserve"> (</w:t>
      </w:r>
      <w:fldSimple w:instr=" REF _Ref263927605 \h  \* MERGEFORMAT ">
        <w:r w:rsidR="004E6A50" w:rsidRPr="004E6A50">
          <w:rPr>
            <w:rFonts w:ascii="Arial" w:hAnsi="Arial" w:cs="Arial"/>
            <w:sz w:val="20"/>
            <w:szCs w:val="20"/>
          </w:rPr>
          <w:t xml:space="preserve">Figure </w:t>
        </w:r>
        <w:r w:rsidR="004E6A50" w:rsidRPr="004E6A50">
          <w:rPr>
            <w:rFonts w:ascii="Arial" w:hAnsi="Arial" w:cs="Arial"/>
            <w:noProof/>
            <w:sz w:val="20"/>
            <w:szCs w:val="20"/>
          </w:rPr>
          <w:t>25</w:t>
        </w:r>
      </w:fldSimple>
      <w:r w:rsidR="00226443">
        <w:rPr>
          <w:rFonts w:ascii="Arial" w:hAnsi="Arial" w:cs="Arial"/>
          <w:sz w:val="20"/>
          <w:szCs w:val="20"/>
        </w:rPr>
        <w:t>)</w:t>
      </w:r>
      <w:r>
        <w:rPr>
          <w:rFonts w:ascii="Arial" w:hAnsi="Arial" w:cs="Arial"/>
          <w:sz w:val="20"/>
          <w:szCs w:val="20"/>
        </w:rPr>
        <w:t xml:space="preserve">. </w:t>
      </w:r>
      <w:r w:rsidR="00A65D8D">
        <w:rPr>
          <w:rFonts w:ascii="Arial" w:hAnsi="Arial" w:cs="Arial"/>
          <w:sz w:val="20"/>
          <w:szCs w:val="20"/>
        </w:rPr>
        <w:t xml:space="preserve">The highest </w:t>
      </w:r>
      <w:r w:rsidR="009D3D63">
        <w:rPr>
          <w:rFonts w:ascii="Arial" w:hAnsi="Arial" w:cs="Arial"/>
          <w:sz w:val="20"/>
          <w:szCs w:val="20"/>
        </w:rPr>
        <w:t>all age mortality rate for females is at Sutton &amp; Merton (15.58</w:t>
      </w:r>
      <w:r w:rsidR="00A63EC4">
        <w:rPr>
          <w:rFonts w:ascii="Arial" w:hAnsi="Arial" w:cs="Arial"/>
          <w:sz w:val="20"/>
          <w:szCs w:val="20"/>
        </w:rPr>
        <w:t xml:space="preserve"> 95%CI 12.72 – 18.44</w:t>
      </w:r>
      <w:r w:rsidR="009D3D63">
        <w:rPr>
          <w:rFonts w:ascii="Arial" w:hAnsi="Arial" w:cs="Arial"/>
          <w:sz w:val="20"/>
          <w:szCs w:val="20"/>
        </w:rPr>
        <w:t>) but this is only slightly higher than Wandsworth (14.57</w:t>
      </w:r>
      <w:r w:rsidR="00A63EC4">
        <w:rPr>
          <w:rFonts w:ascii="Arial" w:hAnsi="Arial" w:cs="Arial"/>
          <w:sz w:val="20"/>
          <w:szCs w:val="20"/>
        </w:rPr>
        <w:t xml:space="preserve"> 95%CI 10.70 – 18.44</w:t>
      </w:r>
      <w:r w:rsidR="009D3D63">
        <w:rPr>
          <w:rFonts w:ascii="Arial" w:hAnsi="Arial" w:cs="Arial"/>
          <w:sz w:val="20"/>
          <w:szCs w:val="20"/>
        </w:rPr>
        <w:t xml:space="preserve">), which </w:t>
      </w:r>
      <w:r w:rsidR="00A63EC4">
        <w:rPr>
          <w:rFonts w:ascii="Arial" w:hAnsi="Arial" w:cs="Arial"/>
          <w:sz w:val="20"/>
          <w:szCs w:val="20"/>
        </w:rPr>
        <w:t xml:space="preserve">also </w:t>
      </w:r>
      <w:r w:rsidR="009D3D63">
        <w:rPr>
          <w:rFonts w:ascii="Arial" w:hAnsi="Arial" w:cs="Arial"/>
          <w:sz w:val="20"/>
          <w:szCs w:val="20"/>
        </w:rPr>
        <w:t>records the highest under 75 years old mortality for colorectal.</w:t>
      </w:r>
      <w:r w:rsidR="00B24C25">
        <w:rPr>
          <w:rFonts w:ascii="Arial" w:hAnsi="Arial" w:cs="Arial"/>
          <w:sz w:val="20"/>
          <w:szCs w:val="20"/>
        </w:rPr>
        <w:t xml:space="preserve"> The lowest all age female mortality as in Kingston at 12.34 per 100,000 </w:t>
      </w:r>
      <w:proofErr w:type="gramStart"/>
      <w:r w:rsidR="00B24C25">
        <w:rPr>
          <w:rFonts w:ascii="Arial" w:hAnsi="Arial" w:cs="Arial"/>
          <w:sz w:val="20"/>
          <w:szCs w:val="20"/>
        </w:rPr>
        <w:t>population</w:t>
      </w:r>
      <w:proofErr w:type="gramEnd"/>
      <w:r w:rsidR="00A63EC4">
        <w:rPr>
          <w:rFonts w:ascii="Arial" w:hAnsi="Arial" w:cs="Arial"/>
          <w:sz w:val="20"/>
          <w:szCs w:val="20"/>
        </w:rPr>
        <w:t xml:space="preserve"> (95%CI 8.35 – 16.33)</w:t>
      </w:r>
      <w:r w:rsidR="00B24C25">
        <w:rPr>
          <w:rFonts w:ascii="Arial" w:hAnsi="Arial" w:cs="Arial"/>
          <w:sz w:val="20"/>
          <w:szCs w:val="20"/>
        </w:rPr>
        <w:t>.</w:t>
      </w:r>
    </w:p>
    <w:p w:rsidR="00226443" w:rsidRPr="00226443" w:rsidRDefault="00226443" w:rsidP="00E17EB8">
      <w:pPr>
        <w:pStyle w:val="Caption"/>
        <w:spacing w:after="0"/>
        <w:rPr>
          <w:rFonts w:ascii="Arial" w:hAnsi="Arial" w:cs="Arial"/>
          <w:color w:val="auto"/>
          <w:sz w:val="20"/>
          <w:szCs w:val="20"/>
        </w:rPr>
      </w:pPr>
      <w:bookmarkStart w:id="64" w:name="_Ref263927605"/>
      <w:r w:rsidRPr="00226443">
        <w:rPr>
          <w:rFonts w:ascii="Arial" w:hAnsi="Arial" w:cs="Arial"/>
          <w:color w:val="auto"/>
        </w:rPr>
        <w:t xml:space="preserve">Figure </w:t>
      </w:r>
      <w:r w:rsidR="00AF55AD" w:rsidRPr="00226443">
        <w:rPr>
          <w:rFonts w:ascii="Arial" w:hAnsi="Arial" w:cs="Arial"/>
          <w:color w:val="auto"/>
        </w:rPr>
        <w:fldChar w:fldCharType="begin"/>
      </w:r>
      <w:r w:rsidRPr="00226443">
        <w:rPr>
          <w:rFonts w:ascii="Arial" w:hAnsi="Arial" w:cs="Arial"/>
          <w:color w:val="auto"/>
        </w:rPr>
        <w:instrText xml:space="preserve"> SEQ Figure \* ARABIC </w:instrText>
      </w:r>
      <w:r w:rsidR="00AF55AD" w:rsidRPr="00226443">
        <w:rPr>
          <w:rFonts w:ascii="Arial" w:hAnsi="Arial" w:cs="Arial"/>
          <w:color w:val="auto"/>
        </w:rPr>
        <w:fldChar w:fldCharType="separate"/>
      </w:r>
      <w:r w:rsidR="004E6A50">
        <w:rPr>
          <w:rFonts w:ascii="Arial" w:hAnsi="Arial" w:cs="Arial"/>
          <w:noProof/>
          <w:color w:val="auto"/>
        </w:rPr>
        <w:t>25</w:t>
      </w:r>
      <w:r w:rsidR="00AF55AD" w:rsidRPr="00226443">
        <w:rPr>
          <w:rFonts w:ascii="Arial" w:hAnsi="Arial" w:cs="Arial"/>
          <w:color w:val="auto"/>
        </w:rPr>
        <w:fldChar w:fldCharType="end"/>
      </w:r>
      <w:bookmarkEnd w:id="64"/>
      <w:r w:rsidRPr="00226443">
        <w:rPr>
          <w:rFonts w:ascii="Arial" w:hAnsi="Arial" w:cs="Arial"/>
          <w:color w:val="auto"/>
        </w:rPr>
        <w:t xml:space="preserve">: Directly age standardised (DSR) all </w:t>
      </w:r>
      <w:proofErr w:type="gramStart"/>
      <w:r w:rsidRPr="00226443">
        <w:rPr>
          <w:rFonts w:ascii="Arial" w:hAnsi="Arial" w:cs="Arial"/>
          <w:color w:val="auto"/>
        </w:rPr>
        <w:t>ages</w:t>
      </w:r>
      <w:proofErr w:type="gramEnd"/>
      <w:r w:rsidRPr="00226443">
        <w:rPr>
          <w:rFonts w:ascii="Arial" w:hAnsi="Arial" w:cs="Arial"/>
          <w:color w:val="auto"/>
        </w:rPr>
        <w:t xml:space="preserve"> years </w:t>
      </w:r>
      <w:r w:rsidR="00A65D8D">
        <w:rPr>
          <w:rFonts w:ascii="Arial" w:hAnsi="Arial" w:cs="Arial"/>
          <w:color w:val="auto"/>
        </w:rPr>
        <w:t>colorectal</w:t>
      </w:r>
      <w:r w:rsidRPr="00226443">
        <w:rPr>
          <w:rFonts w:ascii="Arial" w:hAnsi="Arial" w:cs="Arial"/>
          <w:color w:val="auto"/>
        </w:rPr>
        <w:t xml:space="preserve"> cancer mortality, 2006-08.</w:t>
      </w:r>
    </w:p>
    <w:p w:rsidR="008E6CED" w:rsidRPr="008E6CED" w:rsidRDefault="00A65D8D" w:rsidP="00E17EB8">
      <w:pPr>
        <w:spacing w:after="0"/>
        <w:rPr>
          <w:rFonts w:ascii="Arial" w:hAnsi="Arial" w:cs="Arial"/>
          <w:sz w:val="20"/>
          <w:szCs w:val="20"/>
        </w:rPr>
      </w:pPr>
      <w:r w:rsidRPr="00A65D8D">
        <w:rPr>
          <w:rFonts w:ascii="Arial" w:hAnsi="Arial" w:cs="Arial"/>
          <w:noProof/>
          <w:sz w:val="20"/>
          <w:szCs w:val="20"/>
          <w:lang w:val="en-US"/>
        </w:rPr>
        <w:drawing>
          <wp:inline distT="0" distB="0" distL="0" distR="0">
            <wp:extent cx="5731510" cy="2214224"/>
            <wp:effectExtent l="19050" t="0" r="21590" b="0"/>
            <wp:docPr id="28"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E17EB8" w:rsidRDefault="00E17EB8" w:rsidP="00E17EB8">
      <w:pPr>
        <w:rPr>
          <w:rStyle w:val="foos21"/>
          <w:rFonts w:ascii="Arial" w:hAnsi="Arial" w:cs="Arial"/>
          <w:b/>
          <w:sz w:val="16"/>
          <w:szCs w:val="16"/>
        </w:rPr>
      </w:pPr>
      <w:r w:rsidRPr="00DC0D89">
        <w:rPr>
          <w:rFonts w:ascii="Arial" w:hAnsi="Arial" w:cs="Arial"/>
          <w:b/>
          <w:sz w:val="16"/>
          <w:szCs w:val="16"/>
        </w:rPr>
        <w:t xml:space="preserve">Source: </w:t>
      </w:r>
      <w:r w:rsidRPr="00DC0D89">
        <w:rPr>
          <w:rFonts w:ascii="Arial" w:hAnsi="Arial" w:cs="Arial"/>
          <w:b/>
          <w:bCs/>
          <w:sz w:val="16"/>
          <w:szCs w:val="16"/>
        </w:rPr>
        <w:t xml:space="preserve">Clinical and Health Outcomes Knowledge Base, </w:t>
      </w:r>
      <w:r w:rsidRPr="00DC0D89">
        <w:rPr>
          <w:rStyle w:val="foos21"/>
          <w:rFonts w:ascii="Arial" w:hAnsi="Arial" w:cs="Arial"/>
          <w:b/>
          <w:sz w:val="16"/>
          <w:szCs w:val="16"/>
        </w:rPr>
        <w:t>National Centre for Health Outcomes Development</w:t>
      </w:r>
      <w:r>
        <w:rPr>
          <w:rStyle w:val="foos21"/>
          <w:rFonts w:ascii="Arial" w:hAnsi="Arial" w:cs="Arial"/>
          <w:b/>
          <w:sz w:val="16"/>
          <w:szCs w:val="16"/>
        </w:rPr>
        <w:t xml:space="preserve"> (NCHOD).</w:t>
      </w:r>
    </w:p>
    <w:p w:rsidR="0019618A" w:rsidRDefault="005671D7" w:rsidP="001F2601">
      <w:pPr>
        <w:pStyle w:val="Heading1"/>
        <w:numPr>
          <w:ilvl w:val="0"/>
          <w:numId w:val="1"/>
        </w:numPr>
        <w:spacing w:after="240"/>
        <w:rPr>
          <w:rFonts w:ascii="Arial" w:hAnsi="Arial" w:cs="Arial"/>
          <w:color w:val="auto"/>
        </w:rPr>
      </w:pPr>
      <w:bookmarkStart w:id="65" w:name="_Toc276037851"/>
      <w:r>
        <w:rPr>
          <w:rFonts w:ascii="Arial" w:hAnsi="Arial" w:cs="Arial"/>
          <w:color w:val="auto"/>
        </w:rPr>
        <w:t>Emergency Admissions</w:t>
      </w:r>
      <w:bookmarkEnd w:id="65"/>
    </w:p>
    <w:p w:rsidR="007309C1" w:rsidRPr="007309C1" w:rsidRDefault="007309C1" w:rsidP="007309C1">
      <w:r>
        <w:rPr>
          <w:rFonts w:ascii="Arial" w:hAnsi="Arial" w:cs="Arial"/>
          <w:sz w:val="20"/>
          <w:szCs w:val="20"/>
        </w:rPr>
        <w:t>Emergency admissions are a reflection that patients may not be getting diagnosed or treated at an early stage of their cancer, thus it may be an indicator of late presentation, late diagnosis and entry to treatment not through primary care (</w:t>
      </w:r>
      <w:r w:rsidRPr="00DB5DCB">
        <w:rPr>
          <w:rFonts w:ascii="Arial" w:hAnsi="Arial" w:cs="Arial"/>
          <w:sz w:val="20"/>
          <w:szCs w:val="20"/>
        </w:rPr>
        <w:t>National Cancer Intelligence Network 2009a).</w:t>
      </w:r>
      <w:r>
        <w:rPr>
          <w:rFonts w:ascii="Arial" w:hAnsi="Arial" w:cs="Arial"/>
          <w:sz w:val="20"/>
          <w:szCs w:val="20"/>
        </w:rPr>
        <w:t xml:space="preserve"> </w:t>
      </w:r>
      <w:r w:rsidRPr="00E477BF">
        <w:rPr>
          <w:rFonts w:ascii="Arial" w:hAnsi="Arial" w:cs="Arial"/>
          <w:sz w:val="20"/>
          <w:szCs w:val="20"/>
        </w:rPr>
        <w:t xml:space="preserve">Over the past eight years, although elective day case episodes (usually for chemotherapy) have risen, inpatient admissions for cancer have also risen by 25% (nationally). Most of this increase relates to emergency cancer inpatient episodes and emergency bed days are rising by 2.5% each year. </w:t>
      </w:r>
      <w:r>
        <w:rPr>
          <w:rFonts w:ascii="Arial" w:hAnsi="Arial" w:cs="Arial"/>
          <w:sz w:val="20"/>
          <w:szCs w:val="20"/>
        </w:rPr>
        <w:t xml:space="preserve">A number of </w:t>
      </w:r>
      <w:r w:rsidRPr="00E477BF">
        <w:rPr>
          <w:rFonts w:ascii="Arial" w:hAnsi="Arial" w:cs="Arial"/>
          <w:sz w:val="20"/>
          <w:szCs w:val="20"/>
        </w:rPr>
        <w:t>emergency admissions are due to the side effects of treatment, for example chemotherapy, or radiotherapy, or due to progressive disease</w:t>
      </w:r>
      <w:r>
        <w:rPr>
          <w:rFonts w:ascii="Arial" w:hAnsi="Arial" w:cs="Arial"/>
          <w:sz w:val="20"/>
          <w:szCs w:val="20"/>
        </w:rPr>
        <w:t xml:space="preserve"> (NHS Cancer Commissioning Toolkit 2010)</w:t>
      </w:r>
      <w:r w:rsidRPr="00E477BF">
        <w:rPr>
          <w:rFonts w:ascii="Arial" w:hAnsi="Arial" w:cs="Arial"/>
          <w:sz w:val="20"/>
          <w:szCs w:val="20"/>
        </w:rPr>
        <w:t>.</w:t>
      </w:r>
    </w:p>
    <w:p w:rsidR="00D3456B" w:rsidRDefault="00D3456B" w:rsidP="001F2601">
      <w:pPr>
        <w:pStyle w:val="Heading2"/>
        <w:numPr>
          <w:ilvl w:val="1"/>
          <w:numId w:val="1"/>
        </w:numPr>
        <w:spacing w:before="0" w:after="240"/>
        <w:rPr>
          <w:rFonts w:ascii="Arial" w:hAnsi="Arial" w:cs="Arial"/>
          <w:color w:val="auto"/>
          <w:sz w:val="24"/>
          <w:szCs w:val="24"/>
        </w:rPr>
      </w:pPr>
      <w:bookmarkStart w:id="66" w:name="_Toc275442108"/>
      <w:bookmarkStart w:id="67" w:name="_Toc276037852"/>
      <w:r>
        <w:rPr>
          <w:rFonts w:ascii="Arial" w:hAnsi="Arial" w:cs="Arial"/>
          <w:color w:val="auto"/>
          <w:sz w:val="24"/>
          <w:szCs w:val="24"/>
        </w:rPr>
        <w:t>All cancer emergency admissions by GP Practice 2008-09</w:t>
      </w:r>
      <w:bookmarkEnd w:id="66"/>
      <w:bookmarkEnd w:id="67"/>
    </w:p>
    <w:p w:rsidR="00CB6DF0" w:rsidRPr="00CB6DF0" w:rsidRDefault="00CB6DF0" w:rsidP="00CB6DF0">
      <w:pPr>
        <w:rPr>
          <w:rFonts w:ascii="Arial" w:eastAsia="Calibri" w:hAnsi="Arial" w:cs="Arial"/>
          <w:sz w:val="20"/>
        </w:rPr>
      </w:pPr>
      <w:r w:rsidRPr="00CB6DF0">
        <w:rPr>
          <w:rFonts w:ascii="Arial" w:eastAsia="Calibri" w:hAnsi="Arial" w:cs="Arial"/>
          <w:sz w:val="20"/>
        </w:rPr>
        <w:t xml:space="preserve">Data in this section include all emergency admissions with an invasive cancer code (ICD-10 C00-C97, excluding C44) present in any diagnostic field and were originally extracted from the national HES database. Data by cancer site was not available. The figures are crude rates expressed per 100,000 persons of emergency in-patient or day-case admissions. As these are crude rates it is not suitable to compare between PCTs. Emergency admissions may occur at any stage of the cancer pathway and will include persons diagnosed with cancer in prior years. This indicator may be expected to be higher in practices with an unusually high fraction of persons of 65+ years of age, due to the higher incidence of cancer at these ages. This must be considered when/if GP practices with high rates are investigated. </w:t>
      </w:r>
      <w:r w:rsidR="007309C1">
        <w:rPr>
          <w:rFonts w:ascii="Arial" w:hAnsi="Arial" w:cs="Arial"/>
          <w:sz w:val="20"/>
        </w:rPr>
        <w:t>Where the number of referrals for a GP practice was less than 5, no rate has been released nor has the GP practice been identified.</w:t>
      </w:r>
    </w:p>
    <w:p w:rsidR="00CB6DF0" w:rsidRPr="00CB6DF0" w:rsidRDefault="00CB6DF0" w:rsidP="00CB6DF0">
      <w:pPr>
        <w:keepNext/>
        <w:keepLines/>
        <w:numPr>
          <w:ilvl w:val="2"/>
          <w:numId w:val="1"/>
        </w:numPr>
        <w:spacing w:after="240"/>
        <w:outlineLvl w:val="2"/>
        <w:rPr>
          <w:rFonts w:ascii="Arial" w:eastAsia="Times New Roman" w:hAnsi="Arial" w:cs="Arial"/>
          <w:b/>
          <w:bCs/>
          <w:sz w:val="20"/>
        </w:rPr>
      </w:pPr>
      <w:bookmarkStart w:id="68" w:name="_Toc275517930"/>
      <w:bookmarkStart w:id="69" w:name="_Toc276037853"/>
      <w:r w:rsidRPr="00CB6DF0">
        <w:rPr>
          <w:rFonts w:ascii="Arial" w:eastAsia="Times New Roman" w:hAnsi="Arial" w:cs="Arial"/>
          <w:b/>
          <w:bCs/>
          <w:sz w:val="20"/>
        </w:rPr>
        <w:t>Croydon</w:t>
      </w:r>
      <w:bookmarkEnd w:id="68"/>
      <w:bookmarkEnd w:id="69"/>
    </w:p>
    <w:p w:rsidR="00CB6DF0" w:rsidRPr="00CB6DF0" w:rsidRDefault="00AF55AD" w:rsidP="00CB6DF0">
      <w:pPr>
        <w:rPr>
          <w:rFonts w:ascii="Arial" w:eastAsia="Calibri" w:hAnsi="Arial" w:cs="Arial"/>
          <w:sz w:val="20"/>
          <w:szCs w:val="20"/>
        </w:rPr>
      </w:pPr>
      <w:fldSimple w:instr=" REF _Ref275355529 \h  \* MERGEFORMAT ">
        <w:r w:rsidR="004E6A50" w:rsidRPr="004E6A50">
          <w:rPr>
            <w:rFonts w:ascii="Arial" w:eastAsia="Calibri" w:hAnsi="Arial" w:cs="Arial"/>
            <w:sz w:val="20"/>
            <w:szCs w:val="20"/>
          </w:rPr>
          <w:t xml:space="preserve">Figure </w:t>
        </w:r>
        <w:r w:rsidR="004E6A50" w:rsidRPr="004E6A50">
          <w:rPr>
            <w:rFonts w:ascii="Arial" w:eastAsia="Calibri" w:hAnsi="Arial" w:cs="Arial"/>
            <w:noProof/>
            <w:sz w:val="20"/>
            <w:szCs w:val="20"/>
          </w:rPr>
          <w:t>26</w:t>
        </w:r>
      </w:fldSimple>
      <w:r w:rsidR="00CB6DF0" w:rsidRPr="00CB6DF0">
        <w:rPr>
          <w:rFonts w:ascii="Arial" w:eastAsia="Calibri" w:hAnsi="Arial" w:cs="Arial"/>
          <w:sz w:val="20"/>
          <w:szCs w:val="20"/>
        </w:rPr>
        <w:t xml:space="preserve"> shows the variation in emergency admissions by GP practice across Croydon PCT. The highest admission rate is 1349.21 per 100,000 population (95%CI 1004.49 – 1774.00) at practice H83029 and is significantly higher than the PCT average (610.41 95%CI 585.49 – 636.12). Six other GP practices record admission rates significantly higher than the PCT average. They are practices H83619, H83031, H83033, H83019, H83050 and H83015. </w:t>
      </w:r>
    </w:p>
    <w:p w:rsidR="00CB6DF0" w:rsidRPr="00CB6DF0" w:rsidRDefault="00CB6DF0" w:rsidP="00CB6DF0">
      <w:pPr>
        <w:spacing w:after="0" w:line="240" w:lineRule="auto"/>
        <w:rPr>
          <w:rFonts w:ascii="Arial" w:eastAsia="Calibri" w:hAnsi="Arial" w:cs="Arial"/>
          <w:b/>
          <w:bCs/>
          <w:sz w:val="20"/>
          <w:szCs w:val="18"/>
        </w:rPr>
      </w:pPr>
      <w:bookmarkStart w:id="70" w:name="_Ref275355529"/>
      <w:r w:rsidRPr="00CB6DF0">
        <w:rPr>
          <w:rFonts w:ascii="Arial" w:eastAsia="Calibri" w:hAnsi="Arial" w:cs="Arial"/>
          <w:b/>
          <w:bCs/>
          <w:sz w:val="18"/>
          <w:szCs w:val="18"/>
        </w:rPr>
        <w:t xml:space="preserve">Figure </w:t>
      </w:r>
      <w:r w:rsidR="00AF55AD" w:rsidRPr="00CB6DF0">
        <w:rPr>
          <w:rFonts w:ascii="Arial" w:eastAsia="Calibri" w:hAnsi="Arial" w:cs="Arial"/>
          <w:b/>
          <w:bCs/>
          <w:sz w:val="18"/>
          <w:szCs w:val="18"/>
        </w:rPr>
        <w:fldChar w:fldCharType="begin"/>
      </w:r>
      <w:r w:rsidRPr="00CB6DF0">
        <w:rPr>
          <w:rFonts w:ascii="Arial" w:eastAsia="Calibri" w:hAnsi="Arial" w:cs="Arial"/>
          <w:b/>
          <w:bCs/>
          <w:sz w:val="18"/>
          <w:szCs w:val="18"/>
        </w:rPr>
        <w:instrText xml:space="preserve"> SEQ Figure \* ARABIC </w:instrText>
      </w:r>
      <w:r w:rsidR="00AF55AD" w:rsidRPr="00CB6DF0">
        <w:rPr>
          <w:rFonts w:ascii="Arial" w:eastAsia="Calibri" w:hAnsi="Arial" w:cs="Arial"/>
          <w:b/>
          <w:bCs/>
          <w:sz w:val="18"/>
          <w:szCs w:val="18"/>
        </w:rPr>
        <w:fldChar w:fldCharType="separate"/>
      </w:r>
      <w:r w:rsidR="004E6A50">
        <w:rPr>
          <w:rFonts w:ascii="Arial" w:eastAsia="Calibri" w:hAnsi="Arial" w:cs="Arial"/>
          <w:b/>
          <w:bCs/>
          <w:noProof/>
          <w:sz w:val="18"/>
          <w:szCs w:val="18"/>
        </w:rPr>
        <w:t>26</w:t>
      </w:r>
      <w:r w:rsidR="00AF55AD" w:rsidRPr="00CB6DF0">
        <w:rPr>
          <w:rFonts w:ascii="Arial" w:eastAsia="Calibri" w:hAnsi="Arial" w:cs="Arial"/>
          <w:b/>
          <w:bCs/>
          <w:sz w:val="18"/>
          <w:szCs w:val="18"/>
        </w:rPr>
        <w:fldChar w:fldCharType="end"/>
      </w:r>
      <w:bookmarkEnd w:id="70"/>
      <w:r w:rsidRPr="00CB6DF0">
        <w:rPr>
          <w:rFonts w:ascii="Arial" w:eastAsia="Calibri" w:hAnsi="Arial" w:cs="Arial"/>
          <w:b/>
          <w:bCs/>
          <w:sz w:val="18"/>
          <w:szCs w:val="18"/>
        </w:rPr>
        <w:t xml:space="preserve">: Croydon all cancer emergency admissions crude rate per 100,000 </w:t>
      </w:r>
      <w:proofErr w:type="gramStart"/>
      <w:r w:rsidRPr="00CB6DF0">
        <w:rPr>
          <w:rFonts w:ascii="Arial" w:eastAsia="Calibri" w:hAnsi="Arial" w:cs="Arial"/>
          <w:b/>
          <w:bCs/>
          <w:sz w:val="18"/>
          <w:szCs w:val="18"/>
        </w:rPr>
        <w:t>population</w:t>
      </w:r>
      <w:proofErr w:type="gramEnd"/>
      <w:r w:rsidRPr="00CB6DF0">
        <w:rPr>
          <w:rFonts w:ascii="Arial" w:eastAsia="Calibri" w:hAnsi="Arial" w:cs="Arial"/>
          <w:b/>
          <w:bCs/>
          <w:sz w:val="18"/>
          <w:szCs w:val="18"/>
        </w:rPr>
        <w:t xml:space="preserve">. </w:t>
      </w:r>
    </w:p>
    <w:p w:rsidR="00CB6DF0" w:rsidRPr="00CB6DF0" w:rsidRDefault="007309C1" w:rsidP="00CB6DF0">
      <w:pPr>
        <w:autoSpaceDE w:val="0"/>
        <w:autoSpaceDN w:val="0"/>
        <w:adjustRightInd w:val="0"/>
        <w:spacing w:after="0" w:line="240" w:lineRule="auto"/>
        <w:ind w:left="-993"/>
        <w:rPr>
          <w:rFonts w:ascii="Arial" w:eastAsia="Calibri" w:hAnsi="Arial" w:cs="Arial"/>
          <w:b/>
          <w:sz w:val="16"/>
          <w:szCs w:val="16"/>
        </w:rPr>
      </w:pPr>
      <w:r w:rsidRPr="007309C1">
        <w:rPr>
          <w:rFonts w:ascii="Arial" w:eastAsia="Calibri" w:hAnsi="Arial" w:cs="Arial"/>
          <w:b/>
          <w:noProof/>
          <w:sz w:val="16"/>
          <w:szCs w:val="16"/>
          <w:lang w:val="en-US"/>
        </w:rPr>
        <w:drawing>
          <wp:inline distT="0" distB="0" distL="0" distR="0">
            <wp:extent cx="6867525" cy="2238375"/>
            <wp:effectExtent l="19050" t="0" r="9525" b="0"/>
            <wp:docPr id="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CB6DF0" w:rsidRPr="00CB6DF0" w:rsidRDefault="00CB6DF0" w:rsidP="00CB6DF0">
      <w:pPr>
        <w:autoSpaceDE w:val="0"/>
        <w:autoSpaceDN w:val="0"/>
        <w:adjustRightInd w:val="0"/>
        <w:spacing w:line="240" w:lineRule="auto"/>
        <w:rPr>
          <w:rFonts w:ascii="Arial" w:eastAsia="Calibri" w:hAnsi="Arial" w:cs="Arial"/>
          <w:b/>
          <w:sz w:val="16"/>
          <w:szCs w:val="16"/>
        </w:rPr>
      </w:pPr>
      <w:r w:rsidRPr="00CB6DF0">
        <w:rPr>
          <w:rFonts w:ascii="Arial" w:eastAsia="Calibri" w:hAnsi="Arial" w:cs="Arial"/>
          <w:b/>
          <w:sz w:val="16"/>
          <w:szCs w:val="16"/>
        </w:rPr>
        <w:t>Source: Practice Profiles, NHS Cancer Commissioning Toolkit.</w:t>
      </w:r>
    </w:p>
    <w:p w:rsidR="00CB6DF0" w:rsidRPr="00CB6DF0" w:rsidRDefault="00CB6DF0" w:rsidP="00CB6DF0">
      <w:pPr>
        <w:autoSpaceDE w:val="0"/>
        <w:autoSpaceDN w:val="0"/>
        <w:adjustRightInd w:val="0"/>
        <w:rPr>
          <w:rFonts w:ascii="Arial" w:eastAsia="Calibri" w:hAnsi="Arial" w:cs="Arial"/>
          <w:sz w:val="20"/>
          <w:szCs w:val="16"/>
        </w:rPr>
      </w:pPr>
      <w:r w:rsidRPr="00CB6DF0">
        <w:rPr>
          <w:rFonts w:ascii="Arial" w:eastAsia="Calibri" w:hAnsi="Arial" w:cs="Arial"/>
          <w:sz w:val="20"/>
          <w:szCs w:val="16"/>
        </w:rPr>
        <w:t xml:space="preserve">The lowest admission rate is 146.88 per 100,000 </w:t>
      </w:r>
      <w:proofErr w:type="gramStart"/>
      <w:r w:rsidRPr="00CB6DF0">
        <w:rPr>
          <w:rFonts w:ascii="Arial" w:eastAsia="Calibri" w:hAnsi="Arial" w:cs="Arial"/>
          <w:sz w:val="20"/>
          <w:szCs w:val="16"/>
        </w:rPr>
        <w:t>population</w:t>
      </w:r>
      <w:proofErr w:type="gramEnd"/>
      <w:r w:rsidRPr="00CB6DF0">
        <w:rPr>
          <w:rFonts w:ascii="Arial" w:eastAsia="Calibri" w:hAnsi="Arial" w:cs="Arial"/>
          <w:sz w:val="20"/>
          <w:szCs w:val="16"/>
        </w:rPr>
        <w:t xml:space="preserve"> (95%CI 53.63 – 319.70) at practice H83041. This rate is also significantly lower than the PCT average. A further three GP practices record cancer admission rates significantly below the PCT average; they are H83051, H83625 and H83025. One GP practice records less th</w:t>
      </w:r>
      <w:r w:rsidR="007309C1">
        <w:rPr>
          <w:rFonts w:ascii="Arial" w:eastAsia="Calibri" w:hAnsi="Arial" w:cs="Arial"/>
          <w:sz w:val="20"/>
          <w:szCs w:val="16"/>
        </w:rPr>
        <w:t>an five admissions over 2008-09.</w:t>
      </w:r>
      <w:r w:rsidRPr="00CB6DF0">
        <w:rPr>
          <w:rFonts w:ascii="Arial" w:eastAsia="Calibri" w:hAnsi="Arial" w:cs="Arial"/>
          <w:sz w:val="20"/>
          <w:szCs w:val="16"/>
        </w:rPr>
        <w:t xml:space="preserve"> </w:t>
      </w:r>
    </w:p>
    <w:p w:rsidR="00CB6DF0" w:rsidRPr="00CB6DF0" w:rsidRDefault="00CB6DF0" w:rsidP="00CB6DF0">
      <w:pPr>
        <w:keepNext/>
        <w:keepLines/>
        <w:numPr>
          <w:ilvl w:val="2"/>
          <w:numId w:val="1"/>
        </w:numPr>
        <w:spacing w:after="240"/>
        <w:outlineLvl w:val="2"/>
        <w:rPr>
          <w:rFonts w:ascii="Arial" w:eastAsia="Times New Roman" w:hAnsi="Arial" w:cs="Arial"/>
          <w:b/>
          <w:bCs/>
          <w:sz w:val="20"/>
        </w:rPr>
      </w:pPr>
      <w:bookmarkStart w:id="71" w:name="_Toc275517931"/>
      <w:bookmarkStart w:id="72" w:name="_Toc276037854"/>
      <w:r w:rsidRPr="00CB6DF0">
        <w:rPr>
          <w:rFonts w:ascii="Arial" w:eastAsia="Times New Roman" w:hAnsi="Arial" w:cs="Arial"/>
          <w:b/>
          <w:bCs/>
          <w:sz w:val="20"/>
        </w:rPr>
        <w:t>Kingston</w:t>
      </w:r>
      <w:bookmarkEnd w:id="71"/>
      <w:bookmarkEnd w:id="72"/>
    </w:p>
    <w:p w:rsidR="00CB6DF0" w:rsidRPr="00CB6DF0" w:rsidRDefault="00CB6DF0" w:rsidP="00CB6DF0">
      <w:pPr>
        <w:rPr>
          <w:rFonts w:ascii="Arial" w:eastAsia="Calibri" w:hAnsi="Arial" w:cs="Arial"/>
          <w:sz w:val="20"/>
        </w:rPr>
      </w:pPr>
      <w:r w:rsidRPr="00CB6DF0">
        <w:rPr>
          <w:rFonts w:ascii="Arial" w:eastAsia="Calibri" w:hAnsi="Arial" w:cs="Arial"/>
          <w:sz w:val="20"/>
        </w:rPr>
        <w:t>Five GP practices, H84015, H84049, H84607, H84053 and H84033 record an all cancer emergency admission rate that is significantly higher than the PCT average which is calculated at 506.50 per 100,000 population (95%CI 472.50 – 542.27). The highest rate is 1359.91 per 100,000 (95%CI 1090.65 – 1675.48) at practice H84015 (</w:t>
      </w:r>
      <w:fldSimple w:instr=" REF _Ref275440775 \h  \* MERGEFORMAT ">
        <w:r w:rsidR="004E6A50" w:rsidRPr="004E6A50">
          <w:rPr>
            <w:rFonts w:ascii="Arial" w:eastAsia="Calibri" w:hAnsi="Arial" w:cs="Arial"/>
            <w:sz w:val="20"/>
            <w:szCs w:val="20"/>
          </w:rPr>
          <w:t xml:space="preserve">Figure </w:t>
        </w:r>
        <w:r w:rsidR="004E6A50" w:rsidRPr="004E6A50">
          <w:rPr>
            <w:rFonts w:ascii="Arial" w:eastAsia="Calibri" w:hAnsi="Arial" w:cs="Arial"/>
            <w:noProof/>
            <w:sz w:val="20"/>
            <w:szCs w:val="20"/>
          </w:rPr>
          <w:t>27</w:t>
        </w:r>
      </w:fldSimple>
      <w:r w:rsidRPr="00CB6DF0">
        <w:rPr>
          <w:rFonts w:ascii="Arial" w:eastAsia="Calibri" w:hAnsi="Arial" w:cs="Arial"/>
          <w:sz w:val="20"/>
          <w:szCs w:val="20"/>
        </w:rPr>
        <w:t>)</w:t>
      </w:r>
      <w:r w:rsidRPr="00CB6DF0">
        <w:rPr>
          <w:rFonts w:ascii="Arial" w:eastAsia="Calibri" w:hAnsi="Arial" w:cs="Arial"/>
          <w:sz w:val="20"/>
        </w:rPr>
        <w:t>.</w:t>
      </w:r>
    </w:p>
    <w:p w:rsidR="00CB6DF0" w:rsidRPr="00CB6DF0" w:rsidRDefault="00CB6DF0" w:rsidP="00CB6DF0">
      <w:pPr>
        <w:spacing w:after="0" w:line="240" w:lineRule="auto"/>
        <w:rPr>
          <w:rFonts w:ascii="Arial" w:eastAsia="Calibri" w:hAnsi="Arial" w:cs="Arial"/>
          <w:b/>
          <w:bCs/>
          <w:sz w:val="18"/>
          <w:szCs w:val="18"/>
        </w:rPr>
      </w:pPr>
      <w:bookmarkStart w:id="73" w:name="_Ref275440775"/>
      <w:r w:rsidRPr="00CB6DF0">
        <w:rPr>
          <w:rFonts w:ascii="Arial" w:eastAsia="Calibri" w:hAnsi="Arial" w:cs="Arial"/>
          <w:b/>
          <w:bCs/>
          <w:sz w:val="18"/>
          <w:szCs w:val="18"/>
        </w:rPr>
        <w:t xml:space="preserve">Figure </w:t>
      </w:r>
      <w:r w:rsidR="00AF55AD" w:rsidRPr="00CB6DF0">
        <w:rPr>
          <w:rFonts w:ascii="Arial" w:eastAsia="Calibri" w:hAnsi="Arial" w:cs="Arial"/>
          <w:b/>
          <w:bCs/>
          <w:sz w:val="18"/>
          <w:szCs w:val="18"/>
        </w:rPr>
        <w:fldChar w:fldCharType="begin"/>
      </w:r>
      <w:r w:rsidRPr="00CB6DF0">
        <w:rPr>
          <w:rFonts w:ascii="Arial" w:eastAsia="Calibri" w:hAnsi="Arial" w:cs="Arial"/>
          <w:b/>
          <w:bCs/>
          <w:sz w:val="18"/>
          <w:szCs w:val="18"/>
        </w:rPr>
        <w:instrText xml:space="preserve"> SEQ Figure \* ARABIC </w:instrText>
      </w:r>
      <w:r w:rsidR="00AF55AD" w:rsidRPr="00CB6DF0">
        <w:rPr>
          <w:rFonts w:ascii="Arial" w:eastAsia="Calibri" w:hAnsi="Arial" w:cs="Arial"/>
          <w:b/>
          <w:bCs/>
          <w:sz w:val="18"/>
          <w:szCs w:val="18"/>
        </w:rPr>
        <w:fldChar w:fldCharType="separate"/>
      </w:r>
      <w:r w:rsidR="004E6A50">
        <w:rPr>
          <w:rFonts w:ascii="Arial" w:eastAsia="Calibri" w:hAnsi="Arial" w:cs="Arial"/>
          <w:b/>
          <w:bCs/>
          <w:noProof/>
          <w:sz w:val="18"/>
          <w:szCs w:val="18"/>
        </w:rPr>
        <w:t>27</w:t>
      </w:r>
      <w:r w:rsidR="00AF55AD" w:rsidRPr="00CB6DF0">
        <w:rPr>
          <w:rFonts w:ascii="Arial" w:eastAsia="Calibri" w:hAnsi="Arial" w:cs="Arial"/>
          <w:b/>
          <w:bCs/>
          <w:sz w:val="18"/>
          <w:szCs w:val="18"/>
        </w:rPr>
        <w:fldChar w:fldCharType="end"/>
      </w:r>
      <w:bookmarkEnd w:id="73"/>
      <w:r w:rsidRPr="00CB6DF0">
        <w:rPr>
          <w:rFonts w:ascii="Arial" w:eastAsia="Calibri" w:hAnsi="Arial" w:cs="Arial"/>
          <w:b/>
          <w:bCs/>
          <w:sz w:val="18"/>
          <w:szCs w:val="18"/>
        </w:rPr>
        <w:t xml:space="preserve">: Kingston all cancer emergency admissions crude rate per 100,000 </w:t>
      </w:r>
      <w:proofErr w:type="gramStart"/>
      <w:r w:rsidRPr="00CB6DF0">
        <w:rPr>
          <w:rFonts w:ascii="Arial" w:eastAsia="Calibri" w:hAnsi="Arial" w:cs="Arial"/>
          <w:b/>
          <w:bCs/>
          <w:sz w:val="18"/>
          <w:szCs w:val="18"/>
        </w:rPr>
        <w:t>population</w:t>
      </w:r>
      <w:proofErr w:type="gramEnd"/>
      <w:r w:rsidRPr="00CB6DF0">
        <w:rPr>
          <w:rFonts w:ascii="Arial" w:eastAsia="Calibri" w:hAnsi="Arial" w:cs="Arial"/>
          <w:b/>
          <w:bCs/>
          <w:sz w:val="18"/>
          <w:szCs w:val="18"/>
        </w:rPr>
        <w:t>.</w:t>
      </w:r>
    </w:p>
    <w:p w:rsidR="00CB6DF0" w:rsidRPr="00CB6DF0" w:rsidRDefault="007309C1" w:rsidP="00CB6DF0">
      <w:pPr>
        <w:spacing w:after="0"/>
        <w:ind w:left="-567"/>
        <w:rPr>
          <w:rFonts w:ascii="Arial" w:eastAsia="Calibri" w:hAnsi="Arial" w:cs="Arial"/>
          <w:sz w:val="20"/>
        </w:rPr>
      </w:pPr>
      <w:r w:rsidRPr="007309C1">
        <w:rPr>
          <w:rFonts w:ascii="Arial" w:eastAsia="Calibri" w:hAnsi="Arial" w:cs="Arial"/>
          <w:noProof/>
          <w:sz w:val="20"/>
          <w:lang w:val="en-US"/>
        </w:rPr>
        <w:drawing>
          <wp:inline distT="0" distB="0" distL="0" distR="0">
            <wp:extent cx="6623050" cy="2124075"/>
            <wp:effectExtent l="19050" t="0" r="25400" b="0"/>
            <wp:docPr id="14"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CB6DF0" w:rsidRDefault="00CB6DF0" w:rsidP="00CB6DF0">
      <w:pPr>
        <w:autoSpaceDE w:val="0"/>
        <w:autoSpaceDN w:val="0"/>
        <w:adjustRightInd w:val="0"/>
        <w:spacing w:line="240" w:lineRule="auto"/>
        <w:rPr>
          <w:rFonts w:ascii="Arial" w:eastAsia="Calibri" w:hAnsi="Arial" w:cs="Arial"/>
          <w:b/>
          <w:sz w:val="16"/>
          <w:szCs w:val="16"/>
        </w:rPr>
      </w:pPr>
      <w:r w:rsidRPr="00CB6DF0">
        <w:rPr>
          <w:rFonts w:ascii="Arial" w:eastAsia="Calibri" w:hAnsi="Arial" w:cs="Arial"/>
          <w:b/>
          <w:sz w:val="16"/>
          <w:szCs w:val="16"/>
        </w:rPr>
        <w:t>Source: Practice Profiles, NHS Cancer Commissioning Toolkit.</w:t>
      </w:r>
    </w:p>
    <w:p w:rsidR="007309C1" w:rsidRPr="00CB6DF0" w:rsidRDefault="007309C1" w:rsidP="007309C1">
      <w:pPr>
        <w:autoSpaceDE w:val="0"/>
        <w:autoSpaceDN w:val="0"/>
        <w:adjustRightInd w:val="0"/>
        <w:rPr>
          <w:rFonts w:ascii="Arial" w:eastAsia="Calibri" w:hAnsi="Arial" w:cs="Arial"/>
          <w:sz w:val="20"/>
          <w:szCs w:val="16"/>
        </w:rPr>
      </w:pPr>
      <w:r w:rsidRPr="00CB6DF0">
        <w:rPr>
          <w:rFonts w:ascii="Arial" w:eastAsia="Calibri" w:hAnsi="Arial" w:cs="Arial"/>
          <w:sz w:val="20"/>
          <w:szCs w:val="16"/>
        </w:rPr>
        <w:t xml:space="preserve">The lowest admission rate is 200.32 per 100,000 </w:t>
      </w:r>
      <w:proofErr w:type="gramStart"/>
      <w:r w:rsidRPr="00CB6DF0">
        <w:rPr>
          <w:rFonts w:ascii="Arial" w:eastAsia="Calibri" w:hAnsi="Arial" w:cs="Arial"/>
          <w:sz w:val="20"/>
          <w:szCs w:val="16"/>
        </w:rPr>
        <w:t>population</w:t>
      </w:r>
      <w:proofErr w:type="gramEnd"/>
      <w:r w:rsidRPr="00CB6DF0">
        <w:rPr>
          <w:rFonts w:ascii="Arial" w:eastAsia="Calibri" w:hAnsi="Arial" w:cs="Arial"/>
          <w:sz w:val="20"/>
          <w:szCs w:val="16"/>
        </w:rPr>
        <w:t xml:space="preserve"> (95%CI 64.56 – 467.48) at practice Y02379. This rate is also significantly lower than the PCT average. A further three GP practices record cancer admission rates significantly below the PCT average; they are H84020, H84025 and H84619. One GP practice records less than five admissions in 2008-09.</w:t>
      </w:r>
    </w:p>
    <w:p w:rsidR="00CB6DF0" w:rsidRPr="00CB6DF0" w:rsidRDefault="00CB6DF0" w:rsidP="00CB6DF0">
      <w:pPr>
        <w:keepNext/>
        <w:keepLines/>
        <w:numPr>
          <w:ilvl w:val="2"/>
          <w:numId w:val="1"/>
        </w:numPr>
        <w:spacing w:after="240"/>
        <w:outlineLvl w:val="2"/>
        <w:rPr>
          <w:rFonts w:ascii="Arial" w:eastAsia="Times New Roman" w:hAnsi="Arial" w:cs="Arial"/>
          <w:b/>
          <w:bCs/>
          <w:sz w:val="20"/>
        </w:rPr>
      </w:pPr>
      <w:bookmarkStart w:id="74" w:name="_Toc275517932"/>
      <w:bookmarkStart w:id="75" w:name="_Toc276037855"/>
      <w:r w:rsidRPr="00CB6DF0">
        <w:rPr>
          <w:rFonts w:ascii="Arial" w:eastAsia="Times New Roman" w:hAnsi="Arial" w:cs="Arial"/>
          <w:b/>
          <w:bCs/>
          <w:sz w:val="20"/>
        </w:rPr>
        <w:t>Richmond &amp; Twickenham</w:t>
      </w:r>
      <w:bookmarkEnd w:id="74"/>
      <w:bookmarkEnd w:id="75"/>
    </w:p>
    <w:p w:rsidR="00CB6DF0" w:rsidRPr="00CB6DF0" w:rsidRDefault="00CB6DF0" w:rsidP="00CB6DF0">
      <w:pPr>
        <w:rPr>
          <w:rFonts w:ascii="Arial" w:eastAsia="Calibri" w:hAnsi="Arial" w:cs="Arial"/>
          <w:sz w:val="20"/>
        </w:rPr>
      </w:pPr>
      <w:r w:rsidRPr="00CB6DF0">
        <w:rPr>
          <w:rFonts w:ascii="Arial" w:eastAsia="Calibri" w:hAnsi="Arial" w:cs="Arial"/>
          <w:sz w:val="20"/>
        </w:rPr>
        <w:t xml:space="preserve">Richmond &amp; Twickenham has an average cancer admission rate of 536.97 per 100,000 </w:t>
      </w:r>
      <w:proofErr w:type="gramStart"/>
      <w:r w:rsidRPr="00CB6DF0">
        <w:rPr>
          <w:rFonts w:ascii="Arial" w:eastAsia="Calibri" w:hAnsi="Arial" w:cs="Arial"/>
          <w:sz w:val="20"/>
        </w:rPr>
        <w:t>population</w:t>
      </w:r>
      <w:proofErr w:type="gramEnd"/>
      <w:r w:rsidRPr="00CB6DF0">
        <w:rPr>
          <w:rFonts w:ascii="Arial" w:eastAsia="Calibri" w:hAnsi="Arial" w:cs="Arial"/>
          <w:sz w:val="20"/>
        </w:rPr>
        <w:t xml:space="preserve"> (95%CI 505.10 – 570.33) </w:t>
      </w:r>
      <w:r w:rsidRPr="00CB6DF0">
        <w:rPr>
          <w:rFonts w:ascii="Arial" w:eastAsia="Calibri" w:hAnsi="Arial" w:cs="Arial"/>
          <w:sz w:val="20"/>
          <w:szCs w:val="20"/>
        </w:rPr>
        <w:t>(</w:t>
      </w:r>
      <w:fldSimple w:instr=" REF _Ref275440881 \h  \* MERGEFORMAT ">
        <w:r w:rsidR="004E6A50" w:rsidRPr="004E6A50">
          <w:rPr>
            <w:rFonts w:ascii="Arial" w:eastAsia="Calibri" w:hAnsi="Arial" w:cs="Arial"/>
            <w:sz w:val="20"/>
            <w:szCs w:val="20"/>
          </w:rPr>
          <w:t xml:space="preserve">Figure </w:t>
        </w:r>
        <w:r w:rsidR="004E6A50" w:rsidRPr="004E6A50">
          <w:rPr>
            <w:rFonts w:ascii="Arial" w:eastAsia="Calibri" w:hAnsi="Arial" w:cs="Arial"/>
            <w:noProof/>
            <w:sz w:val="20"/>
            <w:szCs w:val="20"/>
          </w:rPr>
          <w:t>28</w:t>
        </w:r>
      </w:fldSimple>
      <w:r w:rsidRPr="00CB6DF0">
        <w:rPr>
          <w:rFonts w:ascii="Arial" w:eastAsia="Calibri" w:hAnsi="Arial" w:cs="Arial"/>
          <w:sz w:val="20"/>
          <w:szCs w:val="20"/>
        </w:rPr>
        <w:t>)</w:t>
      </w:r>
      <w:r w:rsidRPr="00CB6DF0">
        <w:rPr>
          <w:rFonts w:ascii="Arial" w:eastAsia="Calibri" w:hAnsi="Arial" w:cs="Arial"/>
          <w:sz w:val="20"/>
        </w:rPr>
        <w:t xml:space="preserve">. Four GP practices record admission rates significantly higher than the PCT average. These practices include; H84060, H84018, H84031 and H84032. The highest admissions rate was 1272.17 per 100,000 </w:t>
      </w:r>
      <w:proofErr w:type="gramStart"/>
      <w:r w:rsidRPr="00CB6DF0">
        <w:rPr>
          <w:rFonts w:ascii="Arial" w:eastAsia="Calibri" w:hAnsi="Arial" w:cs="Arial"/>
          <w:sz w:val="20"/>
        </w:rPr>
        <w:t>population</w:t>
      </w:r>
      <w:proofErr w:type="gramEnd"/>
      <w:r w:rsidRPr="00CB6DF0">
        <w:rPr>
          <w:rFonts w:ascii="Arial" w:eastAsia="Calibri" w:hAnsi="Arial" w:cs="Arial"/>
          <w:sz w:val="20"/>
        </w:rPr>
        <w:t xml:space="preserve"> (95%CI 993.53 – 1604.70) at practice H84060. </w:t>
      </w:r>
    </w:p>
    <w:p w:rsidR="00CB6DF0" w:rsidRPr="00CB6DF0" w:rsidRDefault="00CB6DF0" w:rsidP="00CB6DF0">
      <w:pPr>
        <w:spacing w:after="0" w:line="240" w:lineRule="auto"/>
        <w:rPr>
          <w:rFonts w:ascii="Arial" w:eastAsia="Calibri" w:hAnsi="Arial" w:cs="Arial"/>
          <w:b/>
          <w:bCs/>
          <w:sz w:val="20"/>
          <w:szCs w:val="18"/>
        </w:rPr>
      </w:pPr>
      <w:bookmarkStart w:id="76" w:name="_Ref275440881"/>
      <w:r w:rsidRPr="00CB6DF0">
        <w:rPr>
          <w:rFonts w:ascii="Arial" w:eastAsia="Calibri" w:hAnsi="Arial" w:cs="Arial"/>
          <w:b/>
          <w:bCs/>
          <w:sz w:val="18"/>
          <w:szCs w:val="18"/>
        </w:rPr>
        <w:t xml:space="preserve">Figure </w:t>
      </w:r>
      <w:r w:rsidR="00AF55AD" w:rsidRPr="00CB6DF0">
        <w:rPr>
          <w:rFonts w:ascii="Arial" w:eastAsia="Calibri" w:hAnsi="Arial" w:cs="Arial"/>
          <w:b/>
          <w:bCs/>
          <w:sz w:val="18"/>
          <w:szCs w:val="18"/>
        </w:rPr>
        <w:fldChar w:fldCharType="begin"/>
      </w:r>
      <w:r w:rsidRPr="00CB6DF0">
        <w:rPr>
          <w:rFonts w:ascii="Arial" w:eastAsia="Calibri" w:hAnsi="Arial" w:cs="Arial"/>
          <w:b/>
          <w:bCs/>
          <w:sz w:val="18"/>
          <w:szCs w:val="18"/>
        </w:rPr>
        <w:instrText xml:space="preserve"> SEQ Figure \* ARABIC </w:instrText>
      </w:r>
      <w:r w:rsidR="00AF55AD" w:rsidRPr="00CB6DF0">
        <w:rPr>
          <w:rFonts w:ascii="Arial" w:eastAsia="Calibri" w:hAnsi="Arial" w:cs="Arial"/>
          <w:b/>
          <w:bCs/>
          <w:sz w:val="18"/>
          <w:szCs w:val="18"/>
        </w:rPr>
        <w:fldChar w:fldCharType="separate"/>
      </w:r>
      <w:r w:rsidR="004E6A50">
        <w:rPr>
          <w:rFonts w:ascii="Arial" w:eastAsia="Calibri" w:hAnsi="Arial" w:cs="Arial"/>
          <w:b/>
          <w:bCs/>
          <w:noProof/>
          <w:sz w:val="18"/>
          <w:szCs w:val="18"/>
        </w:rPr>
        <w:t>28</w:t>
      </w:r>
      <w:r w:rsidR="00AF55AD" w:rsidRPr="00CB6DF0">
        <w:rPr>
          <w:rFonts w:ascii="Arial" w:eastAsia="Calibri" w:hAnsi="Arial" w:cs="Arial"/>
          <w:b/>
          <w:bCs/>
          <w:sz w:val="18"/>
          <w:szCs w:val="18"/>
        </w:rPr>
        <w:fldChar w:fldCharType="end"/>
      </w:r>
      <w:bookmarkEnd w:id="76"/>
      <w:r w:rsidRPr="00CB6DF0">
        <w:rPr>
          <w:rFonts w:ascii="Arial" w:eastAsia="Calibri" w:hAnsi="Arial" w:cs="Arial"/>
          <w:b/>
          <w:bCs/>
          <w:sz w:val="18"/>
          <w:szCs w:val="18"/>
        </w:rPr>
        <w:t xml:space="preserve">: Richmond &amp; Twickenham all cancer emergency admissions crude rate per 100,000 </w:t>
      </w:r>
      <w:proofErr w:type="gramStart"/>
      <w:r w:rsidRPr="00CB6DF0">
        <w:rPr>
          <w:rFonts w:ascii="Arial" w:eastAsia="Calibri" w:hAnsi="Arial" w:cs="Arial"/>
          <w:b/>
          <w:bCs/>
          <w:sz w:val="18"/>
          <w:szCs w:val="18"/>
        </w:rPr>
        <w:t>population</w:t>
      </w:r>
      <w:proofErr w:type="gramEnd"/>
      <w:r w:rsidRPr="00CB6DF0">
        <w:rPr>
          <w:rFonts w:ascii="Arial" w:eastAsia="Calibri" w:hAnsi="Arial" w:cs="Arial"/>
          <w:b/>
          <w:bCs/>
          <w:sz w:val="18"/>
          <w:szCs w:val="18"/>
        </w:rPr>
        <w:t>.</w:t>
      </w:r>
    </w:p>
    <w:p w:rsidR="00CB6DF0" w:rsidRPr="00CB6DF0" w:rsidRDefault="007309C1" w:rsidP="00CB6DF0">
      <w:pPr>
        <w:autoSpaceDE w:val="0"/>
        <w:autoSpaceDN w:val="0"/>
        <w:adjustRightInd w:val="0"/>
        <w:spacing w:after="0" w:line="240" w:lineRule="auto"/>
        <w:ind w:left="-567"/>
        <w:rPr>
          <w:rFonts w:ascii="Arial" w:eastAsia="Calibri" w:hAnsi="Arial" w:cs="Arial"/>
          <w:sz w:val="20"/>
          <w:szCs w:val="16"/>
        </w:rPr>
      </w:pPr>
      <w:r w:rsidRPr="007309C1">
        <w:rPr>
          <w:rFonts w:ascii="Arial" w:eastAsia="Calibri" w:hAnsi="Arial" w:cs="Arial"/>
          <w:noProof/>
          <w:sz w:val="20"/>
          <w:szCs w:val="16"/>
          <w:lang w:val="en-US"/>
        </w:rPr>
        <w:drawing>
          <wp:inline distT="0" distB="0" distL="0" distR="0">
            <wp:extent cx="6575425" cy="2190750"/>
            <wp:effectExtent l="19050" t="0" r="15875" b="0"/>
            <wp:docPr id="18"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CB6DF0" w:rsidRPr="00CB6DF0" w:rsidRDefault="00CB6DF0" w:rsidP="00CB6DF0">
      <w:pPr>
        <w:autoSpaceDE w:val="0"/>
        <w:autoSpaceDN w:val="0"/>
        <w:adjustRightInd w:val="0"/>
        <w:spacing w:line="240" w:lineRule="auto"/>
        <w:rPr>
          <w:rFonts w:ascii="Arial" w:eastAsia="Calibri" w:hAnsi="Arial" w:cs="Arial"/>
          <w:b/>
          <w:sz w:val="16"/>
          <w:szCs w:val="16"/>
        </w:rPr>
      </w:pPr>
      <w:r w:rsidRPr="00CB6DF0">
        <w:rPr>
          <w:rFonts w:ascii="Arial" w:eastAsia="Calibri" w:hAnsi="Arial" w:cs="Arial"/>
          <w:b/>
          <w:sz w:val="16"/>
          <w:szCs w:val="16"/>
        </w:rPr>
        <w:t>Source: Practice Profiles, NHS Cancer Commissioning Toolkit.</w:t>
      </w:r>
    </w:p>
    <w:p w:rsidR="00CB6DF0" w:rsidRPr="00CB6DF0" w:rsidRDefault="00CB6DF0" w:rsidP="00CB6DF0">
      <w:pPr>
        <w:autoSpaceDE w:val="0"/>
        <w:autoSpaceDN w:val="0"/>
        <w:adjustRightInd w:val="0"/>
        <w:rPr>
          <w:rFonts w:ascii="Arial" w:eastAsia="Calibri" w:hAnsi="Arial" w:cs="Arial"/>
          <w:sz w:val="20"/>
          <w:szCs w:val="16"/>
        </w:rPr>
      </w:pPr>
      <w:r w:rsidRPr="00CB6DF0">
        <w:rPr>
          <w:rFonts w:ascii="Arial" w:eastAsia="Calibri" w:hAnsi="Arial" w:cs="Arial"/>
          <w:sz w:val="20"/>
          <w:szCs w:val="16"/>
        </w:rPr>
        <w:t xml:space="preserve">The lowest admission rate was 246.36 per 100,000 </w:t>
      </w:r>
      <w:proofErr w:type="gramStart"/>
      <w:r w:rsidRPr="00CB6DF0">
        <w:rPr>
          <w:rFonts w:ascii="Arial" w:eastAsia="Calibri" w:hAnsi="Arial" w:cs="Arial"/>
          <w:sz w:val="20"/>
          <w:szCs w:val="16"/>
        </w:rPr>
        <w:t>population</w:t>
      </w:r>
      <w:proofErr w:type="gramEnd"/>
      <w:r w:rsidRPr="00CB6DF0">
        <w:rPr>
          <w:rFonts w:ascii="Arial" w:eastAsia="Calibri" w:hAnsi="Arial" w:cs="Arial"/>
          <w:sz w:val="20"/>
          <w:szCs w:val="16"/>
        </w:rPr>
        <w:t xml:space="preserve"> (95%CI 127.15 – 430.36) at practice H84625. This rate was significantly lower than the PCT average. Two other GP practices also record an admission rate significantly below the PCT average; they are H84005 and Y01206.</w:t>
      </w:r>
      <w:r w:rsidR="007309C1">
        <w:rPr>
          <w:rFonts w:ascii="Arial" w:eastAsia="Calibri" w:hAnsi="Arial" w:cs="Arial"/>
          <w:sz w:val="20"/>
          <w:szCs w:val="16"/>
        </w:rPr>
        <w:t xml:space="preserve"> </w:t>
      </w:r>
      <w:r w:rsidR="007309C1">
        <w:rPr>
          <w:rFonts w:ascii="Arial" w:hAnsi="Arial" w:cs="Arial"/>
          <w:sz w:val="20"/>
          <w:szCs w:val="16"/>
        </w:rPr>
        <w:t>Two GP practices recorded less than five admissions.</w:t>
      </w:r>
    </w:p>
    <w:p w:rsidR="00CB6DF0" w:rsidRPr="00CB6DF0" w:rsidRDefault="00CB6DF0" w:rsidP="00CB6DF0">
      <w:pPr>
        <w:keepNext/>
        <w:keepLines/>
        <w:numPr>
          <w:ilvl w:val="2"/>
          <w:numId w:val="1"/>
        </w:numPr>
        <w:spacing w:after="240"/>
        <w:outlineLvl w:val="2"/>
        <w:rPr>
          <w:rFonts w:ascii="Arial" w:eastAsia="Times New Roman" w:hAnsi="Arial" w:cs="Arial"/>
          <w:b/>
          <w:bCs/>
          <w:sz w:val="20"/>
        </w:rPr>
      </w:pPr>
      <w:bookmarkStart w:id="77" w:name="_Toc275517933"/>
      <w:bookmarkStart w:id="78" w:name="_Toc276037856"/>
      <w:r w:rsidRPr="00CB6DF0">
        <w:rPr>
          <w:rFonts w:ascii="Arial" w:eastAsia="Times New Roman" w:hAnsi="Arial" w:cs="Arial"/>
          <w:b/>
          <w:bCs/>
          <w:sz w:val="20"/>
        </w:rPr>
        <w:t>Sutton &amp; Merton</w:t>
      </w:r>
      <w:bookmarkEnd w:id="77"/>
      <w:bookmarkEnd w:id="78"/>
    </w:p>
    <w:p w:rsidR="00CB6DF0" w:rsidRPr="00CB6DF0" w:rsidRDefault="00AF55AD" w:rsidP="00CB6DF0">
      <w:pPr>
        <w:rPr>
          <w:rFonts w:ascii="Arial" w:eastAsia="Calibri" w:hAnsi="Arial" w:cs="Arial"/>
          <w:sz w:val="20"/>
          <w:szCs w:val="20"/>
        </w:rPr>
      </w:pPr>
      <w:fldSimple w:instr=" REF _Ref275436045 \h  \* MERGEFORMAT ">
        <w:r w:rsidR="004E6A50" w:rsidRPr="004E6A50">
          <w:rPr>
            <w:rFonts w:ascii="Arial" w:eastAsia="Calibri" w:hAnsi="Arial" w:cs="Arial"/>
            <w:sz w:val="20"/>
            <w:szCs w:val="20"/>
          </w:rPr>
          <w:t xml:space="preserve">Figure </w:t>
        </w:r>
        <w:r w:rsidR="004E6A50" w:rsidRPr="004E6A50">
          <w:rPr>
            <w:rFonts w:ascii="Arial" w:eastAsia="Calibri" w:hAnsi="Arial" w:cs="Arial"/>
            <w:noProof/>
            <w:sz w:val="20"/>
            <w:szCs w:val="20"/>
          </w:rPr>
          <w:t>29</w:t>
        </w:r>
      </w:fldSimple>
      <w:r w:rsidR="00CB6DF0" w:rsidRPr="00CB6DF0">
        <w:rPr>
          <w:rFonts w:ascii="Arial" w:eastAsia="Calibri" w:hAnsi="Arial" w:cs="Arial"/>
          <w:sz w:val="20"/>
          <w:szCs w:val="20"/>
        </w:rPr>
        <w:t xml:space="preserve"> shows the variation in </w:t>
      </w:r>
      <w:r w:rsidR="00110939">
        <w:rPr>
          <w:rFonts w:ascii="Arial" w:eastAsia="Calibri" w:hAnsi="Arial" w:cs="Arial"/>
          <w:sz w:val="20"/>
          <w:szCs w:val="20"/>
        </w:rPr>
        <w:t xml:space="preserve">cancer </w:t>
      </w:r>
      <w:r w:rsidR="00CB6DF0" w:rsidRPr="00CB6DF0">
        <w:rPr>
          <w:rFonts w:ascii="Arial" w:eastAsia="Calibri" w:hAnsi="Arial" w:cs="Arial"/>
          <w:sz w:val="20"/>
          <w:szCs w:val="20"/>
        </w:rPr>
        <w:t xml:space="preserve">emergency admissions by GP practice across Sutton &amp; Merton PCT. The highest admission rate was 1858.19 per 100,000 population (95%CI 1314.79 – 2550.60) at practice H85108 and is significantly higher than the PCT average (634.87 95%CI 609.88 – 660.63). A further seven GP practices record admission rates significantly higher than the PCT average. They are practices H85110, H85683, H85032, H85653, H85038, H85030, and H85037. </w:t>
      </w:r>
    </w:p>
    <w:p w:rsidR="00CB6DF0" w:rsidRPr="00CB6DF0" w:rsidRDefault="00CB6DF0" w:rsidP="00CB6DF0">
      <w:pPr>
        <w:spacing w:after="0" w:line="240" w:lineRule="auto"/>
        <w:rPr>
          <w:rFonts w:ascii="Arial" w:eastAsia="Calibri" w:hAnsi="Arial" w:cs="Arial"/>
          <w:b/>
          <w:bCs/>
          <w:sz w:val="20"/>
          <w:szCs w:val="20"/>
        </w:rPr>
      </w:pPr>
      <w:bookmarkStart w:id="79" w:name="_Ref275436045"/>
      <w:r w:rsidRPr="00CB6DF0">
        <w:rPr>
          <w:rFonts w:ascii="Arial" w:eastAsia="Calibri" w:hAnsi="Arial" w:cs="Arial"/>
          <w:b/>
          <w:bCs/>
          <w:sz w:val="18"/>
          <w:szCs w:val="18"/>
        </w:rPr>
        <w:t xml:space="preserve">Figure </w:t>
      </w:r>
      <w:r w:rsidR="00AF55AD" w:rsidRPr="00CB6DF0">
        <w:rPr>
          <w:rFonts w:ascii="Arial" w:eastAsia="Calibri" w:hAnsi="Arial" w:cs="Arial"/>
          <w:b/>
          <w:bCs/>
          <w:sz w:val="18"/>
          <w:szCs w:val="18"/>
        </w:rPr>
        <w:fldChar w:fldCharType="begin"/>
      </w:r>
      <w:r w:rsidRPr="00CB6DF0">
        <w:rPr>
          <w:rFonts w:ascii="Arial" w:eastAsia="Calibri" w:hAnsi="Arial" w:cs="Arial"/>
          <w:b/>
          <w:bCs/>
          <w:sz w:val="18"/>
          <w:szCs w:val="18"/>
        </w:rPr>
        <w:instrText xml:space="preserve"> SEQ Figure \* ARABIC </w:instrText>
      </w:r>
      <w:r w:rsidR="00AF55AD" w:rsidRPr="00CB6DF0">
        <w:rPr>
          <w:rFonts w:ascii="Arial" w:eastAsia="Calibri" w:hAnsi="Arial" w:cs="Arial"/>
          <w:b/>
          <w:bCs/>
          <w:sz w:val="18"/>
          <w:szCs w:val="18"/>
        </w:rPr>
        <w:fldChar w:fldCharType="separate"/>
      </w:r>
      <w:r w:rsidR="004E6A50">
        <w:rPr>
          <w:rFonts w:ascii="Arial" w:eastAsia="Calibri" w:hAnsi="Arial" w:cs="Arial"/>
          <w:b/>
          <w:bCs/>
          <w:noProof/>
          <w:sz w:val="18"/>
          <w:szCs w:val="18"/>
        </w:rPr>
        <w:t>29</w:t>
      </w:r>
      <w:r w:rsidR="00AF55AD" w:rsidRPr="00CB6DF0">
        <w:rPr>
          <w:rFonts w:ascii="Arial" w:eastAsia="Calibri" w:hAnsi="Arial" w:cs="Arial"/>
          <w:b/>
          <w:bCs/>
          <w:sz w:val="18"/>
          <w:szCs w:val="18"/>
        </w:rPr>
        <w:fldChar w:fldCharType="end"/>
      </w:r>
      <w:bookmarkEnd w:id="79"/>
      <w:r w:rsidRPr="00CB6DF0">
        <w:rPr>
          <w:rFonts w:ascii="Arial" w:eastAsia="Calibri" w:hAnsi="Arial" w:cs="Arial"/>
          <w:b/>
          <w:bCs/>
          <w:sz w:val="18"/>
          <w:szCs w:val="18"/>
        </w:rPr>
        <w:t xml:space="preserve">: Sutton &amp; Merton all cancer emergency admissions crude rate per 100,000 </w:t>
      </w:r>
      <w:proofErr w:type="gramStart"/>
      <w:r w:rsidRPr="00CB6DF0">
        <w:rPr>
          <w:rFonts w:ascii="Arial" w:eastAsia="Calibri" w:hAnsi="Arial" w:cs="Arial"/>
          <w:b/>
          <w:bCs/>
          <w:sz w:val="18"/>
          <w:szCs w:val="18"/>
        </w:rPr>
        <w:t>population</w:t>
      </w:r>
      <w:proofErr w:type="gramEnd"/>
      <w:r w:rsidRPr="00CB6DF0">
        <w:rPr>
          <w:rFonts w:ascii="Arial" w:eastAsia="Calibri" w:hAnsi="Arial" w:cs="Arial"/>
          <w:b/>
          <w:bCs/>
          <w:sz w:val="18"/>
          <w:szCs w:val="18"/>
        </w:rPr>
        <w:t>.</w:t>
      </w:r>
    </w:p>
    <w:p w:rsidR="00CB6DF0" w:rsidRPr="00CB6DF0" w:rsidRDefault="00110939" w:rsidP="00CB6DF0">
      <w:pPr>
        <w:autoSpaceDE w:val="0"/>
        <w:autoSpaceDN w:val="0"/>
        <w:adjustRightInd w:val="0"/>
        <w:spacing w:after="0" w:line="240" w:lineRule="auto"/>
        <w:ind w:left="-993"/>
        <w:rPr>
          <w:rFonts w:ascii="Arial" w:eastAsia="Calibri" w:hAnsi="Arial" w:cs="Arial"/>
          <w:b/>
          <w:sz w:val="16"/>
          <w:szCs w:val="16"/>
        </w:rPr>
      </w:pPr>
      <w:r w:rsidRPr="00110939">
        <w:rPr>
          <w:rFonts w:ascii="Arial" w:eastAsia="Calibri" w:hAnsi="Arial" w:cs="Arial"/>
          <w:b/>
          <w:noProof/>
          <w:sz w:val="16"/>
          <w:szCs w:val="16"/>
          <w:lang w:val="en-US"/>
        </w:rPr>
        <w:drawing>
          <wp:inline distT="0" distB="0" distL="0" distR="0">
            <wp:extent cx="6889750" cy="2314575"/>
            <wp:effectExtent l="19050" t="0" r="25400" b="0"/>
            <wp:docPr id="23"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CB6DF0" w:rsidRDefault="00CB6DF0" w:rsidP="00CB6DF0">
      <w:pPr>
        <w:autoSpaceDE w:val="0"/>
        <w:autoSpaceDN w:val="0"/>
        <w:adjustRightInd w:val="0"/>
        <w:spacing w:line="240" w:lineRule="auto"/>
        <w:rPr>
          <w:rFonts w:ascii="Arial" w:eastAsia="Calibri" w:hAnsi="Arial" w:cs="Arial"/>
          <w:b/>
          <w:sz w:val="16"/>
          <w:szCs w:val="16"/>
        </w:rPr>
      </w:pPr>
      <w:r w:rsidRPr="00CB6DF0">
        <w:rPr>
          <w:rFonts w:ascii="Arial" w:eastAsia="Calibri" w:hAnsi="Arial" w:cs="Arial"/>
          <w:b/>
          <w:sz w:val="16"/>
          <w:szCs w:val="16"/>
        </w:rPr>
        <w:t>Source: Practice Profiles, NHS Cancer Commissioning Toolkit.</w:t>
      </w:r>
    </w:p>
    <w:p w:rsidR="00110939" w:rsidRPr="00CB6DF0" w:rsidRDefault="00110939" w:rsidP="00110939">
      <w:pPr>
        <w:autoSpaceDE w:val="0"/>
        <w:autoSpaceDN w:val="0"/>
        <w:adjustRightInd w:val="0"/>
        <w:rPr>
          <w:rFonts w:ascii="Arial" w:eastAsia="Calibri" w:hAnsi="Arial" w:cs="Arial"/>
          <w:sz w:val="20"/>
          <w:szCs w:val="16"/>
        </w:rPr>
      </w:pPr>
      <w:r w:rsidRPr="00CB6DF0">
        <w:rPr>
          <w:rFonts w:ascii="Arial" w:eastAsia="Calibri" w:hAnsi="Arial" w:cs="Arial"/>
          <w:sz w:val="20"/>
          <w:szCs w:val="16"/>
        </w:rPr>
        <w:t xml:space="preserve">The lowest admission rate is 88.42 per 100,000 </w:t>
      </w:r>
      <w:proofErr w:type="gramStart"/>
      <w:r w:rsidRPr="00CB6DF0">
        <w:rPr>
          <w:rFonts w:ascii="Arial" w:eastAsia="Calibri" w:hAnsi="Arial" w:cs="Arial"/>
          <w:sz w:val="20"/>
          <w:szCs w:val="16"/>
        </w:rPr>
        <w:t>population</w:t>
      </w:r>
      <w:proofErr w:type="gramEnd"/>
      <w:r w:rsidRPr="00CB6DF0">
        <w:rPr>
          <w:rFonts w:ascii="Arial" w:eastAsia="Calibri" w:hAnsi="Arial" w:cs="Arial"/>
          <w:sz w:val="20"/>
          <w:szCs w:val="16"/>
        </w:rPr>
        <w:t xml:space="preserve"> (95%CI 28.49 – 206.34) at practice H85112. This rate is also significantly lower than the PCT average. Six other GP practices record cancer admission rates significantly below the PCT average; they are, H85022, H85649, H85634, H85027, H85028 and H85686. One GP practice records less than 5 emergency admissions in 2008-09.</w:t>
      </w:r>
    </w:p>
    <w:p w:rsidR="00CB6DF0" w:rsidRPr="00CB6DF0" w:rsidRDefault="00CB6DF0" w:rsidP="00CB6DF0">
      <w:pPr>
        <w:keepNext/>
        <w:keepLines/>
        <w:numPr>
          <w:ilvl w:val="2"/>
          <w:numId w:val="1"/>
        </w:numPr>
        <w:spacing w:after="240"/>
        <w:outlineLvl w:val="2"/>
        <w:rPr>
          <w:rFonts w:ascii="Arial" w:eastAsia="Times New Roman" w:hAnsi="Arial" w:cs="Arial"/>
          <w:b/>
          <w:bCs/>
          <w:sz w:val="20"/>
        </w:rPr>
      </w:pPr>
      <w:bookmarkStart w:id="80" w:name="_Toc275517934"/>
      <w:bookmarkStart w:id="81" w:name="_Toc276037857"/>
      <w:r w:rsidRPr="00CB6DF0">
        <w:rPr>
          <w:rFonts w:ascii="Arial" w:eastAsia="Times New Roman" w:hAnsi="Arial" w:cs="Arial"/>
          <w:b/>
          <w:bCs/>
          <w:sz w:val="20"/>
        </w:rPr>
        <w:t>Wandsworth</w:t>
      </w:r>
      <w:bookmarkEnd w:id="80"/>
      <w:bookmarkEnd w:id="81"/>
    </w:p>
    <w:p w:rsidR="00CB6DF0" w:rsidRPr="00CB6DF0" w:rsidRDefault="00CB6DF0" w:rsidP="00CB6DF0">
      <w:pPr>
        <w:rPr>
          <w:rFonts w:ascii="Arial" w:eastAsia="Calibri" w:hAnsi="Arial" w:cs="Arial"/>
          <w:sz w:val="20"/>
        </w:rPr>
      </w:pPr>
      <w:r w:rsidRPr="00CB6DF0">
        <w:rPr>
          <w:rFonts w:ascii="Arial" w:eastAsia="Calibri" w:hAnsi="Arial" w:cs="Arial"/>
          <w:sz w:val="20"/>
        </w:rPr>
        <w:t xml:space="preserve">Wandsworth has an average cancer admission rate of 443.07 per 100,000 </w:t>
      </w:r>
      <w:proofErr w:type="gramStart"/>
      <w:r w:rsidRPr="00CB6DF0">
        <w:rPr>
          <w:rFonts w:ascii="Arial" w:eastAsia="Calibri" w:hAnsi="Arial" w:cs="Arial"/>
          <w:sz w:val="20"/>
        </w:rPr>
        <w:t>population</w:t>
      </w:r>
      <w:proofErr w:type="gramEnd"/>
      <w:r w:rsidRPr="00CB6DF0">
        <w:rPr>
          <w:rFonts w:ascii="Arial" w:eastAsia="Calibri" w:hAnsi="Arial" w:cs="Arial"/>
          <w:sz w:val="20"/>
        </w:rPr>
        <w:t xml:space="preserve"> (95%CI 420.53 – 466.51). Six GP practices record admission rates significantly higher than the PCT average (</w:t>
      </w:r>
      <w:fldSimple w:instr=" REF _Ref275440951 \h  \* MERGEFORMAT ">
        <w:r w:rsidR="004E6A50" w:rsidRPr="004E6A50">
          <w:rPr>
            <w:rFonts w:ascii="Arial" w:eastAsia="Calibri" w:hAnsi="Arial" w:cs="Arial"/>
            <w:sz w:val="20"/>
            <w:szCs w:val="20"/>
          </w:rPr>
          <w:t xml:space="preserve">Figure </w:t>
        </w:r>
        <w:r w:rsidR="004E6A50" w:rsidRPr="004E6A50">
          <w:rPr>
            <w:rFonts w:ascii="Arial" w:eastAsia="Calibri" w:hAnsi="Arial" w:cs="Arial"/>
            <w:noProof/>
            <w:sz w:val="20"/>
            <w:szCs w:val="20"/>
          </w:rPr>
          <w:t>30</w:t>
        </w:r>
      </w:fldSimple>
      <w:r w:rsidRPr="00CB6DF0">
        <w:rPr>
          <w:rFonts w:ascii="Arial" w:eastAsia="Calibri" w:hAnsi="Arial" w:cs="Arial"/>
          <w:sz w:val="20"/>
        </w:rPr>
        <w:t xml:space="preserve">). These practices include; H85006, H85643, H85005, H85067, H85008 and H85045. The highest admissions rate was 840.49 per 100,000 </w:t>
      </w:r>
      <w:proofErr w:type="gramStart"/>
      <w:r w:rsidRPr="00CB6DF0">
        <w:rPr>
          <w:rFonts w:ascii="Arial" w:eastAsia="Calibri" w:hAnsi="Arial" w:cs="Arial"/>
          <w:sz w:val="20"/>
        </w:rPr>
        <w:t>population</w:t>
      </w:r>
      <w:proofErr w:type="gramEnd"/>
      <w:r w:rsidRPr="00CB6DF0">
        <w:rPr>
          <w:rFonts w:ascii="Arial" w:eastAsia="Calibri" w:hAnsi="Arial" w:cs="Arial"/>
          <w:sz w:val="20"/>
        </w:rPr>
        <w:t xml:space="preserve"> (95%CI 615.29 – 1121.13) at practice H85006. </w:t>
      </w:r>
    </w:p>
    <w:p w:rsidR="00CB6DF0" w:rsidRPr="00CB6DF0" w:rsidRDefault="00CB6DF0" w:rsidP="00CB6DF0">
      <w:pPr>
        <w:spacing w:after="0" w:line="240" w:lineRule="auto"/>
        <w:rPr>
          <w:rFonts w:ascii="Arial" w:eastAsia="Calibri" w:hAnsi="Arial" w:cs="Arial"/>
          <w:b/>
          <w:bCs/>
          <w:sz w:val="20"/>
          <w:szCs w:val="18"/>
        </w:rPr>
      </w:pPr>
      <w:bookmarkStart w:id="82" w:name="_Ref275440951"/>
      <w:r w:rsidRPr="00CB6DF0">
        <w:rPr>
          <w:rFonts w:ascii="Arial" w:eastAsia="Calibri" w:hAnsi="Arial" w:cs="Arial"/>
          <w:b/>
          <w:bCs/>
          <w:sz w:val="18"/>
          <w:szCs w:val="18"/>
        </w:rPr>
        <w:t xml:space="preserve">Figure </w:t>
      </w:r>
      <w:r w:rsidR="00AF55AD" w:rsidRPr="00CB6DF0">
        <w:rPr>
          <w:rFonts w:ascii="Arial" w:eastAsia="Calibri" w:hAnsi="Arial" w:cs="Arial"/>
          <w:b/>
          <w:bCs/>
          <w:sz w:val="18"/>
          <w:szCs w:val="18"/>
        </w:rPr>
        <w:fldChar w:fldCharType="begin"/>
      </w:r>
      <w:r w:rsidRPr="00CB6DF0">
        <w:rPr>
          <w:rFonts w:ascii="Arial" w:eastAsia="Calibri" w:hAnsi="Arial" w:cs="Arial"/>
          <w:b/>
          <w:bCs/>
          <w:sz w:val="18"/>
          <w:szCs w:val="18"/>
        </w:rPr>
        <w:instrText xml:space="preserve"> SEQ Figure \* ARABIC </w:instrText>
      </w:r>
      <w:r w:rsidR="00AF55AD" w:rsidRPr="00CB6DF0">
        <w:rPr>
          <w:rFonts w:ascii="Arial" w:eastAsia="Calibri" w:hAnsi="Arial" w:cs="Arial"/>
          <w:b/>
          <w:bCs/>
          <w:sz w:val="18"/>
          <w:szCs w:val="18"/>
        </w:rPr>
        <w:fldChar w:fldCharType="separate"/>
      </w:r>
      <w:r w:rsidR="004E6A50">
        <w:rPr>
          <w:rFonts w:ascii="Arial" w:eastAsia="Calibri" w:hAnsi="Arial" w:cs="Arial"/>
          <w:b/>
          <w:bCs/>
          <w:noProof/>
          <w:sz w:val="18"/>
          <w:szCs w:val="18"/>
        </w:rPr>
        <w:t>30</w:t>
      </w:r>
      <w:r w:rsidR="00AF55AD" w:rsidRPr="00CB6DF0">
        <w:rPr>
          <w:rFonts w:ascii="Arial" w:eastAsia="Calibri" w:hAnsi="Arial" w:cs="Arial"/>
          <w:b/>
          <w:bCs/>
          <w:sz w:val="18"/>
          <w:szCs w:val="18"/>
        </w:rPr>
        <w:fldChar w:fldCharType="end"/>
      </w:r>
      <w:bookmarkEnd w:id="82"/>
      <w:r w:rsidRPr="00CB6DF0">
        <w:rPr>
          <w:rFonts w:ascii="Arial" w:eastAsia="Calibri" w:hAnsi="Arial" w:cs="Arial"/>
          <w:b/>
          <w:bCs/>
          <w:sz w:val="18"/>
          <w:szCs w:val="18"/>
        </w:rPr>
        <w:t xml:space="preserve">: Wandsworth all cancer emergency admissions crude rate per 100,000 </w:t>
      </w:r>
      <w:proofErr w:type="gramStart"/>
      <w:r w:rsidRPr="00CB6DF0">
        <w:rPr>
          <w:rFonts w:ascii="Arial" w:eastAsia="Calibri" w:hAnsi="Arial" w:cs="Arial"/>
          <w:b/>
          <w:bCs/>
          <w:sz w:val="18"/>
          <w:szCs w:val="18"/>
        </w:rPr>
        <w:t>population</w:t>
      </w:r>
      <w:proofErr w:type="gramEnd"/>
      <w:r w:rsidRPr="00CB6DF0">
        <w:rPr>
          <w:rFonts w:ascii="Arial" w:eastAsia="Calibri" w:hAnsi="Arial" w:cs="Arial"/>
          <w:b/>
          <w:bCs/>
          <w:sz w:val="18"/>
          <w:szCs w:val="18"/>
        </w:rPr>
        <w:t>.</w:t>
      </w:r>
    </w:p>
    <w:p w:rsidR="00CB6DF0" w:rsidRPr="00CB6DF0" w:rsidRDefault="00110939" w:rsidP="00CB6DF0">
      <w:pPr>
        <w:autoSpaceDE w:val="0"/>
        <w:autoSpaceDN w:val="0"/>
        <w:adjustRightInd w:val="0"/>
        <w:spacing w:after="0" w:line="240" w:lineRule="auto"/>
        <w:ind w:left="-567"/>
        <w:rPr>
          <w:rFonts w:ascii="Arial" w:eastAsia="Calibri" w:hAnsi="Arial" w:cs="Arial"/>
          <w:sz w:val="20"/>
          <w:szCs w:val="16"/>
        </w:rPr>
      </w:pPr>
      <w:r w:rsidRPr="00110939">
        <w:rPr>
          <w:rFonts w:ascii="Arial" w:eastAsia="Calibri" w:hAnsi="Arial" w:cs="Arial"/>
          <w:noProof/>
          <w:sz w:val="20"/>
          <w:szCs w:val="16"/>
          <w:lang w:val="en-US"/>
        </w:rPr>
        <w:drawing>
          <wp:inline distT="0" distB="0" distL="0" distR="0">
            <wp:extent cx="6486525" cy="2409825"/>
            <wp:effectExtent l="19050" t="0" r="9525" b="0"/>
            <wp:docPr id="27"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CB6DF0" w:rsidRPr="00CB6DF0" w:rsidRDefault="00CB6DF0" w:rsidP="00CB6DF0">
      <w:pPr>
        <w:autoSpaceDE w:val="0"/>
        <w:autoSpaceDN w:val="0"/>
        <w:adjustRightInd w:val="0"/>
        <w:spacing w:line="240" w:lineRule="auto"/>
        <w:rPr>
          <w:rFonts w:ascii="Arial" w:eastAsia="Calibri" w:hAnsi="Arial" w:cs="Arial"/>
          <w:b/>
          <w:sz w:val="16"/>
          <w:szCs w:val="16"/>
        </w:rPr>
      </w:pPr>
      <w:r w:rsidRPr="00CB6DF0">
        <w:rPr>
          <w:rFonts w:ascii="Arial" w:eastAsia="Calibri" w:hAnsi="Arial" w:cs="Arial"/>
          <w:b/>
          <w:sz w:val="16"/>
          <w:szCs w:val="16"/>
        </w:rPr>
        <w:t>Source: Practice Profiles, NHS Cancer Commissioning Toolkit.</w:t>
      </w:r>
    </w:p>
    <w:p w:rsidR="00CB6DF0" w:rsidRPr="00CB6DF0" w:rsidRDefault="00CB6DF0" w:rsidP="00CB6DF0">
      <w:pPr>
        <w:autoSpaceDE w:val="0"/>
        <w:autoSpaceDN w:val="0"/>
        <w:adjustRightInd w:val="0"/>
        <w:rPr>
          <w:rFonts w:ascii="Arial" w:eastAsia="Calibri" w:hAnsi="Arial" w:cs="Arial"/>
          <w:sz w:val="20"/>
          <w:szCs w:val="16"/>
        </w:rPr>
      </w:pPr>
      <w:r w:rsidRPr="00CB6DF0">
        <w:rPr>
          <w:rFonts w:ascii="Arial" w:eastAsia="Calibri" w:hAnsi="Arial" w:cs="Arial"/>
          <w:sz w:val="20"/>
          <w:szCs w:val="16"/>
        </w:rPr>
        <w:t xml:space="preserve">Two GP practice recorded no emergency admissions for 2008-09. The lowest rate was 171.56 per 100,000 </w:t>
      </w:r>
      <w:proofErr w:type="gramStart"/>
      <w:r w:rsidRPr="00CB6DF0">
        <w:rPr>
          <w:rFonts w:ascii="Arial" w:eastAsia="Calibri" w:hAnsi="Arial" w:cs="Arial"/>
          <w:sz w:val="20"/>
          <w:szCs w:val="16"/>
        </w:rPr>
        <w:t>population</w:t>
      </w:r>
      <w:proofErr w:type="gramEnd"/>
      <w:r w:rsidRPr="00CB6DF0">
        <w:rPr>
          <w:rFonts w:ascii="Arial" w:eastAsia="Calibri" w:hAnsi="Arial" w:cs="Arial"/>
          <w:sz w:val="20"/>
          <w:szCs w:val="16"/>
        </w:rPr>
        <w:t xml:space="preserve"> (95%CI 98.00 – 278.63) at practice Y01132. This rate was significantly below the PCT average. Four other practices, H85012, H85049, H85680 and H85048 also recorded an emergency admission rate below the PCT average.</w:t>
      </w:r>
    </w:p>
    <w:p w:rsidR="007309C1" w:rsidRDefault="007309C1" w:rsidP="007309C1">
      <w:pPr>
        <w:pStyle w:val="Heading2"/>
        <w:numPr>
          <w:ilvl w:val="1"/>
          <w:numId w:val="1"/>
        </w:numPr>
        <w:spacing w:before="0" w:after="240"/>
        <w:rPr>
          <w:rFonts w:ascii="Arial" w:hAnsi="Arial" w:cs="Arial"/>
          <w:color w:val="auto"/>
          <w:sz w:val="24"/>
          <w:szCs w:val="24"/>
        </w:rPr>
      </w:pPr>
      <w:bookmarkStart w:id="83" w:name="_Toc276037858"/>
      <w:r>
        <w:rPr>
          <w:rFonts w:ascii="Arial" w:hAnsi="Arial" w:cs="Arial"/>
          <w:color w:val="auto"/>
          <w:sz w:val="24"/>
          <w:szCs w:val="24"/>
        </w:rPr>
        <w:t>Lower GI cancer emergency bed days PCT and Cancer Network 2007-08</w:t>
      </w:r>
      <w:bookmarkEnd w:id="83"/>
    </w:p>
    <w:p w:rsidR="007309C1" w:rsidRDefault="007309C1" w:rsidP="007309C1">
      <w:pPr>
        <w:rPr>
          <w:rFonts w:ascii="Arial" w:hAnsi="Arial" w:cs="Arial"/>
          <w:sz w:val="20"/>
          <w:szCs w:val="20"/>
        </w:rPr>
      </w:pPr>
      <w:r w:rsidRPr="00E477BF">
        <w:rPr>
          <w:rFonts w:ascii="Arial" w:hAnsi="Arial" w:cs="Arial"/>
          <w:sz w:val="20"/>
          <w:szCs w:val="20"/>
        </w:rPr>
        <w:t xml:space="preserve">PCTs, supported by cancer networks, should ensure that emergency bed usage is minimised by the provision of individualised patient care, including a specialist out of </w:t>
      </w:r>
      <w:proofErr w:type="gramStart"/>
      <w:r w:rsidRPr="00E477BF">
        <w:rPr>
          <w:rFonts w:ascii="Arial" w:hAnsi="Arial" w:cs="Arial"/>
          <w:sz w:val="20"/>
          <w:szCs w:val="20"/>
        </w:rPr>
        <w:t>hours</w:t>
      </w:r>
      <w:proofErr w:type="gramEnd"/>
      <w:r w:rsidRPr="00E477BF">
        <w:rPr>
          <w:rFonts w:ascii="Arial" w:hAnsi="Arial" w:cs="Arial"/>
          <w:sz w:val="20"/>
          <w:szCs w:val="20"/>
        </w:rPr>
        <w:t xml:space="preserve"> service and effective community support.</w:t>
      </w:r>
      <w:r>
        <w:rPr>
          <w:rFonts w:ascii="Arial" w:hAnsi="Arial" w:cs="Arial"/>
          <w:sz w:val="20"/>
          <w:szCs w:val="20"/>
        </w:rPr>
        <w:t xml:space="preserve"> </w:t>
      </w:r>
      <w:r w:rsidRPr="00E477BF">
        <w:rPr>
          <w:rFonts w:ascii="Arial" w:hAnsi="Arial" w:cs="Arial"/>
          <w:sz w:val="20"/>
          <w:szCs w:val="20"/>
        </w:rPr>
        <w:t>This indicator, which measures the number of emergency bed days for cancer per head of unified weighted population, is an indicator for local action in the "Vital Signs".</w:t>
      </w:r>
    </w:p>
    <w:p w:rsidR="007309C1" w:rsidRDefault="007309C1" w:rsidP="007309C1">
      <w:pPr>
        <w:rPr>
          <w:rFonts w:ascii="Arial" w:hAnsi="Arial" w:cs="Arial"/>
          <w:sz w:val="20"/>
          <w:szCs w:val="20"/>
        </w:rPr>
      </w:pPr>
      <w:r>
        <w:rPr>
          <w:rFonts w:ascii="Arial" w:hAnsi="Arial" w:cs="Arial"/>
          <w:sz w:val="20"/>
          <w:szCs w:val="20"/>
        </w:rPr>
        <w:t xml:space="preserve">By PCT, figures vary from the lowest at 383 in Kingston to the highest at 448 in Sutton &amp; Merton. This shows that each PCT in SWL has a rate higher than the national average. Compared to all the cancer networks in London the SWLCN records the highest number of emergency bed days per 100,000 weighted </w:t>
      </w:r>
      <w:proofErr w:type="gramStart"/>
      <w:r>
        <w:rPr>
          <w:rFonts w:ascii="Arial" w:hAnsi="Arial" w:cs="Arial"/>
          <w:sz w:val="20"/>
          <w:szCs w:val="20"/>
        </w:rPr>
        <w:t>population</w:t>
      </w:r>
      <w:proofErr w:type="gramEnd"/>
      <w:r>
        <w:rPr>
          <w:rFonts w:ascii="Arial" w:hAnsi="Arial" w:cs="Arial"/>
          <w:sz w:val="20"/>
          <w:szCs w:val="20"/>
        </w:rPr>
        <w:t xml:space="preserve"> at 404 per 100,000. The SWLCN sector also records the highest emergency bed days for lung and breast cancer. This is also higher than the national average at 374 per 100,</w:t>
      </w:r>
      <w:r w:rsidRPr="00F34001">
        <w:rPr>
          <w:rFonts w:ascii="Arial" w:hAnsi="Arial" w:cs="Arial"/>
          <w:sz w:val="20"/>
          <w:szCs w:val="20"/>
        </w:rPr>
        <w:t>000 (</w:t>
      </w:r>
      <w:fldSimple w:instr=" REF _Ref263845707 \h  \* MERGEFORMAT ">
        <w:r w:rsidR="004E6A50" w:rsidRPr="004E6A50">
          <w:rPr>
            <w:rFonts w:ascii="Arial" w:hAnsi="Arial" w:cs="Arial"/>
            <w:sz w:val="20"/>
            <w:szCs w:val="20"/>
          </w:rPr>
          <w:t xml:space="preserve">Figure </w:t>
        </w:r>
        <w:r w:rsidR="004E6A50" w:rsidRPr="004E6A50">
          <w:rPr>
            <w:rFonts w:ascii="Arial" w:hAnsi="Arial" w:cs="Arial"/>
            <w:noProof/>
            <w:sz w:val="20"/>
            <w:szCs w:val="20"/>
          </w:rPr>
          <w:t>31</w:t>
        </w:r>
      </w:fldSimple>
      <w:r w:rsidRPr="00F34001">
        <w:rPr>
          <w:rFonts w:ascii="Arial" w:hAnsi="Arial" w:cs="Arial"/>
          <w:sz w:val="20"/>
          <w:szCs w:val="20"/>
        </w:rPr>
        <w:t>).</w:t>
      </w:r>
      <w:r>
        <w:rPr>
          <w:rFonts w:ascii="Arial" w:hAnsi="Arial" w:cs="Arial"/>
          <w:sz w:val="20"/>
          <w:szCs w:val="20"/>
        </w:rPr>
        <w:t xml:space="preserve"> </w:t>
      </w:r>
    </w:p>
    <w:p w:rsidR="007309C1" w:rsidRPr="00F34001" w:rsidRDefault="007309C1" w:rsidP="007309C1">
      <w:pPr>
        <w:pStyle w:val="Caption"/>
        <w:spacing w:after="0"/>
        <w:rPr>
          <w:rFonts w:ascii="Arial" w:hAnsi="Arial" w:cs="Arial"/>
          <w:color w:val="auto"/>
          <w:sz w:val="20"/>
          <w:szCs w:val="20"/>
        </w:rPr>
      </w:pPr>
      <w:bookmarkStart w:id="84" w:name="_Ref263845707"/>
      <w:r w:rsidRPr="00F34001">
        <w:rPr>
          <w:rFonts w:ascii="Arial" w:hAnsi="Arial" w:cs="Arial"/>
          <w:color w:val="auto"/>
        </w:rPr>
        <w:t xml:space="preserve">Figure </w:t>
      </w:r>
      <w:r w:rsidR="00AF55AD" w:rsidRPr="00F34001">
        <w:rPr>
          <w:rFonts w:ascii="Arial" w:hAnsi="Arial" w:cs="Arial"/>
          <w:color w:val="auto"/>
        </w:rPr>
        <w:fldChar w:fldCharType="begin"/>
      </w:r>
      <w:r w:rsidRPr="00F34001">
        <w:rPr>
          <w:rFonts w:ascii="Arial" w:hAnsi="Arial" w:cs="Arial"/>
          <w:color w:val="auto"/>
        </w:rPr>
        <w:instrText xml:space="preserve"> SEQ Figure \* ARABIC </w:instrText>
      </w:r>
      <w:r w:rsidR="00AF55AD" w:rsidRPr="00F34001">
        <w:rPr>
          <w:rFonts w:ascii="Arial" w:hAnsi="Arial" w:cs="Arial"/>
          <w:color w:val="auto"/>
        </w:rPr>
        <w:fldChar w:fldCharType="separate"/>
      </w:r>
      <w:r w:rsidR="004E6A50">
        <w:rPr>
          <w:rFonts w:ascii="Arial" w:hAnsi="Arial" w:cs="Arial"/>
          <w:noProof/>
          <w:color w:val="auto"/>
        </w:rPr>
        <w:t>31</w:t>
      </w:r>
      <w:r w:rsidR="00AF55AD" w:rsidRPr="00F34001">
        <w:rPr>
          <w:rFonts w:ascii="Arial" w:hAnsi="Arial" w:cs="Arial"/>
          <w:color w:val="auto"/>
        </w:rPr>
        <w:fldChar w:fldCharType="end"/>
      </w:r>
      <w:bookmarkEnd w:id="84"/>
      <w:r w:rsidRPr="00F34001">
        <w:rPr>
          <w:rFonts w:ascii="Arial" w:hAnsi="Arial" w:cs="Arial"/>
          <w:color w:val="auto"/>
        </w:rPr>
        <w:t xml:space="preserve">: </w:t>
      </w:r>
      <w:r>
        <w:rPr>
          <w:rFonts w:ascii="Arial" w:hAnsi="Arial" w:cs="Arial"/>
          <w:color w:val="auto"/>
        </w:rPr>
        <w:t>Lower GI</w:t>
      </w:r>
      <w:r w:rsidRPr="00F34001">
        <w:rPr>
          <w:rFonts w:ascii="Arial" w:hAnsi="Arial" w:cs="Arial"/>
          <w:color w:val="auto"/>
        </w:rPr>
        <w:t xml:space="preserve"> cancer emergency bed days per 100,000 weighted population</w:t>
      </w:r>
      <w:r>
        <w:rPr>
          <w:rFonts w:ascii="Arial" w:hAnsi="Arial" w:cs="Arial"/>
          <w:color w:val="auto"/>
        </w:rPr>
        <w:t>, 2007-08</w:t>
      </w:r>
      <w:r w:rsidRPr="00F34001">
        <w:rPr>
          <w:rFonts w:ascii="Arial" w:hAnsi="Arial" w:cs="Arial"/>
          <w:color w:val="auto"/>
        </w:rPr>
        <w:t>.</w:t>
      </w:r>
    </w:p>
    <w:p w:rsidR="007309C1" w:rsidRDefault="007309C1" w:rsidP="007309C1">
      <w:pPr>
        <w:autoSpaceDE w:val="0"/>
        <w:autoSpaceDN w:val="0"/>
        <w:adjustRightInd w:val="0"/>
        <w:spacing w:line="240" w:lineRule="auto"/>
        <w:rPr>
          <w:rFonts w:ascii="Arial" w:hAnsi="Arial" w:cs="Arial"/>
          <w:b/>
          <w:sz w:val="16"/>
          <w:szCs w:val="16"/>
        </w:rPr>
      </w:pPr>
      <w:r w:rsidRPr="00A93927">
        <w:rPr>
          <w:rFonts w:ascii="Arial" w:hAnsi="Arial" w:cs="Arial"/>
          <w:b/>
          <w:noProof/>
          <w:sz w:val="16"/>
          <w:szCs w:val="16"/>
          <w:lang w:val="en-US"/>
        </w:rPr>
        <w:drawing>
          <wp:inline distT="0" distB="0" distL="0" distR="0">
            <wp:extent cx="5731510" cy="2932500"/>
            <wp:effectExtent l="19050" t="0" r="21590" b="1200"/>
            <wp:docPr id="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7309C1" w:rsidRDefault="007309C1" w:rsidP="007309C1">
      <w:pPr>
        <w:autoSpaceDE w:val="0"/>
        <w:autoSpaceDN w:val="0"/>
        <w:adjustRightInd w:val="0"/>
        <w:spacing w:line="240" w:lineRule="auto"/>
        <w:rPr>
          <w:rFonts w:ascii="Arial" w:hAnsi="Arial" w:cs="Arial"/>
          <w:b/>
          <w:sz w:val="16"/>
          <w:szCs w:val="16"/>
        </w:rPr>
      </w:pPr>
      <w:r w:rsidRPr="00F34001">
        <w:rPr>
          <w:rFonts w:ascii="Arial" w:hAnsi="Arial" w:cs="Arial"/>
          <w:b/>
          <w:sz w:val="16"/>
          <w:szCs w:val="16"/>
        </w:rPr>
        <w:t>Source: National Cancer Services Analysis Team (</w:t>
      </w:r>
      <w:proofErr w:type="spellStart"/>
      <w:r w:rsidRPr="00F34001">
        <w:rPr>
          <w:rFonts w:ascii="Arial" w:hAnsi="Arial" w:cs="Arial"/>
          <w:b/>
          <w:sz w:val="16"/>
          <w:szCs w:val="16"/>
        </w:rPr>
        <w:t>NatCanSAT</w:t>
      </w:r>
      <w:proofErr w:type="spellEnd"/>
      <w:r w:rsidRPr="00F34001">
        <w:rPr>
          <w:rFonts w:ascii="Arial" w:hAnsi="Arial" w:cs="Arial"/>
          <w:b/>
          <w:sz w:val="16"/>
          <w:szCs w:val="16"/>
        </w:rPr>
        <w:t>) from Hospital Episode Statistics (HES).</w:t>
      </w:r>
    </w:p>
    <w:p w:rsidR="005671D7" w:rsidRDefault="005671D7" w:rsidP="00D83B24">
      <w:pPr>
        <w:autoSpaceDE w:val="0"/>
        <w:autoSpaceDN w:val="0"/>
        <w:adjustRightInd w:val="0"/>
        <w:spacing w:line="240" w:lineRule="auto"/>
        <w:rPr>
          <w:rFonts w:ascii="Arial" w:hAnsi="Arial" w:cs="Arial"/>
          <w:b/>
          <w:sz w:val="16"/>
          <w:szCs w:val="16"/>
        </w:rPr>
      </w:pPr>
    </w:p>
    <w:p w:rsidR="005671D7" w:rsidRDefault="005671D7" w:rsidP="00D83B24">
      <w:pPr>
        <w:autoSpaceDE w:val="0"/>
        <w:autoSpaceDN w:val="0"/>
        <w:adjustRightInd w:val="0"/>
        <w:spacing w:line="240" w:lineRule="auto"/>
        <w:rPr>
          <w:rFonts w:ascii="Arial" w:hAnsi="Arial" w:cs="Arial"/>
          <w:b/>
          <w:sz w:val="16"/>
          <w:szCs w:val="16"/>
        </w:rPr>
      </w:pPr>
    </w:p>
    <w:p w:rsidR="005671D7" w:rsidRDefault="005671D7" w:rsidP="00D83B24">
      <w:pPr>
        <w:autoSpaceDE w:val="0"/>
        <w:autoSpaceDN w:val="0"/>
        <w:adjustRightInd w:val="0"/>
        <w:spacing w:line="240" w:lineRule="auto"/>
        <w:rPr>
          <w:rFonts w:ascii="Arial" w:hAnsi="Arial" w:cs="Arial"/>
          <w:b/>
          <w:sz w:val="16"/>
          <w:szCs w:val="16"/>
        </w:rPr>
      </w:pPr>
    </w:p>
    <w:p w:rsidR="005671D7" w:rsidRDefault="005671D7" w:rsidP="00D83B24">
      <w:pPr>
        <w:autoSpaceDE w:val="0"/>
        <w:autoSpaceDN w:val="0"/>
        <w:adjustRightInd w:val="0"/>
        <w:spacing w:line="240" w:lineRule="auto"/>
        <w:rPr>
          <w:rFonts w:ascii="Arial" w:hAnsi="Arial" w:cs="Arial"/>
          <w:b/>
          <w:sz w:val="16"/>
          <w:szCs w:val="16"/>
        </w:rPr>
      </w:pPr>
    </w:p>
    <w:p w:rsidR="001350BF" w:rsidRPr="001350BF" w:rsidRDefault="00F75E5F" w:rsidP="007309C1">
      <w:pPr>
        <w:pStyle w:val="Heading1"/>
        <w:numPr>
          <w:ilvl w:val="0"/>
          <w:numId w:val="1"/>
        </w:numPr>
        <w:spacing w:after="240"/>
        <w:rPr>
          <w:rFonts w:ascii="Arial" w:hAnsi="Arial" w:cs="Arial"/>
          <w:color w:val="auto"/>
        </w:rPr>
      </w:pPr>
      <w:bookmarkStart w:id="85" w:name="_Toc276037859"/>
      <w:r>
        <w:rPr>
          <w:rFonts w:ascii="Arial" w:hAnsi="Arial" w:cs="Arial"/>
          <w:color w:val="auto"/>
        </w:rPr>
        <w:t xml:space="preserve">Colorectal Cancer </w:t>
      </w:r>
      <w:r w:rsidR="005671D7">
        <w:rPr>
          <w:rFonts w:ascii="Arial" w:hAnsi="Arial" w:cs="Arial"/>
          <w:color w:val="auto"/>
        </w:rPr>
        <w:t>Referrals</w:t>
      </w:r>
      <w:bookmarkEnd w:id="85"/>
    </w:p>
    <w:p w:rsidR="00846C1D" w:rsidRDefault="00846C1D" w:rsidP="007309C1">
      <w:pPr>
        <w:pStyle w:val="Heading2"/>
        <w:numPr>
          <w:ilvl w:val="1"/>
          <w:numId w:val="1"/>
        </w:numPr>
        <w:autoSpaceDE w:val="0"/>
        <w:autoSpaceDN w:val="0"/>
        <w:adjustRightInd w:val="0"/>
        <w:spacing w:after="240" w:line="240" w:lineRule="auto"/>
        <w:rPr>
          <w:rFonts w:ascii="Arial" w:hAnsi="Arial" w:cs="Arial"/>
          <w:color w:val="auto"/>
          <w:sz w:val="24"/>
          <w:szCs w:val="24"/>
        </w:rPr>
      </w:pPr>
      <w:bookmarkStart w:id="86" w:name="_Toc275517936"/>
      <w:bookmarkStart w:id="87" w:name="_Toc276037860"/>
      <w:bookmarkStart w:id="88" w:name="_Toc272767993"/>
      <w:r>
        <w:rPr>
          <w:rFonts w:ascii="Arial" w:hAnsi="Arial" w:cs="Arial"/>
          <w:color w:val="auto"/>
          <w:sz w:val="24"/>
          <w:szCs w:val="24"/>
        </w:rPr>
        <w:t xml:space="preserve">Urgent two week wait (2WW) </w:t>
      </w:r>
      <w:r w:rsidRPr="00C1159B">
        <w:rPr>
          <w:rFonts w:ascii="Arial" w:hAnsi="Arial" w:cs="Arial"/>
          <w:color w:val="auto"/>
          <w:sz w:val="24"/>
          <w:szCs w:val="24"/>
        </w:rPr>
        <w:t xml:space="preserve">referrals with suspected </w:t>
      </w:r>
      <w:r>
        <w:rPr>
          <w:rFonts w:ascii="Arial" w:hAnsi="Arial" w:cs="Arial"/>
          <w:color w:val="auto"/>
          <w:sz w:val="24"/>
          <w:szCs w:val="24"/>
        </w:rPr>
        <w:t>lower GI</w:t>
      </w:r>
      <w:r w:rsidRPr="00C1159B">
        <w:rPr>
          <w:rFonts w:ascii="Arial" w:hAnsi="Arial" w:cs="Arial"/>
          <w:color w:val="auto"/>
          <w:sz w:val="24"/>
          <w:szCs w:val="24"/>
        </w:rPr>
        <w:t xml:space="preserve"> cancer</w:t>
      </w:r>
      <w:r>
        <w:rPr>
          <w:rFonts w:ascii="Arial" w:hAnsi="Arial" w:cs="Arial"/>
          <w:color w:val="auto"/>
          <w:sz w:val="24"/>
          <w:szCs w:val="24"/>
        </w:rPr>
        <w:t xml:space="preserve"> 2009</w:t>
      </w:r>
      <w:bookmarkEnd w:id="86"/>
      <w:r w:rsidR="00323AA0" w:rsidRPr="00323AA0">
        <w:rPr>
          <w:rFonts w:ascii="Arial" w:eastAsia="Times New Roman" w:hAnsi="Arial" w:cs="Arial"/>
          <w:bCs w:val="0"/>
          <w:color w:val="auto"/>
          <w:sz w:val="24"/>
          <w:szCs w:val="24"/>
        </w:rPr>
        <w:t xml:space="preserve"> </w:t>
      </w:r>
      <w:r w:rsidR="00323AA0" w:rsidRPr="005463E5">
        <w:rPr>
          <w:rFonts w:ascii="Arial" w:eastAsia="Times New Roman" w:hAnsi="Arial" w:cs="Arial"/>
          <w:bCs w:val="0"/>
          <w:color w:val="auto"/>
          <w:sz w:val="24"/>
          <w:szCs w:val="24"/>
        </w:rPr>
        <w:t>by GP Practice</w:t>
      </w:r>
      <w:bookmarkEnd w:id="87"/>
    </w:p>
    <w:p w:rsidR="00846C1D" w:rsidRDefault="00846C1D" w:rsidP="00846C1D">
      <w:pPr>
        <w:autoSpaceDE w:val="0"/>
        <w:autoSpaceDN w:val="0"/>
        <w:adjustRightInd w:val="0"/>
        <w:rPr>
          <w:rFonts w:ascii="Arial" w:hAnsi="Arial" w:cs="Arial"/>
          <w:sz w:val="20"/>
        </w:rPr>
      </w:pPr>
      <w:r w:rsidRPr="00846C1D">
        <w:rPr>
          <w:rFonts w:ascii="Arial" w:hAnsi="Arial" w:cs="Arial"/>
          <w:color w:val="000000"/>
          <w:sz w:val="20"/>
        </w:rPr>
        <w:t xml:space="preserve">Patient level Cancer Waiting Times data (including patient identifiers) </w:t>
      </w:r>
      <w:r w:rsidR="00E53870">
        <w:rPr>
          <w:rFonts w:ascii="Arial" w:hAnsi="Arial" w:cs="Arial"/>
          <w:color w:val="000000"/>
          <w:sz w:val="20"/>
        </w:rPr>
        <w:t xml:space="preserve">was </w:t>
      </w:r>
      <w:r w:rsidR="00ED74A6">
        <w:rPr>
          <w:rFonts w:ascii="Arial" w:hAnsi="Arial" w:cs="Arial"/>
          <w:color w:val="000000"/>
          <w:sz w:val="20"/>
        </w:rPr>
        <w:t>sourced</w:t>
      </w:r>
      <w:r w:rsidRPr="00846C1D">
        <w:rPr>
          <w:rFonts w:ascii="Arial" w:hAnsi="Arial" w:cs="Arial"/>
          <w:color w:val="000000"/>
          <w:sz w:val="20"/>
        </w:rPr>
        <w:t xml:space="preserve"> from the D</w:t>
      </w:r>
      <w:r>
        <w:rPr>
          <w:rFonts w:ascii="Arial" w:hAnsi="Arial" w:cs="Arial"/>
          <w:color w:val="000000"/>
          <w:sz w:val="20"/>
        </w:rPr>
        <w:t xml:space="preserve">epartment of </w:t>
      </w:r>
      <w:r w:rsidRPr="00846C1D">
        <w:rPr>
          <w:rFonts w:ascii="Arial" w:hAnsi="Arial" w:cs="Arial"/>
          <w:color w:val="000000"/>
          <w:sz w:val="20"/>
        </w:rPr>
        <w:t>H</w:t>
      </w:r>
      <w:r>
        <w:rPr>
          <w:rFonts w:ascii="Arial" w:hAnsi="Arial" w:cs="Arial"/>
          <w:color w:val="000000"/>
          <w:sz w:val="20"/>
        </w:rPr>
        <w:t>ealth</w:t>
      </w:r>
      <w:r w:rsidRPr="00846C1D">
        <w:rPr>
          <w:rFonts w:ascii="Arial" w:hAnsi="Arial" w:cs="Arial"/>
          <w:color w:val="000000"/>
          <w:sz w:val="20"/>
        </w:rPr>
        <w:t xml:space="preserve"> Cancer Waiting Times Database by the Trent Cancer Registry. Each patient was traced to a GP Practice using the Open Exeter Batch Tracing Servic</w:t>
      </w:r>
      <w:r>
        <w:rPr>
          <w:rFonts w:ascii="Arial" w:hAnsi="Arial" w:cs="Arial"/>
          <w:color w:val="000000"/>
          <w:sz w:val="20"/>
        </w:rPr>
        <w:t>e Two Week Wait Referrals were</w:t>
      </w:r>
      <w:r w:rsidRPr="00846C1D">
        <w:rPr>
          <w:rFonts w:ascii="Arial" w:hAnsi="Arial" w:cs="Arial"/>
          <w:color w:val="000000"/>
          <w:sz w:val="20"/>
        </w:rPr>
        <w:t xml:space="preserve"> identified for patients with a date first seen on the CWT database in 2009. All records with a ‘Referral Priority Type’ of ‘3’ (Two Week Wait) and a ‘Cancer Referral Type’ of ‘07’ (Suspected Lower GI Cancer) were included. </w:t>
      </w:r>
      <w:r w:rsidRPr="00846C1D">
        <w:rPr>
          <w:rFonts w:ascii="Arial" w:hAnsi="Arial" w:cs="Arial"/>
          <w:sz w:val="20"/>
        </w:rPr>
        <w:t xml:space="preserve">The </w:t>
      </w:r>
      <w:r>
        <w:rPr>
          <w:rFonts w:ascii="Arial" w:hAnsi="Arial" w:cs="Arial"/>
          <w:sz w:val="20"/>
        </w:rPr>
        <w:t xml:space="preserve">data included the </w:t>
      </w:r>
      <w:r w:rsidRPr="00846C1D">
        <w:rPr>
          <w:rFonts w:ascii="Arial" w:hAnsi="Arial" w:cs="Arial"/>
          <w:sz w:val="20"/>
        </w:rPr>
        <w:t>number of Two Week Wait referrals with a suspicion of lower GI cancer, whether or not cancer was subsequently diagnosed. This indicator may be expected to be higher in practices with an unusually high proportion of persons of 65+ years of age, due to the higher incidence of cancer at these ages.</w:t>
      </w:r>
      <w:r>
        <w:rPr>
          <w:rFonts w:ascii="Arial" w:hAnsi="Arial" w:cs="Arial"/>
          <w:sz w:val="20"/>
        </w:rPr>
        <w:t xml:space="preserve"> </w:t>
      </w:r>
      <w:r w:rsidR="00930F07">
        <w:rPr>
          <w:rFonts w:ascii="Arial" w:hAnsi="Arial" w:cs="Arial"/>
          <w:sz w:val="20"/>
        </w:rPr>
        <w:t xml:space="preserve">In many cases the number of referrals will be small resulting in large confidence intervals. </w:t>
      </w:r>
      <w:r w:rsidR="00451976">
        <w:rPr>
          <w:rFonts w:ascii="Arial" w:hAnsi="Arial" w:cs="Arial"/>
          <w:sz w:val="20"/>
        </w:rPr>
        <w:t>Where the number of referrals for a GP practice was less than 5, no rate has been released nor has the GP practice been identified.</w:t>
      </w:r>
    </w:p>
    <w:p w:rsidR="00846C1D" w:rsidRDefault="00846C1D" w:rsidP="007309C1">
      <w:pPr>
        <w:pStyle w:val="Heading3"/>
        <w:numPr>
          <w:ilvl w:val="2"/>
          <w:numId w:val="1"/>
        </w:numPr>
        <w:spacing w:before="0" w:after="240"/>
        <w:rPr>
          <w:rFonts w:ascii="Arial" w:hAnsi="Arial" w:cs="Arial"/>
          <w:color w:val="auto"/>
          <w:sz w:val="20"/>
        </w:rPr>
      </w:pPr>
      <w:bookmarkStart w:id="89" w:name="_Toc275517937"/>
      <w:bookmarkStart w:id="90" w:name="_Toc276037861"/>
      <w:r>
        <w:rPr>
          <w:rFonts w:ascii="Arial" w:hAnsi="Arial" w:cs="Arial"/>
          <w:color w:val="auto"/>
          <w:sz w:val="20"/>
        </w:rPr>
        <w:t>Croydon</w:t>
      </w:r>
      <w:bookmarkEnd w:id="89"/>
      <w:bookmarkEnd w:id="90"/>
    </w:p>
    <w:p w:rsidR="00846C1D" w:rsidRPr="00846C1D" w:rsidRDefault="00846C1D" w:rsidP="00846C1D">
      <w:pPr>
        <w:rPr>
          <w:rFonts w:ascii="Arial" w:hAnsi="Arial" w:cs="Arial"/>
          <w:sz w:val="20"/>
        </w:rPr>
      </w:pPr>
      <w:r w:rsidRPr="00846C1D">
        <w:rPr>
          <w:rFonts w:ascii="Arial" w:hAnsi="Arial" w:cs="Arial"/>
          <w:sz w:val="20"/>
        </w:rPr>
        <w:t xml:space="preserve">The average 2WW crude referral rate </w:t>
      </w:r>
      <w:r w:rsidR="00C3228B">
        <w:rPr>
          <w:rFonts w:ascii="Arial" w:hAnsi="Arial" w:cs="Arial"/>
          <w:sz w:val="20"/>
        </w:rPr>
        <w:t xml:space="preserve">for suspected lower GI cancer </w:t>
      </w:r>
      <w:r w:rsidRPr="00846C1D">
        <w:rPr>
          <w:rFonts w:ascii="Arial" w:hAnsi="Arial" w:cs="Arial"/>
          <w:sz w:val="20"/>
        </w:rPr>
        <w:t xml:space="preserve">in Croydon for 2009 was </w:t>
      </w:r>
      <w:r w:rsidR="007238C0">
        <w:rPr>
          <w:rFonts w:ascii="Arial" w:hAnsi="Arial" w:cs="Arial"/>
          <w:sz w:val="20"/>
        </w:rPr>
        <w:t>137.60</w:t>
      </w:r>
      <w:r w:rsidRPr="00846C1D">
        <w:rPr>
          <w:rFonts w:ascii="Arial" w:hAnsi="Arial" w:cs="Arial"/>
          <w:sz w:val="20"/>
        </w:rPr>
        <w:t xml:space="preserve"> per 100,000 </w:t>
      </w:r>
      <w:proofErr w:type="gramStart"/>
      <w:r w:rsidRPr="00846C1D">
        <w:rPr>
          <w:rFonts w:ascii="Arial" w:hAnsi="Arial" w:cs="Arial"/>
          <w:sz w:val="20"/>
        </w:rPr>
        <w:t>population</w:t>
      </w:r>
      <w:proofErr w:type="gramEnd"/>
      <w:r w:rsidRPr="00846C1D">
        <w:rPr>
          <w:rFonts w:ascii="Arial" w:hAnsi="Arial" w:cs="Arial"/>
          <w:sz w:val="20"/>
        </w:rPr>
        <w:t xml:space="preserve"> (95%CI </w:t>
      </w:r>
      <w:r w:rsidR="007238C0">
        <w:rPr>
          <w:rFonts w:ascii="Arial" w:hAnsi="Arial" w:cs="Arial"/>
          <w:sz w:val="20"/>
        </w:rPr>
        <w:t>125.90</w:t>
      </w:r>
      <w:r w:rsidRPr="00846C1D">
        <w:rPr>
          <w:rFonts w:ascii="Arial" w:hAnsi="Arial" w:cs="Arial"/>
          <w:sz w:val="20"/>
        </w:rPr>
        <w:t xml:space="preserve"> – </w:t>
      </w:r>
      <w:r w:rsidR="007238C0">
        <w:rPr>
          <w:rFonts w:ascii="Arial" w:hAnsi="Arial" w:cs="Arial"/>
          <w:sz w:val="20"/>
        </w:rPr>
        <w:t>150.09</w:t>
      </w:r>
      <w:r w:rsidRPr="00846C1D">
        <w:rPr>
          <w:rFonts w:ascii="Arial" w:hAnsi="Arial" w:cs="Arial"/>
          <w:sz w:val="20"/>
        </w:rPr>
        <w:t>) (</w:t>
      </w:r>
      <w:fldSimple w:instr=" REF _Ref275509525 \h  \* MERGEFORMAT ">
        <w:r w:rsidR="004E6A50" w:rsidRPr="004E6A50">
          <w:rPr>
            <w:rFonts w:ascii="Arial" w:hAnsi="Arial" w:cs="Arial"/>
            <w:sz w:val="20"/>
            <w:szCs w:val="20"/>
          </w:rPr>
          <w:t xml:space="preserve">Figure </w:t>
        </w:r>
        <w:r w:rsidR="004E6A50" w:rsidRPr="004E6A50">
          <w:rPr>
            <w:rFonts w:ascii="Arial" w:hAnsi="Arial" w:cs="Arial"/>
            <w:noProof/>
            <w:sz w:val="20"/>
            <w:szCs w:val="20"/>
          </w:rPr>
          <w:t>32</w:t>
        </w:r>
      </w:fldSimple>
      <w:r w:rsidRPr="00846C1D">
        <w:rPr>
          <w:rFonts w:ascii="Arial" w:hAnsi="Arial" w:cs="Arial"/>
          <w:sz w:val="20"/>
        </w:rPr>
        <w:t xml:space="preserve">). </w:t>
      </w:r>
      <w:r w:rsidR="007238C0">
        <w:rPr>
          <w:rFonts w:ascii="Arial" w:hAnsi="Arial" w:cs="Arial"/>
          <w:sz w:val="20"/>
        </w:rPr>
        <w:t>Six</w:t>
      </w:r>
      <w:r w:rsidRPr="00846C1D">
        <w:rPr>
          <w:rFonts w:ascii="Arial" w:hAnsi="Arial" w:cs="Arial"/>
          <w:sz w:val="20"/>
        </w:rPr>
        <w:t xml:space="preserve"> GP practices, </w:t>
      </w:r>
      <w:r w:rsidR="007238C0" w:rsidRPr="007238C0">
        <w:rPr>
          <w:rFonts w:ascii="Arial" w:hAnsi="Arial" w:cs="Arial"/>
          <w:sz w:val="20"/>
        </w:rPr>
        <w:t>H83035</w:t>
      </w:r>
      <w:r w:rsidRPr="00846C1D">
        <w:rPr>
          <w:rFonts w:ascii="Arial" w:hAnsi="Arial" w:cs="Arial"/>
          <w:sz w:val="20"/>
        </w:rPr>
        <w:t xml:space="preserve">, </w:t>
      </w:r>
      <w:r w:rsidR="007238C0" w:rsidRPr="007238C0">
        <w:rPr>
          <w:rFonts w:ascii="Arial" w:hAnsi="Arial" w:cs="Arial"/>
          <w:sz w:val="20"/>
        </w:rPr>
        <w:t>H83048</w:t>
      </w:r>
      <w:r w:rsidR="007238C0">
        <w:rPr>
          <w:rFonts w:ascii="Arial" w:hAnsi="Arial" w:cs="Arial"/>
          <w:sz w:val="20"/>
        </w:rPr>
        <w:t xml:space="preserve">, </w:t>
      </w:r>
      <w:r w:rsidR="007238C0" w:rsidRPr="007238C0">
        <w:rPr>
          <w:rFonts w:ascii="Arial" w:hAnsi="Arial" w:cs="Arial"/>
          <w:sz w:val="20"/>
        </w:rPr>
        <w:t>H83009</w:t>
      </w:r>
      <w:r w:rsidR="007238C0">
        <w:rPr>
          <w:rFonts w:ascii="Arial" w:hAnsi="Arial" w:cs="Arial"/>
          <w:sz w:val="20"/>
        </w:rPr>
        <w:t xml:space="preserve">, </w:t>
      </w:r>
      <w:r w:rsidR="007238C0" w:rsidRPr="007238C0">
        <w:rPr>
          <w:rFonts w:ascii="Arial" w:hAnsi="Arial" w:cs="Arial"/>
          <w:sz w:val="20"/>
        </w:rPr>
        <w:t>H83016</w:t>
      </w:r>
      <w:r w:rsidR="007238C0">
        <w:rPr>
          <w:rFonts w:ascii="Arial" w:hAnsi="Arial" w:cs="Arial"/>
          <w:sz w:val="20"/>
        </w:rPr>
        <w:t xml:space="preserve"> </w:t>
      </w:r>
      <w:r w:rsidR="007238C0" w:rsidRPr="007238C0">
        <w:rPr>
          <w:rFonts w:ascii="Arial" w:hAnsi="Arial" w:cs="Arial"/>
          <w:sz w:val="20"/>
        </w:rPr>
        <w:t>H83015</w:t>
      </w:r>
      <w:r w:rsidR="007238C0">
        <w:rPr>
          <w:rFonts w:ascii="Arial" w:hAnsi="Arial" w:cs="Arial"/>
          <w:sz w:val="20"/>
        </w:rPr>
        <w:t xml:space="preserve">, </w:t>
      </w:r>
      <w:r w:rsidRPr="00846C1D">
        <w:rPr>
          <w:rFonts w:ascii="Arial" w:hAnsi="Arial" w:cs="Arial"/>
          <w:sz w:val="20"/>
        </w:rPr>
        <w:t xml:space="preserve">and </w:t>
      </w:r>
      <w:r w:rsidR="007238C0" w:rsidRPr="007238C0">
        <w:rPr>
          <w:rFonts w:ascii="Arial" w:hAnsi="Arial" w:cs="Arial"/>
          <w:sz w:val="20"/>
        </w:rPr>
        <w:t>H83024</w:t>
      </w:r>
      <w:r w:rsidRPr="00846C1D">
        <w:rPr>
          <w:rFonts w:ascii="Arial" w:hAnsi="Arial" w:cs="Arial"/>
          <w:sz w:val="20"/>
        </w:rPr>
        <w:t xml:space="preserve">, record a referral rate that is significantly higher than the PCT average. The highest referral rate is </w:t>
      </w:r>
      <w:r w:rsidR="007238C0">
        <w:rPr>
          <w:rFonts w:ascii="Arial" w:hAnsi="Arial" w:cs="Arial"/>
          <w:sz w:val="20"/>
        </w:rPr>
        <w:t>431.03</w:t>
      </w:r>
      <w:r w:rsidRPr="00846C1D">
        <w:rPr>
          <w:rFonts w:ascii="Arial" w:hAnsi="Arial" w:cs="Arial"/>
          <w:sz w:val="20"/>
        </w:rPr>
        <w:t xml:space="preserve"> per 100,000 </w:t>
      </w:r>
      <w:proofErr w:type="gramStart"/>
      <w:r w:rsidRPr="00846C1D">
        <w:rPr>
          <w:rFonts w:ascii="Arial" w:hAnsi="Arial" w:cs="Arial"/>
          <w:sz w:val="20"/>
        </w:rPr>
        <w:t>population</w:t>
      </w:r>
      <w:proofErr w:type="gramEnd"/>
      <w:r w:rsidRPr="00846C1D">
        <w:rPr>
          <w:rFonts w:ascii="Arial" w:hAnsi="Arial" w:cs="Arial"/>
          <w:sz w:val="20"/>
        </w:rPr>
        <w:t xml:space="preserve"> (95%CI </w:t>
      </w:r>
      <w:r w:rsidR="007238C0">
        <w:rPr>
          <w:rFonts w:ascii="Arial" w:hAnsi="Arial" w:cs="Arial"/>
          <w:sz w:val="20"/>
        </w:rPr>
        <w:t>246.21</w:t>
      </w:r>
      <w:r w:rsidRPr="00846C1D">
        <w:rPr>
          <w:rFonts w:ascii="Arial" w:hAnsi="Arial" w:cs="Arial"/>
          <w:sz w:val="20"/>
        </w:rPr>
        <w:t xml:space="preserve"> – </w:t>
      </w:r>
      <w:r w:rsidR="007238C0">
        <w:rPr>
          <w:rFonts w:ascii="Arial" w:hAnsi="Arial" w:cs="Arial"/>
          <w:sz w:val="20"/>
        </w:rPr>
        <w:t>700.18</w:t>
      </w:r>
      <w:r w:rsidRPr="00846C1D">
        <w:rPr>
          <w:rFonts w:ascii="Arial" w:hAnsi="Arial" w:cs="Arial"/>
          <w:sz w:val="20"/>
        </w:rPr>
        <w:t xml:space="preserve">) at practice </w:t>
      </w:r>
      <w:r w:rsidR="007238C0" w:rsidRPr="007238C0">
        <w:rPr>
          <w:rFonts w:ascii="Arial" w:hAnsi="Arial" w:cs="Arial"/>
          <w:sz w:val="20"/>
        </w:rPr>
        <w:t>H83035</w:t>
      </w:r>
      <w:r w:rsidRPr="00846C1D">
        <w:rPr>
          <w:rFonts w:ascii="Arial" w:hAnsi="Arial" w:cs="Arial"/>
          <w:sz w:val="20"/>
        </w:rPr>
        <w:t>.</w:t>
      </w:r>
    </w:p>
    <w:p w:rsidR="00846C1D" w:rsidRPr="00AC262C" w:rsidRDefault="00846C1D" w:rsidP="00846C1D">
      <w:pPr>
        <w:pStyle w:val="Caption"/>
        <w:spacing w:after="0"/>
        <w:rPr>
          <w:rFonts w:ascii="Arial" w:hAnsi="Arial" w:cs="Arial"/>
          <w:color w:val="auto"/>
        </w:rPr>
      </w:pPr>
      <w:bookmarkStart w:id="91" w:name="_Ref275509525"/>
      <w:r w:rsidRPr="00AC262C">
        <w:rPr>
          <w:rFonts w:ascii="Arial" w:hAnsi="Arial" w:cs="Arial"/>
          <w:color w:val="auto"/>
        </w:rPr>
        <w:t xml:space="preserve">Figure </w:t>
      </w:r>
      <w:r w:rsidR="00AF55AD" w:rsidRPr="00AC262C">
        <w:rPr>
          <w:rFonts w:ascii="Arial" w:hAnsi="Arial" w:cs="Arial"/>
          <w:color w:val="auto"/>
        </w:rPr>
        <w:fldChar w:fldCharType="begin"/>
      </w:r>
      <w:r w:rsidRPr="00AC262C">
        <w:rPr>
          <w:rFonts w:ascii="Arial" w:hAnsi="Arial" w:cs="Arial"/>
          <w:color w:val="auto"/>
        </w:rPr>
        <w:instrText xml:space="preserve"> SEQ Figure \* ARABIC </w:instrText>
      </w:r>
      <w:r w:rsidR="00AF55AD" w:rsidRPr="00AC262C">
        <w:rPr>
          <w:rFonts w:ascii="Arial" w:hAnsi="Arial" w:cs="Arial"/>
          <w:color w:val="auto"/>
        </w:rPr>
        <w:fldChar w:fldCharType="separate"/>
      </w:r>
      <w:r w:rsidR="004E6A50">
        <w:rPr>
          <w:rFonts w:ascii="Arial" w:hAnsi="Arial" w:cs="Arial"/>
          <w:noProof/>
          <w:color w:val="auto"/>
        </w:rPr>
        <w:t>32</w:t>
      </w:r>
      <w:r w:rsidR="00AF55AD" w:rsidRPr="00AC262C">
        <w:rPr>
          <w:rFonts w:ascii="Arial" w:hAnsi="Arial" w:cs="Arial"/>
          <w:color w:val="auto"/>
        </w:rPr>
        <w:fldChar w:fldCharType="end"/>
      </w:r>
      <w:bookmarkEnd w:id="91"/>
      <w:r>
        <w:rPr>
          <w:rFonts w:ascii="Arial" w:hAnsi="Arial" w:cs="Arial"/>
          <w:color w:val="auto"/>
        </w:rPr>
        <w:t>: Croydon u</w:t>
      </w:r>
      <w:r w:rsidRPr="00AC262C">
        <w:rPr>
          <w:rFonts w:ascii="Arial" w:hAnsi="Arial" w:cs="Arial"/>
          <w:color w:val="auto"/>
        </w:rPr>
        <w:t xml:space="preserve">rgent 2WW referrals with suspected </w:t>
      </w:r>
      <w:r w:rsidR="007238C0">
        <w:rPr>
          <w:rFonts w:ascii="Arial" w:hAnsi="Arial" w:cs="Arial"/>
          <w:color w:val="auto"/>
        </w:rPr>
        <w:t>lower GI</w:t>
      </w:r>
      <w:r w:rsidRPr="00AC262C">
        <w:rPr>
          <w:rFonts w:ascii="Arial" w:hAnsi="Arial" w:cs="Arial"/>
          <w:color w:val="auto"/>
        </w:rPr>
        <w:t xml:space="preserve"> cancer, crude rate per 100,000</w:t>
      </w:r>
      <w:r>
        <w:rPr>
          <w:rFonts w:ascii="Arial" w:hAnsi="Arial" w:cs="Arial"/>
          <w:color w:val="auto"/>
        </w:rPr>
        <w:t xml:space="preserve"> </w:t>
      </w:r>
      <w:proofErr w:type="gramStart"/>
      <w:r>
        <w:rPr>
          <w:rFonts w:ascii="Arial" w:hAnsi="Arial" w:cs="Arial"/>
          <w:color w:val="auto"/>
        </w:rPr>
        <w:t>population</w:t>
      </w:r>
      <w:proofErr w:type="gramEnd"/>
      <w:r w:rsidRPr="00AC262C">
        <w:rPr>
          <w:rFonts w:ascii="Arial" w:hAnsi="Arial" w:cs="Arial"/>
          <w:color w:val="auto"/>
        </w:rPr>
        <w:t>.</w:t>
      </w:r>
    </w:p>
    <w:p w:rsidR="00846C1D" w:rsidRDefault="00E85F9F" w:rsidP="007238C0">
      <w:pPr>
        <w:spacing w:after="0"/>
        <w:ind w:left="-851"/>
      </w:pPr>
      <w:r w:rsidRPr="00E85F9F">
        <w:rPr>
          <w:noProof/>
          <w:lang w:val="en-US"/>
        </w:rPr>
        <w:drawing>
          <wp:inline distT="0" distB="0" distL="0" distR="0">
            <wp:extent cx="6543675" cy="1971675"/>
            <wp:effectExtent l="19050" t="0" r="9525" b="0"/>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846C1D" w:rsidRPr="00846C1D" w:rsidRDefault="00846C1D" w:rsidP="00846C1D">
      <w:pPr>
        <w:autoSpaceDE w:val="0"/>
        <w:autoSpaceDN w:val="0"/>
        <w:adjustRightInd w:val="0"/>
        <w:spacing w:line="240" w:lineRule="auto"/>
        <w:rPr>
          <w:rFonts w:ascii="Arial" w:hAnsi="Arial" w:cs="Arial"/>
          <w:b/>
          <w:sz w:val="16"/>
          <w:szCs w:val="16"/>
        </w:rPr>
      </w:pPr>
      <w:r w:rsidRPr="00846C1D">
        <w:rPr>
          <w:rFonts w:ascii="Arial" w:hAnsi="Arial" w:cs="Arial"/>
          <w:b/>
          <w:sz w:val="16"/>
          <w:szCs w:val="16"/>
        </w:rPr>
        <w:t>Source: Practice Profiles, NHS Cancer Commissioning Toolkit.</w:t>
      </w:r>
    </w:p>
    <w:p w:rsidR="00846C1D" w:rsidRDefault="007238C0" w:rsidP="00C62008">
      <w:pPr>
        <w:rPr>
          <w:rFonts w:ascii="Arial" w:hAnsi="Arial" w:cs="Arial"/>
          <w:sz w:val="20"/>
        </w:rPr>
      </w:pPr>
      <w:r>
        <w:rPr>
          <w:rFonts w:ascii="Arial" w:hAnsi="Arial" w:cs="Arial"/>
          <w:sz w:val="20"/>
        </w:rPr>
        <w:t>Nine GP practices recorded no referrals for su</w:t>
      </w:r>
      <w:r w:rsidR="00EB4AE8">
        <w:rPr>
          <w:rFonts w:ascii="Arial" w:hAnsi="Arial" w:cs="Arial"/>
          <w:sz w:val="20"/>
        </w:rPr>
        <w:t>spected lower GI cancer in 2009.</w:t>
      </w:r>
      <w:r>
        <w:rPr>
          <w:rFonts w:ascii="Arial" w:hAnsi="Arial" w:cs="Arial"/>
          <w:sz w:val="20"/>
        </w:rPr>
        <w:t xml:space="preserve"> </w:t>
      </w:r>
      <w:r w:rsidR="00E85F9F">
        <w:rPr>
          <w:rFonts w:ascii="Arial" w:hAnsi="Arial" w:cs="Arial"/>
          <w:sz w:val="20"/>
        </w:rPr>
        <w:t xml:space="preserve">A further eighteen practices </w:t>
      </w:r>
      <w:r w:rsidR="001806E6">
        <w:rPr>
          <w:rFonts w:ascii="Arial" w:hAnsi="Arial" w:cs="Arial"/>
          <w:sz w:val="20"/>
        </w:rPr>
        <w:t>recorded less than five referrals. These practices are not feature</w:t>
      </w:r>
      <w:r w:rsidR="00EB4AE8">
        <w:rPr>
          <w:rFonts w:ascii="Arial" w:hAnsi="Arial" w:cs="Arial"/>
          <w:sz w:val="20"/>
        </w:rPr>
        <w:t>d</w:t>
      </w:r>
      <w:r w:rsidR="001806E6">
        <w:rPr>
          <w:rFonts w:ascii="Arial" w:hAnsi="Arial" w:cs="Arial"/>
          <w:sz w:val="20"/>
        </w:rPr>
        <w:t xml:space="preserve"> in </w:t>
      </w:r>
      <w:fldSimple w:instr=" REF _Ref275509525 \h  \* MERGEFORMAT ">
        <w:r w:rsidR="004E6A50" w:rsidRPr="004E6A50">
          <w:rPr>
            <w:rFonts w:ascii="Arial" w:hAnsi="Arial" w:cs="Arial"/>
            <w:sz w:val="20"/>
            <w:szCs w:val="20"/>
          </w:rPr>
          <w:t xml:space="preserve">Figure </w:t>
        </w:r>
        <w:r w:rsidR="004E6A50" w:rsidRPr="004E6A50">
          <w:rPr>
            <w:rFonts w:ascii="Arial" w:hAnsi="Arial" w:cs="Arial"/>
            <w:noProof/>
            <w:sz w:val="20"/>
            <w:szCs w:val="20"/>
          </w:rPr>
          <w:t>32</w:t>
        </w:r>
      </w:fldSimple>
      <w:r w:rsidR="001806E6" w:rsidRPr="001806E6">
        <w:rPr>
          <w:rFonts w:ascii="Arial" w:hAnsi="Arial" w:cs="Arial"/>
          <w:sz w:val="20"/>
          <w:szCs w:val="20"/>
        </w:rPr>
        <w:t>.</w:t>
      </w:r>
      <w:r w:rsidR="00C62008">
        <w:rPr>
          <w:rFonts w:ascii="Arial" w:hAnsi="Arial" w:cs="Arial"/>
          <w:sz w:val="20"/>
        </w:rPr>
        <w:t xml:space="preserve"> No GP practice records a referral rate significantly below the PCT average.</w:t>
      </w:r>
    </w:p>
    <w:p w:rsidR="000A548E" w:rsidRDefault="000A548E" w:rsidP="007309C1">
      <w:pPr>
        <w:pStyle w:val="Heading3"/>
        <w:numPr>
          <w:ilvl w:val="2"/>
          <w:numId w:val="1"/>
        </w:numPr>
        <w:spacing w:before="0" w:after="240"/>
        <w:rPr>
          <w:rFonts w:ascii="Arial" w:hAnsi="Arial" w:cs="Arial"/>
          <w:color w:val="auto"/>
          <w:sz w:val="20"/>
        </w:rPr>
      </w:pPr>
      <w:bookmarkStart w:id="92" w:name="_Toc275517938"/>
      <w:bookmarkStart w:id="93" w:name="_Toc276037862"/>
      <w:r>
        <w:rPr>
          <w:rFonts w:ascii="Arial" w:hAnsi="Arial" w:cs="Arial"/>
          <w:color w:val="auto"/>
          <w:sz w:val="20"/>
        </w:rPr>
        <w:t>Kingston</w:t>
      </w:r>
      <w:bookmarkEnd w:id="92"/>
      <w:bookmarkEnd w:id="93"/>
    </w:p>
    <w:p w:rsidR="000A548E" w:rsidRDefault="00D90D85" w:rsidP="000A548E">
      <w:pPr>
        <w:rPr>
          <w:rFonts w:ascii="Arial" w:hAnsi="Arial" w:cs="Arial"/>
          <w:sz w:val="20"/>
        </w:rPr>
      </w:pPr>
      <w:r>
        <w:rPr>
          <w:rFonts w:ascii="Arial" w:hAnsi="Arial" w:cs="Arial"/>
          <w:sz w:val="20"/>
        </w:rPr>
        <w:t>Two</w:t>
      </w:r>
      <w:r w:rsidR="000A548E">
        <w:rPr>
          <w:rFonts w:ascii="Arial" w:hAnsi="Arial" w:cs="Arial"/>
          <w:sz w:val="20"/>
        </w:rPr>
        <w:t xml:space="preserve"> GP practices in Kingston record a suspected </w:t>
      </w:r>
      <w:r w:rsidR="006672E1">
        <w:rPr>
          <w:rFonts w:ascii="Arial" w:hAnsi="Arial" w:cs="Arial"/>
          <w:sz w:val="20"/>
        </w:rPr>
        <w:t>lower GI</w:t>
      </w:r>
      <w:r w:rsidR="000A548E">
        <w:rPr>
          <w:rFonts w:ascii="Arial" w:hAnsi="Arial" w:cs="Arial"/>
          <w:sz w:val="20"/>
        </w:rPr>
        <w:t xml:space="preserve"> cancer referral rate that is significantly higher than the PCT average</w:t>
      </w:r>
      <w:r w:rsidR="00C3228B">
        <w:rPr>
          <w:rFonts w:ascii="Arial" w:hAnsi="Arial" w:cs="Arial"/>
          <w:sz w:val="20"/>
        </w:rPr>
        <w:t xml:space="preserve">. These two GP practices </w:t>
      </w:r>
      <w:r w:rsidR="00ED74A6">
        <w:rPr>
          <w:rFonts w:ascii="Arial" w:hAnsi="Arial" w:cs="Arial"/>
          <w:sz w:val="20"/>
        </w:rPr>
        <w:t>are</w:t>
      </w:r>
      <w:r w:rsidR="00C3228B">
        <w:rPr>
          <w:rFonts w:ascii="Arial" w:hAnsi="Arial" w:cs="Arial"/>
          <w:sz w:val="20"/>
        </w:rPr>
        <w:t xml:space="preserve"> </w:t>
      </w:r>
      <w:r w:rsidR="00C3228B" w:rsidRPr="00C3228B">
        <w:rPr>
          <w:rFonts w:ascii="Arial" w:hAnsi="Arial" w:cs="Arial"/>
          <w:sz w:val="20"/>
        </w:rPr>
        <w:t>H84008</w:t>
      </w:r>
      <w:r>
        <w:rPr>
          <w:rFonts w:ascii="Arial" w:hAnsi="Arial" w:cs="Arial"/>
          <w:sz w:val="20"/>
        </w:rPr>
        <w:t xml:space="preserve"> and</w:t>
      </w:r>
      <w:r w:rsidR="00C3228B">
        <w:rPr>
          <w:rFonts w:ascii="Arial" w:hAnsi="Arial" w:cs="Arial"/>
          <w:sz w:val="20"/>
        </w:rPr>
        <w:t xml:space="preserve"> </w:t>
      </w:r>
      <w:r w:rsidR="00C3228B" w:rsidRPr="00C3228B">
        <w:rPr>
          <w:rFonts w:ascii="Arial" w:hAnsi="Arial" w:cs="Arial"/>
          <w:sz w:val="20"/>
        </w:rPr>
        <w:t>H84034</w:t>
      </w:r>
      <w:r w:rsidR="00C3228B">
        <w:rPr>
          <w:rFonts w:ascii="Arial" w:hAnsi="Arial" w:cs="Arial"/>
          <w:sz w:val="20"/>
        </w:rPr>
        <w:t>. The PCT average rate i</w:t>
      </w:r>
      <w:r w:rsidR="000A548E">
        <w:rPr>
          <w:rFonts w:ascii="Arial" w:hAnsi="Arial" w:cs="Arial"/>
          <w:sz w:val="20"/>
        </w:rPr>
        <w:t xml:space="preserve">s </w:t>
      </w:r>
      <w:r w:rsidR="006672E1">
        <w:rPr>
          <w:rFonts w:ascii="Arial" w:hAnsi="Arial" w:cs="Arial"/>
          <w:sz w:val="20"/>
        </w:rPr>
        <w:t>206.90</w:t>
      </w:r>
      <w:r w:rsidR="000A548E">
        <w:rPr>
          <w:rFonts w:ascii="Arial" w:hAnsi="Arial" w:cs="Arial"/>
          <w:sz w:val="20"/>
        </w:rPr>
        <w:t xml:space="preserve"> per 100,000 </w:t>
      </w:r>
      <w:proofErr w:type="gramStart"/>
      <w:r w:rsidR="000A548E">
        <w:rPr>
          <w:rFonts w:ascii="Arial" w:hAnsi="Arial" w:cs="Arial"/>
          <w:sz w:val="20"/>
        </w:rPr>
        <w:t>population</w:t>
      </w:r>
      <w:proofErr w:type="gramEnd"/>
      <w:r w:rsidR="000A548E">
        <w:rPr>
          <w:rFonts w:ascii="Arial" w:hAnsi="Arial" w:cs="Arial"/>
          <w:sz w:val="20"/>
        </w:rPr>
        <w:t xml:space="preserve"> (95%CI </w:t>
      </w:r>
      <w:r w:rsidR="006672E1">
        <w:rPr>
          <w:rFonts w:ascii="Arial" w:hAnsi="Arial" w:cs="Arial"/>
          <w:sz w:val="20"/>
        </w:rPr>
        <w:t>185.39</w:t>
      </w:r>
      <w:r w:rsidR="000A548E">
        <w:rPr>
          <w:rFonts w:ascii="Arial" w:hAnsi="Arial" w:cs="Arial"/>
          <w:sz w:val="20"/>
        </w:rPr>
        <w:t xml:space="preserve"> – </w:t>
      </w:r>
      <w:r w:rsidR="006672E1">
        <w:rPr>
          <w:rFonts w:ascii="Arial" w:hAnsi="Arial" w:cs="Arial"/>
          <w:sz w:val="20"/>
        </w:rPr>
        <w:t>230.21</w:t>
      </w:r>
      <w:r w:rsidR="000A548E">
        <w:rPr>
          <w:rFonts w:ascii="Arial" w:hAnsi="Arial" w:cs="Arial"/>
          <w:sz w:val="20"/>
        </w:rPr>
        <w:t xml:space="preserve">) </w:t>
      </w:r>
      <w:r w:rsidR="000A548E" w:rsidRPr="002D43BC">
        <w:rPr>
          <w:rFonts w:ascii="Arial" w:hAnsi="Arial" w:cs="Arial"/>
          <w:sz w:val="20"/>
          <w:szCs w:val="20"/>
        </w:rPr>
        <w:t>(</w:t>
      </w:r>
      <w:fldSimple w:instr=" REF _Ref275509848 \h  \* MERGEFORMAT ">
        <w:r w:rsidR="004E6A50" w:rsidRPr="004E6A50">
          <w:rPr>
            <w:rFonts w:ascii="Arial" w:hAnsi="Arial" w:cs="Arial"/>
            <w:sz w:val="20"/>
            <w:szCs w:val="20"/>
          </w:rPr>
          <w:t xml:space="preserve">Figure </w:t>
        </w:r>
        <w:r w:rsidR="004E6A50" w:rsidRPr="004E6A50">
          <w:rPr>
            <w:rFonts w:ascii="Arial" w:hAnsi="Arial" w:cs="Arial"/>
            <w:noProof/>
            <w:sz w:val="20"/>
            <w:szCs w:val="20"/>
          </w:rPr>
          <w:t>33</w:t>
        </w:r>
      </w:fldSimple>
      <w:r w:rsidR="000A548E">
        <w:rPr>
          <w:rFonts w:ascii="Arial" w:hAnsi="Arial" w:cs="Arial"/>
          <w:sz w:val="20"/>
        </w:rPr>
        <w:t>).</w:t>
      </w:r>
      <w:r w:rsidR="006672E1">
        <w:rPr>
          <w:rFonts w:ascii="Arial" w:hAnsi="Arial" w:cs="Arial"/>
          <w:sz w:val="20"/>
        </w:rPr>
        <w:t xml:space="preserve"> </w:t>
      </w:r>
      <w:r w:rsidR="00C3228B">
        <w:rPr>
          <w:rFonts w:ascii="Arial" w:hAnsi="Arial" w:cs="Arial"/>
          <w:sz w:val="20"/>
        </w:rPr>
        <w:t>Two GP</w:t>
      </w:r>
      <w:r w:rsidR="000A548E">
        <w:rPr>
          <w:rFonts w:ascii="Arial" w:hAnsi="Arial" w:cs="Arial"/>
          <w:sz w:val="20"/>
        </w:rPr>
        <w:t xml:space="preserve"> practices </w:t>
      </w:r>
      <w:r w:rsidR="006672E1" w:rsidRPr="006672E1">
        <w:rPr>
          <w:rFonts w:ascii="Arial" w:hAnsi="Arial" w:cs="Arial"/>
          <w:sz w:val="20"/>
        </w:rPr>
        <w:t>H84008</w:t>
      </w:r>
      <w:r w:rsidR="006672E1">
        <w:rPr>
          <w:rFonts w:ascii="Arial" w:hAnsi="Arial" w:cs="Arial"/>
          <w:sz w:val="20"/>
        </w:rPr>
        <w:t xml:space="preserve"> and </w:t>
      </w:r>
      <w:r w:rsidR="006672E1" w:rsidRPr="006672E1">
        <w:rPr>
          <w:rFonts w:ascii="Arial" w:hAnsi="Arial" w:cs="Arial"/>
          <w:sz w:val="20"/>
        </w:rPr>
        <w:t>H84034</w:t>
      </w:r>
      <w:r w:rsidR="006672E1">
        <w:rPr>
          <w:rFonts w:ascii="Arial" w:hAnsi="Arial" w:cs="Arial"/>
          <w:sz w:val="20"/>
        </w:rPr>
        <w:t xml:space="preserve">, stand out from the other GPs in Kingston with much higher </w:t>
      </w:r>
      <w:r w:rsidR="00C3228B">
        <w:rPr>
          <w:rFonts w:ascii="Arial" w:hAnsi="Arial" w:cs="Arial"/>
          <w:sz w:val="20"/>
        </w:rPr>
        <w:t xml:space="preserve">referral </w:t>
      </w:r>
      <w:r w:rsidR="006672E1">
        <w:rPr>
          <w:rFonts w:ascii="Arial" w:hAnsi="Arial" w:cs="Arial"/>
          <w:sz w:val="20"/>
        </w:rPr>
        <w:t>rates at 780.94 per 100,000 population (95%CI 557.85 – 1063.46) and 540.54 per 100,000 (391.15 – 728.13) respectively</w:t>
      </w:r>
      <w:r w:rsidR="000A548E">
        <w:rPr>
          <w:rFonts w:ascii="Arial" w:hAnsi="Arial" w:cs="Arial"/>
          <w:sz w:val="20"/>
        </w:rPr>
        <w:t xml:space="preserve">. </w:t>
      </w:r>
    </w:p>
    <w:p w:rsidR="000A548E" w:rsidRPr="00253BB4" w:rsidRDefault="000A548E" w:rsidP="000A548E">
      <w:pPr>
        <w:pStyle w:val="Caption"/>
        <w:spacing w:after="0"/>
        <w:rPr>
          <w:rFonts w:ascii="Arial" w:hAnsi="Arial" w:cs="Arial"/>
          <w:color w:val="auto"/>
          <w:sz w:val="20"/>
        </w:rPr>
      </w:pPr>
      <w:bookmarkStart w:id="94" w:name="_Ref275509848"/>
      <w:r w:rsidRPr="00253BB4">
        <w:rPr>
          <w:rFonts w:ascii="Arial" w:hAnsi="Arial" w:cs="Arial"/>
          <w:color w:val="auto"/>
        </w:rPr>
        <w:t xml:space="preserve">Figure </w:t>
      </w:r>
      <w:r w:rsidR="00AF55AD" w:rsidRPr="00253BB4">
        <w:rPr>
          <w:rFonts w:ascii="Arial" w:hAnsi="Arial" w:cs="Arial"/>
          <w:color w:val="auto"/>
        </w:rPr>
        <w:fldChar w:fldCharType="begin"/>
      </w:r>
      <w:r w:rsidRPr="00253BB4">
        <w:rPr>
          <w:rFonts w:ascii="Arial" w:hAnsi="Arial" w:cs="Arial"/>
          <w:color w:val="auto"/>
        </w:rPr>
        <w:instrText xml:space="preserve"> SEQ Figure \* ARABIC </w:instrText>
      </w:r>
      <w:r w:rsidR="00AF55AD" w:rsidRPr="00253BB4">
        <w:rPr>
          <w:rFonts w:ascii="Arial" w:hAnsi="Arial" w:cs="Arial"/>
          <w:color w:val="auto"/>
        </w:rPr>
        <w:fldChar w:fldCharType="separate"/>
      </w:r>
      <w:r w:rsidR="004E6A50">
        <w:rPr>
          <w:rFonts w:ascii="Arial" w:hAnsi="Arial" w:cs="Arial"/>
          <w:noProof/>
          <w:color w:val="auto"/>
        </w:rPr>
        <w:t>33</w:t>
      </w:r>
      <w:r w:rsidR="00AF55AD" w:rsidRPr="00253BB4">
        <w:rPr>
          <w:rFonts w:ascii="Arial" w:hAnsi="Arial" w:cs="Arial"/>
          <w:color w:val="auto"/>
        </w:rPr>
        <w:fldChar w:fldCharType="end"/>
      </w:r>
      <w:bookmarkEnd w:id="94"/>
      <w:r w:rsidRPr="00253BB4">
        <w:rPr>
          <w:rFonts w:ascii="Arial" w:hAnsi="Arial" w:cs="Arial"/>
          <w:color w:val="auto"/>
        </w:rPr>
        <w:t xml:space="preserve">: </w:t>
      </w:r>
      <w:r>
        <w:rPr>
          <w:rFonts w:ascii="Arial" w:hAnsi="Arial" w:cs="Arial"/>
          <w:color w:val="auto"/>
        </w:rPr>
        <w:t>Kingston u</w:t>
      </w:r>
      <w:r w:rsidRPr="00253BB4">
        <w:rPr>
          <w:rFonts w:ascii="Arial" w:hAnsi="Arial" w:cs="Arial"/>
          <w:color w:val="auto"/>
        </w:rPr>
        <w:t xml:space="preserve">rgent 2WW referrals with suspected </w:t>
      </w:r>
      <w:r>
        <w:rPr>
          <w:rFonts w:ascii="Arial" w:hAnsi="Arial" w:cs="Arial"/>
          <w:color w:val="auto"/>
        </w:rPr>
        <w:t>lower GI</w:t>
      </w:r>
      <w:r w:rsidRPr="00253BB4">
        <w:rPr>
          <w:rFonts w:ascii="Arial" w:hAnsi="Arial" w:cs="Arial"/>
          <w:color w:val="auto"/>
        </w:rPr>
        <w:t xml:space="preserve"> cancer, crude rate per 100,000 </w:t>
      </w:r>
      <w:proofErr w:type="gramStart"/>
      <w:r w:rsidRPr="00253BB4">
        <w:rPr>
          <w:rFonts w:ascii="Arial" w:hAnsi="Arial" w:cs="Arial"/>
          <w:color w:val="auto"/>
        </w:rPr>
        <w:t>population</w:t>
      </w:r>
      <w:proofErr w:type="gramEnd"/>
      <w:r w:rsidRPr="00253BB4">
        <w:rPr>
          <w:rFonts w:ascii="Arial" w:hAnsi="Arial" w:cs="Arial"/>
          <w:color w:val="auto"/>
        </w:rPr>
        <w:t>.</w:t>
      </w:r>
    </w:p>
    <w:p w:rsidR="000A548E" w:rsidRDefault="00D90D85" w:rsidP="000A548E">
      <w:pPr>
        <w:spacing w:after="0"/>
        <w:ind w:left="-567"/>
        <w:rPr>
          <w:rFonts w:ascii="Arial" w:hAnsi="Arial" w:cs="Arial"/>
          <w:sz w:val="20"/>
        </w:rPr>
      </w:pPr>
      <w:r w:rsidRPr="00D90D85">
        <w:rPr>
          <w:rFonts w:ascii="Arial" w:hAnsi="Arial" w:cs="Arial"/>
          <w:noProof/>
          <w:sz w:val="20"/>
          <w:lang w:val="en-US"/>
        </w:rPr>
        <w:drawing>
          <wp:inline distT="0" distB="0" distL="0" distR="0">
            <wp:extent cx="6629400" cy="2295525"/>
            <wp:effectExtent l="19050" t="0" r="19050" b="0"/>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0A548E" w:rsidRDefault="000A548E" w:rsidP="000A548E">
      <w:pPr>
        <w:autoSpaceDE w:val="0"/>
        <w:autoSpaceDN w:val="0"/>
        <w:adjustRightInd w:val="0"/>
        <w:spacing w:line="240" w:lineRule="auto"/>
        <w:rPr>
          <w:rFonts w:ascii="Arial" w:hAnsi="Arial" w:cs="Arial"/>
          <w:b/>
          <w:sz w:val="16"/>
          <w:szCs w:val="16"/>
        </w:rPr>
      </w:pPr>
      <w:r>
        <w:rPr>
          <w:rFonts w:ascii="Arial" w:hAnsi="Arial" w:cs="Arial"/>
          <w:b/>
          <w:sz w:val="16"/>
          <w:szCs w:val="16"/>
        </w:rPr>
        <w:t>Source: Practice Profiles, NHS Cancer Commissioning Toolkit.</w:t>
      </w:r>
    </w:p>
    <w:p w:rsidR="000A548E" w:rsidRDefault="00C765CE" w:rsidP="000A548E">
      <w:pPr>
        <w:rPr>
          <w:rFonts w:ascii="Arial" w:hAnsi="Arial" w:cs="Arial"/>
          <w:sz w:val="20"/>
        </w:rPr>
      </w:pPr>
      <w:r>
        <w:rPr>
          <w:rFonts w:ascii="Arial" w:hAnsi="Arial" w:cs="Arial"/>
          <w:sz w:val="20"/>
        </w:rPr>
        <w:t xml:space="preserve">The lowest referral rate was 81.39 per 100,000 </w:t>
      </w:r>
      <w:proofErr w:type="gramStart"/>
      <w:r>
        <w:rPr>
          <w:rFonts w:ascii="Arial" w:hAnsi="Arial" w:cs="Arial"/>
          <w:sz w:val="20"/>
        </w:rPr>
        <w:t>population</w:t>
      </w:r>
      <w:proofErr w:type="gramEnd"/>
      <w:r>
        <w:rPr>
          <w:rFonts w:ascii="Arial" w:hAnsi="Arial" w:cs="Arial"/>
          <w:sz w:val="20"/>
        </w:rPr>
        <w:t xml:space="preserve"> (95%CI 46.49 – 132.18) at practice </w:t>
      </w:r>
      <w:r w:rsidR="006672E1" w:rsidRPr="006672E1">
        <w:rPr>
          <w:rFonts w:ascii="Arial" w:hAnsi="Arial" w:cs="Arial"/>
          <w:sz w:val="20"/>
        </w:rPr>
        <w:t>H84020</w:t>
      </w:r>
      <w:r>
        <w:rPr>
          <w:rFonts w:ascii="Arial" w:hAnsi="Arial" w:cs="Arial"/>
          <w:sz w:val="20"/>
        </w:rPr>
        <w:t xml:space="preserve">. This is the only GP practice in Kingston </w:t>
      </w:r>
      <w:r w:rsidR="000A548E">
        <w:rPr>
          <w:rFonts w:ascii="Arial" w:hAnsi="Arial" w:cs="Arial"/>
          <w:sz w:val="20"/>
        </w:rPr>
        <w:t>record</w:t>
      </w:r>
      <w:r>
        <w:rPr>
          <w:rFonts w:ascii="Arial" w:hAnsi="Arial" w:cs="Arial"/>
          <w:sz w:val="20"/>
        </w:rPr>
        <w:t>ing</w:t>
      </w:r>
      <w:r w:rsidR="000A548E">
        <w:rPr>
          <w:rFonts w:ascii="Arial" w:hAnsi="Arial" w:cs="Arial"/>
          <w:sz w:val="20"/>
        </w:rPr>
        <w:t xml:space="preserve"> </w:t>
      </w:r>
      <w:r w:rsidR="006672E1">
        <w:rPr>
          <w:rFonts w:ascii="Arial" w:hAnsi="Arial" w:cs="Arial"/>
          <w:sz w:val="20"/>
        </w:rPr>
        <w:t xml:space="preserve">a </w:t>
      </w:r>
      <w:r w:rsidR="000A548E">
        <w:rPr>
          <w:rFonts w:ascii="Arial" w:hAnsi="Arial" w:cs="Arial"/>
          <w:sz w:val="20"/>
        </w:rPr>
        <w:t>rate significantly below the PCT average.</w:t>
      </w:r>
      <w:r w:rsidR="006672E1">
        <w:rPr>
          <w:rFonts w:ascii="Arial" w:hAnsi="Arial" w:cs="Arial"/>
          <w:sz w:val="20"/>
        </w:rPr>
        <w:t xml:space="preserve"> </w:t>
      </w:r>
      <w:r w:rsidR="00350D2E">
        <w:rPr>
          <w:rFonts w:ascii="Arial" w:hAnsi="Arial" w:cs="Arial"/>
          <w:sz w:val="20"/>
        </w:rPr>
        <w:t>One GP practice records no referrals while another two record less than 5 referrals for the whole of 2009.</w:t>
      </w:r>
    </w:p>
    <w:p w:rsidR="006672E1" w:rsidRDefault="006672E1" w:rsidP="007309C1">
      <w:pPr>
        <w:pStyle w:val="Heading3"/>
        <w:numPr>
          <w:ilvl w:val="2"/>
          <w:numId w:val="1"/>
        </w:numPr>
        <w:spacing w:before="0" w:after="240"/>
        <w:rPr>
          <w:rFonts w:ascii="Arial" w:hAnsi="Arial" w:cs="Arial"/>
          <w:color w:val="auto"/>
          <w:sz w:val="20"/>
        </w:rPr>
      </w:pPr>
      <w:bookmarkStart w:id="95" w:name="_Toc275517939"/>
      <w:bookmarkStart w:id="96" w:name="_Toc276037863"/>
      <w:r>
        <w:rPr>
          <w:rFonts w:ascii="Arial" w:hAnsi="Arial" w:cs="Arial"/>
          <w:color w:val="auto"/>
          <w:sz w:val="20"/>
        </w:rPr>
        <w:t>Richmond &amp; Twickenham</w:t>
      </w:r>
      <w:bookmarkEnd w:id="95"/>
      <w:bookmarkEnd w:id="96"/>
    </w:p>
    <w:p w:rsidR="006672E1" w:rsidRPr="00AC262C" w:rsidRDefault="006672E1" w:rsidP="006672E1">
      <w:pPr>
        <w:rPr>
          <w:rFonts w:ascii="Arial" w:hAnsi="Arial" w:cs="Arial"/>
          <w:sz w:val="20"/>
        </w:rPr>
      </w:pPr>
      <w:r>
        <w:rPr>
          <w:rFonts w:ascii="Arial" w:hAnsi="Arial" w:cs="Arial"/>
          <w:sz w:val="20"/>
        </w:rPr>
        <w:t xml:space="preserve">The average 2WW crude referral rate in Richmond &amp; Twickenham for 2009 was 205.55 per 100,000 </w:t>
      </w:r>
      <w:proofErr w:type="gramStart"/>
      <w:r>
        <w:rPr>
          <w:rFonts w:ascii="Arial" w:hAnsi="Arial" w:cs="Arial"/>
          <w:sz w:val="20"/>
        </w:rPr>
        <w:t>population</w:t>
      </w:r>
      <w:proofErr w:type="gramEnd"/>
      <w:r>
        <w:rPr>
          <w:rFonts w:ascii="Arial" w:hAnsi="Arial" w:cs="Arial"/>
          <w:sz w:val="20"/>
        </w:rPr>
        <w:t xml:space="preserve"> (95%CI 186.02 – 226.58) (</w:t>
      </w:r>
      <w:fldSimple w:instr=" REF _Ref275511025 \h  \* MERGEFORMAT ">
        <w:r w:rsidR="004E6A50" w:rsidRPr="004E6A50">
          <w:rPr>
            <w:rFonts w:ascii="Arial" w:hAnsi="Arial" w:cs="Arial"/>
            <w:sz w:val="20"/>
            <w:szCs w:val="20"/>
          </w:rPr>
          <w:t xml:space="preserve">Figure </w:t>
        </w:r>
        <w:r w:rsidR="004E6A50" w:rsidRPr="004E6A50">
          <w:rPr>
            <w:rFonts w:ascii="Arial" w:hAnsi="Arial" w:cs="Arial"/>
            <w:noProof/>
            <w:sz w:val="20"/>
            <w:szCs w:val="20"/>
          </w:rPr>
          <w:t>34</w:t>
        </w:r>
      </w:fldSimple>
      <w:r>
        <w:rPr>
          <w:rFonts w:ascii="Arial" w:hAnsi="Arial" w:cs="Arial"/>
          <w:sz w:val="20"/>
        </w:rPr>
        <w:t xml:space="preserve">). </w:t>
      </w:r>
      <w:r w:rsidR="005931DB">
        <w:rPr>
          <w:rFonts w:ascii="Arial" w:hAnsi="Arial" w:cs="Arial"/>
          <w:sz w:val="20"/>
        </w:rPr>
        <w:t>Three</w:t>
      </w:r>
      <w:r>
        <w:rPr>
          <w:rFonts w:ascii="Arial" w:hAnsi="Arial" w:cs="Arial"/>
          <w:sz w:val="20"/>
        </w:rPr>
        <w:t xml:space="preserve"> GP practices, </w:t>
      </w:r>
      <w:r w:rsidR="005931DB" w:rsidRPr="005931DB">
        <w:rPr>
          <w:rFonts w:ascii="Arial" w:hAnsi="Arial" w:cs="Arial"/>
          <w:sz w:val="20"/>
        </w:rPr>
        <w:t>H84615</w:t>
      </w:r>
      <w:r w:rsidR="005931DB">
        <w:rPr>
          <w:rFonts w:ascii="Arial" w:hAnsi="Arial" w:cs="Arial"/>
          <w:sz w:val="20"/>
        </w:rPr>
        <w:t xml:space="preserve">, </w:t>
      </w:r>
      <w:r w:rsidR="005931DB" w:rsidRPr="005931DB">
        <w:rPr>
          <w:rFonts w:ascii="Arial" w:hAnsi="Arial" w:cs="Arial"/>
          <w:sz w:val="20"/>
        </w:rPr>
        <w:t>H84007</w:t>
      </w:r>
      <w:r w:rsidR="005931DB">
        <w:rPr>
          <w:rFonts w:ascii="Arial" w:hAnsi="Arial" w:cs="Arial"/>
          <w:sz w:val="20"/>
        </w:rPr>
        <w:t xml:space="preserve"> </w:t>
      </w:r>
      <w:r>
        <w:rPr>
          <w:rFonts w:ascii="Arial" w:hAnsi="Arial" w:cs="Arial"/>
          <w:sz w:val="20"/>
        </w:rPr>
        <w:t xml:space="preserve">and </w:t>
      </w:r>
      <w:r w:rsidR="005931DB" w:rsidRPr="005931DB">
        <w:rPr>
          <w:rFonts w:ascii="Arial" w:hAnsi="Arial" w:cs="Arial"/>
          <w:sz w:val="20"/>
        </w:rPr>
        <w:t>H84623</w:t>
      </w:r>
      <w:r>
        <w:rPr>
          <w:rFonts w:ascii="Arial" w:hAnsi="Arial" w:cs="Arial"/>
          <w:sz w:val="20"/>
        </w:rPr>
        <w:t xml:space="preserve">, record a referral rate that is significantly higher than the PCT average. The highest referral rate is </w:t>
      </w:r>
      <w:r w:rsidR="005931DB">
        <w:rPr>
          <w:rFonts w:ascii="Arial" w:hAnsi="Arial" w:cs="Arial"/>
          <w:sz w:val="20"/>
        </w:rPr>
        <w:t>713.21</w:t>
      </w:r>
      <w:r>
        <w:rPr>
          <w:rFonts w:ascii="Arial" w:hAnsi="Arial" w:cs="Arial"/>
          <w:sz w:val="20"/>
        </w:rPr>
        <w:t xml:space="preserve"> per 100,000 </w:t>
      </w:r>
      <w:proofErr w:type="gramStart"/>
      <w:r>
        <w:rPr>
          <w:rFonts w:ascii="Arial" w:hAnsi="Arial" w:cs="Arial"/>
          <w:sz w:val="20"/>
        </w:rPr>
        <w:t>population</w:t>
      </w:r>
      <w:proofErr w:type="gramEnd"/>
      <w:r>
        <w:rPr>
          <w:rFonts w:ascii="Arial" w:hAnsi="Arial" w:cs="Arial"/>
          <w:sz w:val="20"/>
        </w:rPr>
        <w:t xml:space="preserve"> (95%CI </w:t>
      </w:r>
      <w:r w:rsidR="005931DB">
        <w:rPr>
          <w:rFonts w:ascii="Arial" w:hAnsi="Arial" w:cs="Arial"/>
          <w:sz w:val="20"/>
        </w:rPr>
        <w:t>429.20</w:t>
      </w:r>
      <w:r>
        <w:rPr>
          <w:rFonts w:ascii="Arial" w:hAnsi="Arial" w:cs="Arial"/>
          <w:sz w:val="20"/>
        </w:rPr>
        <w:t xml:space="preserve"> – </w:t>
      </w:r>
      <w:r w:rsidR="005931DB">
        <w:rPr>
          <w:rFonts w:ascii="Arial" w:hAnsi="Arial" w:cs="Arial"/>
          <w:sz w:val="20"/>
        </w:rPr>
        <w:t>1113.83</w:t>
      </w:r>
      <w:r>
        <w:rPr>
          <w:rFonts w:ascii="Arial" w:hAnsi="Arial" w:cs="Arial"/>
          <w:sz w:val="20"/>
        </w:rPr>
        <w:t xml:space="preserve">) at practice </w:t>
      </w:r>
      <w:r w:rsidR="005931DB" w:rsidRPr="005931DB">
        <w:rPr>
          <w:rFonts w:ascii="Arial" w:hAnsi="Arial" w:cs="Arial"/>
          <w:sz w:val="20"/>
        </w:rPr>
        <w:t>H84615</w:t>
      </w:r>
      <w:r>
        <w:rPr>
          <w:rFonts w:ascii="Arial" w:hAnsi="Arial" w:cs="Arial"/>
          <w:sz w:val="20"/>
        </w:rPr>
        <w:t>.</w:t>
      </w:r>
    </w:p>
    <w:p w:rsidR="006672E1" w:rsidRPr="00AC262C" w:rsidRDefault="006672E1" w:rsidP="006672E1">
      <w:pPr>
        <w:pStyle w:val="Caption"/>
        <w:spacing w:after="0"/>
        <w:rPr>
          <w:rFonts w:ascii="Arial" w:hAnsi="Arial" w:cs="Arial"/>
          <w:color w:val="auto"/>
        </w:rPr>
      </w:pPr>
      <w:bookmarkStart w:id="97" w:name="_Ref275511025"/>
      <w:r w:rsidRPr="00AC262C">
        <w:rPr>
          <w:rFonts w:ascii="Arial" w:hAnsi="Arial" w:cs="Arial"/>
          <w:color w:val="auto"/>
        </w:rPr>
        <w:t xml:space="preserve">Figure </w:t>
      </w:r>
      <w:r w:rsidR="00AF55AD" w:rsidRPr="00AC262C">
        <w:rPr>
          <w:rFonts w:ascii="Arial" w:hAnsi="Arial" w:cs="Arial"/>
          <w:color w:val="auto"/>
        </w:rPr>
        <w:fldChar w:fldCharType="begin"/>
      </w:r>
      <w:r w:rsidRPr="00AC262C">
        <w:rPr>
          <w:rFonts w:ascii="Arial" w:hAnsi="Arial" w:cs="Arial"/>
          <w:color w:val="auto"/>
        </w:rPr>
        <w:instrText xml:space="preserve"> SEQ Figure \* ARABIC </w:instrText>
      </w:r>
      <w:r w:rsidR="00AF55AD" w:rsidRPr="00AC262C">
        <w:rPr>
          <w:rFonts w:ascii="Arial" w:hAnsi="Arial" w:cs="Arial"/>
          <w:color w:val="auto"/>
        </w:rPr>
        <w:fldChar w:fldCharType="separate"/>
      </w:r>
      <w:r w:rsidR="004E6A50">
        <w:rPr>
          <w:rFonts w:ascii="Arial" w:hAnsi="Arial" w:cs="Arial"/>
          <w:noProof/>
          <w:color w:val="auto"/>
        </w:rPr>
        <w:t>34</w:t>
      </w:r>
      <w:r w:rsidR="00AF55AD" w:rsidRPr="00AC262C">
        <w:rPr>
          <w:rFonts w:ascii="Arial" w:hAnsi="Arial" w:cs="Arial"/>
          <w:color w:val="auto"/>
        </w:rPr>
        <w:fldChar w:fldCharType="end"/>
      </w:r>
      <w:bookmarkEnd w:id="97"/>
      <w:r>
        <w:rPr>
          <w:rFonts w:ascii="Arial" w:hAnsi="Arial" w:cs="Arial"/>
          <w:color w:val="auto"/>
        </w:rPr>
        <w:t>: Richmond &amp; Twickenham u</w:t>
      </w:r>
      <w:r w:rsidRPr="00AC262C">
        <w:rPr>
          <w:rFonts w:ascii="Arial" w:hAnsi="Arial" w:cs="Arial"/>
          <w:color w:val="auto"/>
        </w:rPr>
        <w:t xml:space="preserve">rgent 2WW referrals with suspected </w:t>
      </w:r>
      <w:r w:rsidR="005931DB">
        <w:rPr>
          <w:rFonts w:ascii="Arial" w:hAnsi="Arial" w:cs="Arial"/>
          <w:color w:val="auto"/>
        </w:rPr>
        <w:t>lower GI</w:t>
      </w:r>
      <w:r w:rsidRPr="00AC262C">
        <w:rPr>
          <w:rFonts w:ascii="Arial" w:hAnsi="Arial" w:cs="Arial"/>
          <w:color w:val="auto"/>
        </w:rPr>
        <w:t xml:space="preserve"> cancer, crude rate per 100,000</w:t>
      </w:r>
      <w:r>
        <w:rPr>
          <w:rFonts w:ascii="Arial" w:hAnsi="Arial" w:cs="Arial"/>
          <w:color w:val="auto"/>
        </w:rPr>
        <w:t xml:space="preserve"> </w:t>
      </w:r>
      <w:proofErr w:type="gramStart"/>
      <w:r>
        <w:rPr>
          <w:rFonts w:ascii="Arial" w:hAnsi="Arial" w:cs="Arial"/>
          <w:color w:val="auto"/>
        </w:rPr>
        <w:t>population</w:t>
      </w:r>
      <w:proofErr w:type="gramEnd"/>
      <w:r w:rsidRPr="00AC262C">
        <w:rPr>
          <w:rFonts w:ascii="Arial" w:hAnsi="Arial" w:cs="Arial"/>
          <w:color w:val="auto"/>
        </w:rPr>
        <w:t>.</w:t>
      </w:r>
    </w:p>
    <w:p w:rsidR="006672E1" w:rsidRDefault="00D90D85" w:rsidP="006672E1">
      <w:pPr>
        <w:spacing w:after="0"/>
        <w:ind w:left="-567"/>
      </w:pPr>
      <w:r w:rsidRPr="00D90D85">
        <w:rPr>
          <w:noProof/>
          <w:lang w:val="en-US"/>
        </w:rPr>
        <w:drawing>
          <wp:inline distT="0" distB="0" distL="0" distR="0">
            <wp:extent cx="6715125" cy="2219325"/>
            <wp:effectExtent l="19050" t="0" r="9525" b="0"/>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6672E1" w:rsidRDefault="006672E1" w:rsidP="006672E1">
      <w:pPr>
        <w:autoSpaceDE w:val="0"/>
        <w:autoSpaceDN w:val="0"/>
        <w:adjustRightInd w:val="0"/>
        <w:spacing w:line="240" w:lineRule="auto"/>
        <w:rPr>
          <w:rFonts w:ascii="Arial" w:hAnsi="Arial" w:cs="Arial"/>
          <w:b/>
          <w:sz w:val="16"/>
          <w:szCs w:val="16"/>
        </w:rPr>
      </w:pPr>
      <w:r>
        <w:rPr>
          <w:rFonts w:ascii="Arial" w:hAnsi="Arial" w:cs="Arial"/>
          <w:b/>
          <w:sz w:val="16"/>
          <w:szCs w:val="16"/>
        </w:rPr>
        <w:t>Source: Practice Profiles, NHS Cancer Commissioning Toolkit.</w:t>
      </w:r>
    </w:p>
    <w:p w:rsidR="006672E1" w:rsidRDefault="004B34D0" w:rsidP="006672E1">
      <w:pPr>
        <w:rPr>
          <w:rFonts w:ascii="Arial" w:hAnsi="Arial" w:cs="Arial"/>
          <w:sz w:val="20"/>
        </w:rPr>
      </w:pPr>
      <w:r>
        <w:rPr>
          <w:rFonts w:ascii="Arial" w:hAnsi="Arial" w:cs="Arial"/>
          <w:sz w:val="20"/>
        </w:rPr>
        <w:t>One GP practice</w:t>
      </w:r>
      <w:r w:rsidR="005931DB">
        <w:rPr>
          <w:rFonts w:ascii="Arial" w:hAnsi="Arial" w:cs="Arial"/>
          <w:sz w:val="20"/>
        </w:rPr>
        <w:t xml:space="preserve">, does not record any suspected lower GI cancer referrals for 2009. </w:t>
      </w:r>
      <w:r>
        <w:rPr>
          <w:rFonts w:ascii="Arial" w:hAnsi="Arial" w:cs="Arial"/>
          <w:sz w:val="20"/>
        </w:rPr>
        <w:t>A further six</w:t>
      </w:r>
      <w:r w:rsidR="006672E1">
        <w:rPr>
          <w:rFonts w:ascii="Arial" w:hAnsi="Arial" w:cs="Arial"/>
          <w:sz w:val="20"/>
        </w:rPr>
        <w:t xml:space="preserve"> GP practice</w:t>
      </w:r>
      <w:r w:rsidR="005931DB">
        <w:rPr>
          <w:rFonts w:ascii="Arial" w:hAnsi="Arial" w:cs="Arial"/>
          <w:sz w:val="20"/>
        </w:rPr>
        <w:t>s record</w:t>
      </w:r>
      <w:r w:rsidR="006672E1">
        <w:rPr>
          <w:rFonts w:ascii="Arial" w:hAnsi="Arial" w:cs="Arial"/>
          <w:sz w:val="20"/>
        </w:rPr>
        <w:t xml:space="preserve"> </w:t>
      </w:r>
      <w:r>
        <w:rPr>
          <w:rFonts w:ascii="Arial" w:hAnsi="Arial" w:cs="Arial"/>
          <w:sz w:val="20"/>
        </w:rPr>
        <w:t>le</w:t>
      </w:r>
      <w:r w:rsidR="00ED74A6">
        <w:rPr>
          <w:rFonts w:ascii="Arial" w:hAnsi="Arial" w:cs="Arial"/>
          <w:sz w:val="20"/>
        </w:rPr>
        <w:t>ss than 5 referrals in the year</w:t>
      </w:r>
      <w:r>
        <w:rPr>
          <w:rFonts w:ascii="Arial" w:hAnsi="Arial" w:cs="Arial"/>
          <w:sz w:val="20"/>
        </w:rPr>
        <w:t xml:space="preserve">. The lowest referral rate was 81.71 per 100,000 population (95%CI 35.18 – 161.01), </w:t>
      </w:r>
      <w:r w:rsidR="006672E1">
        <w:rPr>
          <w:rFonts w:ascii="Arial" w:hAnsi="Arial" w:cs="Arial"/>
          <w:sz w:val="20"/>
        </w:rPr>
        <w:t>a rate significantly below the PCT average</w:t>
      </w:r>
      <w:r>
        <w:rPr>
          <w:rFonts w:ascii="Arial" w:hAnsi="Arial" w:cs="Arial"/>
          <w:sz w:val="20"/>
        </w:rPr>
        <w:t>. T</w:t>
      </w:r>
      <w:r w:rsidR="005931DB">
        <w:rPr>
          <w:rFonts w:ascii="Arial" w:hAnsi="Arial" w:cs="Arial"/>
          <w:sz w:val="20"/>
        </w:rPr>
        <w:t xml:space="preserve">wo </w:t>
      </w:r>
      <w:r>
        <w:rPr>
          <w:rFonts w:ascii="Arial" w:hAnsi="Arial" w:cs="Arial"/>
          <w:sz w:val="20"/>
        </w:rPr>
        <w:t xml:space="preserve">other GP practices </w:t>
      </w:r>
      <w:r w:rsidR="000346DE">
        <w:rPr>
          <w:rFonts w:ascii="Arial" w:hAnsi="Arial" w:cs="Arial"/>
          <w:sz w:val="20"/>
        </w:rPr>
        <w:t>record suspected lower GI cancer referral rates significantly below the PCT average. The two practic</w:t>
      </w:r>
      <w:r w:rsidR="00B03EBC">
        <w:rPr>
          <w:rFonts w:ascii="Arial" w:hAnsi="Arial" w:cs="Arial"/>
          <w:sz w:val="20"/>
        </w:rPr>
        <w:t>es are</w:t>
      </w:r>
      <w:r w:rsidR="005931DB">
        <w:rPr>
          <w:rFonts w:ascii="Arial" w:hAnsi="Arial" w:cs="Arial"/>
          <w:sz w:val="20"/>
        </w:rPr>
        <w:t xml:space="preserve"> </w:t>
      </w:r>
      <w:r w:rsidR="005931DB" w:rsidRPr="005931DB">
        <w:rPr>
          <w:rFonts w:ascii="Arial" w:hAnsi="Arial" w:cs="Arial"/>
          <w:sz w:val="20"/>
        </w:rPr>
        <w:t>H84005</w:t>
      </w:r>
      <w:r w:rsidR="005931DB">
        <w:rPr>
          <w:rFonts w:ascii="Arial" w:hAnsi="Arial" w:cs="Arial"/>
          <w:sz w:val="20"/>
        </w:rPr>
        <w:t xml:space="preserve"> and </w:t>
      </w:r>
      <w:r w:rsidR="005931DB" w:rsidRPr="005931DB">
        <w:rPr>
          <w:rFonts w:ascii="Arial" w:hAnsi="Arial" w:cs="Arial"/>
          <w:sz w:val="20"/>
        </w:rPr>
        <w:t>H84023</w:t>
      </w:r>
      <w:r w:rsidR="005931DB">
        <w:rPr>
          <w:rFonts w:ascii="Arial" w:hAnsi="Arial" w:cs="Arial"/>
          <w:sz w:val="20"/>
        </w:rPr>
        <w:t>.</w:t>
      </w:r>
      <w:r w:rsidR="006672E1">
        <w:rPr>
          <w:rFonts w:ascii="Arial" w:hAnsi="Arial" w:cs="Arial"/>
          <w:sz w:val="20"/>
        </w:rPr>
        <w:t xml:space="preserve"> </w:t>
      </w:r>
    </w:p>
    <w:p w:rsidR="001F2601" w:rsidRDefault="001F2601" w:rsidP="007309C1">
      <w:pPr>
        <w:pStyle w:val="Heading3"/>
        <w:numPr>
          <w:ilvl w:val="2"/>
          <w:numId w:val="1"/>
        </w:numPr>
        <w:spacing w:before="0" w:after="240"/>
        <w:rPr>
          <w:rFonts w:ascii="Arial" w:hAnsi="Arial" w:cs="Arial"/>
          <w:color w:val="auto"/>
          <w:sz w:val="20"/>
        </w:rPr>
      </w:pPr>
      <w:bookmarkStart w:id="98" w:name="_Toc276037864"/>
      <w:r>
        <w:rPr>
          <w:rFonts w:ascii="Arial" w:hAnsi="Arial" w:cs="Arial"/>
          <w:color w:val="auto"/>
          <w:sz w:val="20"/>
        </w:rPr>
        <w:t>Sutton &amp; Merton</w:t>
      </w:r>
      <w:bookmarkEnd w:id="98"/>
    </w:p>
    <w:p w:rsidR="001F2601" w:rsidRPr="00846C1D" w:rsidRDefault="001F2601" w:rsidP="001F2601">
      <w:pPr>
        <w:rPr>
          <w:rFonts w:ascii="Arial" w:hAnsi="Arial" w:cs="Arial"/>
          <w:sz w:val="20"/>
        </w:rPr>
      </w:pPr>
      <w:r w:rsidRPr="00846C1D">
        <w:rPr>
          <w:rFonts w:ascii="Arial" w:hAnsi="Arial" w:cs="Arial"/>
          <w:sz w:val="20"/>
        </w:rPr>
        <w:t xml:space="preserve">The average 2WW crude referral rate in </w:t>
      </w:r>
      <w:r w:rsidR="00ED53F0">
        <w:rPr>
          <w:rFonts w:ascii="Arial" w:hAnsi="Arial" w:cs="Arial"/>
          <w:sz w:val="20"/>
        </w:rPr>
        <w:t>Sutton &amp; Merton</w:t>
      </w:r>
      <w:r w:rsidRPr="00846C1D">
        <w:rPr>
          <w:rFonts w:ascii="Arial" w:hAnsi="Arial" w:cs="Arial"/>
          <w:sz w:val="20"/>
        </w:rPr>
        <w:t xml:space="preserve"> for 2009 was </w:t>
      </w:r>
      <w:r w:rsidR="00ED53F0">
        <w:rPr>
          <w:rFonts w:ascii="Arial" w:hAnsi="Arial" w:cs="Arial"/>
          <w:sz w:val="20"/>
        </w:rPr>
        <w:t>162.77</w:t>
      </w:r>
      <w:r w:rsidRPr="00846C1D">
        <w:rPr>
          <w:rFonts w:ascii="Arial" w:hAnsi="Arial" w:cs="Arial"/>
          <w:sz w:val="20"/>
        </w:rPr>
        <w:t xml:space="preserve"> per 100,000 </w:t>
      </w:r>
      <w:proofErr w:type="gramStart"/>
      <w:r w:rsidRPr="00846C1D">
        <w:rPr>
          <w:rFonts w:ascii="Arial" w:hAnsi="Arial" w:cs="Arial"/>
          <w:sz w:val="20"/>
        </w:rPr>
        <w:t>population</w:t>
      </w:r>
      <w:proofErr w:type="gramEnd"/>
      <w:r w:rsidRPr="00846C1D">
        <w:rPr>
          <w:rFonts w:ascii="Arial" w:hAnsi="Arial" w:cs="Arial"/>
          <w:sz w:val="20"/>
        </w:rPr>
        <w:t xml:space="preserve"> (95%CI </w:t>
      </w:r>
      <w:r w:rsidR="00ED53F0">
        <w:rPr>
          <w:rFonts w:ascii="Arial" w:hAnsi="Arial" w:cs="Arial"/>
          <w:sz w:val="20"/>
        </w:rPr>
        <w:t>150.24</w:t>
      </w:r>
      <w:r w:rsidRPr="00846C1D">
        <w:rPr>
          <w:rFonts w:ascii="Arial" w:hAnsi="Arial" w:cs="Arial"/>
          <w:sz w:val="20"/>
        </w:rPr>
        <w:t xml:space="preserve"> – </w:t>
      </w:r>
      <w:r w:rsidR="00ED53F0">
        <w:rPr>
          <w:rFonts w:ascii="Arial" w:hAnsi="Arial" w:cs="Arial"/>
          <w:sz w:val="20"/>
        </w:rPr>
        <w:t>176.07</w:t>
      </w:r>
      <w:r w:rsidRPr="00846C1D">
        <w:rPr>
          <w:rFonts w:ascii="Arial" w:hAnsi="Arial" w:cs="Arial"/>
          <w:sz w:val="20"/>
        </w:rPr>
        <w:t>)</w:t>
      </w:r>
      <w:r w:rsidR="0081586E">
        <w:rPr>
          <w:rFonts w:ascii="Arial" w:hAnsi="Arial" w:cs="Arial"/>
          <w:sz w:val="20"/>
        </w:rPr>
        <w:t xml:space="preserve"> (</w:t>
      </w:r>
      <w:fldSimple w:instr=" REF _Ref275870814 \h  \* MERGEFORMAT ">
        <w:r w:rsidR="004E6A50" w:rsidRPr="004E6A50">
          <w:rPr>
            <w:rFonts w:ascii="Arial" w:hAnsi="Arial" w:cs="Arial"/>
            <w:sz w:val="20"/>
            <w:szCs w:val="20"/>
          </w:rPr>
          <w:t xml:space="preserve">Figure </w:t>
        </w:r>
        <w:r w:rsidR="004E6A50" w:rsidRPr="004E6A50">
          <w:rPr>
            <w:rFonts w:ascii="Arial" w:hAnsi="Arial" w:cs="Arial"/>
            <w:noProof/>
            <w:sz w:val="20"/>
            <w:szCs w:val="20"/>
          </w:rPr>
          <w:t>35</w:t>
        </w:r>
      </w:fldSimple>
      <w:r w:rsidRPr="00846C1D">
        <w:rPr>
          <w:rFonts w:ascii="Arial" w:hAnsi="Arial" w:cs="Arial"/>
          <w:sz w:val="20"/>
        </w:rPr>
        <w:t xml:space="preserve">). </w:t>
      </w:r>
      <w:r w:rsidR="00ED53F0">
        <w:rPr>
          <w:rFonts w:ascii="Arial" w:hAnsi="Arial" w:cs="Arial"/>
          <w:sz w:val="20"/>
        </w:rPr>
        <w:t>Four</w:t>
      </w:r>
      <w:r w:rsidRPr="00846C1D">
        <w:rPr>
          <w:rFonts w:ascii="Arial" w:hAnsi="Arial" w:cs="Arial"/>
          <w:sz w:val="20"/>
        </w:rPr>
        <w:t xml:space="preserve"> GP practices, </w:t>
      </w:r>
      <w:r w:rsidR="00ED53F0" w:rsidRPr="00ED53F0">
        <w:rPr>
          <w:rFonts w:ascii="Arial" w:hAnsi="Arial" w:cs="Arial"/>
          <w:sz w:val="20"/>
        </w:rPr>
        <w:t>H85076</w:t>
      </w:r>
      <w:r w:rsidRPr="00846C1D">
        <w:rPr>
          <w:rFonts w:ascii="Arial" w:hAnsi="Arial" w:cs="Arial"/>
          <w:sz w:val="20"/>
        </w:rPr>
        <w:t xml:space="preserve">, </w:t>
      </w:r>
      <w:r w:rsidR="00ED53F0" w:rsidRPr="00ED53F0">
        <w:rPr>
          <w:rFonts w:ascii="Arial" w:hAnsi="Arial" w:cs="Arial"/>
          <w:sz w:val="20"/>
        </w:rPr>
        <w:t>H85030</w:t>
      </w:r>
      <w:r>
        <w:rPr>
          <w:rFonts w:ascii="Arial" w:hAnsi="Arial" w:cs="Arial"/>
          <w:sz w:val="20"/>
        </w:rPr>
        <w:t xml:space="preserve">, </w:t>
      </w:r>
      <w:r w:rsidR="00ED53F0" w:rsidRPr="00ED53F0">
        <w:rPr>
          <w:rFonts w:ascii="Arial" w:hAnsi="Arial" w:cs="Arial"/>
          <w:sz w:val="20"/>
        </w:rPr>
        <w:t>H85035</w:t>
      </w:r>
      <w:r w:rsidR="00ED53F0">
        <w:rPr>
          <w:rFonts w:ascii="Arial" w:hAnsi="Arial" w:cs="Arial"/>
          <w:sz w:val="20"/>
        </w:rPr>
        <w:t xml:space="preserve"> and</w:t>
      </w:r>
      <w:r>
        <w:rPr>
          <w:rFonts w:ascii="Arial" w:hAnsi="Arial" w:cs="Arial"/>
          <w:sz w:val="20"/>
        </w:rPr>
        <w:t xml:space="preserve"> </w:t>
      </w:r>
      <w:r w:rsidR="00ED53F0" w:rsidRPr="00ED53F0">
        <w:rPr>
          <w:rFonts w:ascii="Arial" w:hAnsi="Arial" w:cs="Arial"/>
          <w:sz w:val="20"/>
        </w:rPr>
        <w:t>H85024</w:t>
      </w:r>
      <w:r w:rsidR="00ED53F0">
        <w:rPr>
          <w:rFonts w:ascii="Arial" w:hAnsi="Arial" w:cs="Arial"/>
          <w:sz w:val="20"/>
        </w:rPr>
        <w:t>,</w:t>
      </w:r>
      <w:r w:rsidRPr="00846C1D">
        <w:rPr>
          <w:rFonts w:ascii="Arial" w:hAnsi="Arial" w:cs="Arial"/>
          <w:sz w:val="20"/>
        </w:rPr>
        <w:t xml:space="preserve"> record a referral rate that is significantly higher than the PCT average. The highest referral rate is </w:t>
      </w:r>
      <w:r w:rsidR="00ED53F0">
        <w:rPr>
          <w:rFonts w:ascii="Arial" w:hAnsi="Arial" w:cs="Arial"/>
          <w:sz w:val="20"/>
        </w:rPr>
        <w:t>353.96</w:t>
      </w:r>
      <w:r w:rsidR="00ED53F0" w:rsidRPr="00846C1D">
        <w:rPr>
          <w:rFonts w:ascii="Arial" w:hAnsi="Arial" w:cs="Arial"/>
          <w:sz w:val="20"/>
        </w:rPr>
        <w:t xml:space="preserve"> per 100,000 </w:t>
      </w:r>
      <w:proofErr w:type="gramStart"/>
      <w:r w:rsidR="00ED53F0" w:rsidRPr="00846C1D">
        <w:rPr>
          <w:rFonts w:ascii="Arial" w:hAnsi="Arial" w:cs="Arial"/>
          <w:sz w:val="20"/>
        </w:rPr>
        <w:t>population</w:t>
      </w:r>
      <w:proofErr w:type="gramEnd"/>
      <w:r w:rsidR="00ED53F0" w:rsidRPr="00846C1D">
        <w:rPr>
          <w:rFonts w:ascii="Arial" w:hAnsi="Arial" w:cs="Arial"/>
          <w:sz w:val="20"/>
        </w:rPr>
        <w:t xml:space="preserve"> (95%CI </w:t>
      </w:r>
      <w:r w:rsidR="00ED53F0">
        <w:rPr>
          <w:rFonts w:ascii="Arial" w:hAnsi="Arial" w:cs="Arial"/>
          <w:sz w:val="20"/>
        </w:rPr>
        <w:t>243.61</w:t>
      </w:r>
      <w:r w:rsidR="00ED53F0" w:rsidRPr="00846C1D">
        <w:rPr>
          <w:rFonts w:ascii="Arial" w:hAnsi="Arial" w:cs="Arial"/>
          <w:sz w:val="20"/>
        </w:rPr>
        <w:t xml:space="preserve"> – </w:t>
      </w:r>
      <w:r w:rsidR="00ED53F0">
        <w:rPr>
          <w:rFonts w:ascii="Arial" w:hAnsi="Arial" w:cs="Arial"/>
          <w:sz w:val="20"/>
        </w:rPr>
        <w:t xml:space="preserve">497.11) </w:t>
      </w:r>
      <w:r w:rsidRPr="00846C1D">
        <w:rPr>
          <w:rFonts w:ascii="Arial" w:hAnsi="Arial" w:cs="Arial"/>
          <w:sz w:val="20"/>
        </w:rPr>
        <w:t xml:space="preserve">at practice </w:t>
      </w:r>
      <w:r w:rsidR="00ED53F0" w:rsidRPr="00ED53F0">
        <w:rPr>
          <w:rFonts w:ascii="Arial" w:hAnsi="Arial" w:cs="Arial"/>
          <w:sz w:val="20"/>
        </w:rPr>
        <w:t>H85076</w:t>
      </w:r>
      <w:r w:rsidRPr="00846C1D">
        <w:rPr>
          <w:rFonts w:ascii="Arial" w:hAnsi="Arial" w:cs="Arial"/>
          <w:sz w:val="20"/>
        </w:rPr>
        <w:t>.</w:t>
      </w:r>
    </w:p>
    <w:p w:rsidR="001F2601" w:rsidRPr="00AC262C" w:rsidRDefault="001F2601" w:rsidP="001F2601">
      <w:pPr>
        <w:pStyle w:val="Caption"/>
        <w:spacing w:after="0"/>
        <w:rPr>
          <w:rFonts w:ascii="Arial" w:hAnsi="Arial" w:cs="Arial"/>
          <w:color w:val="auto"/>
        </w:rPr>
      </w:pPr>
      <w:bookmarkStart w:id="99" w:name="_Ref275870814"/>
      <w:r w:rsidRPr="00AC262C">
        <w:rPr>
          <w:rFonts w:ascii="Arial" w:hAnsi="Arial" w:cs="Arial"/>
          <w:color w:val="auto"/>
        </w:rPr>
        <w:t xml:space="preserve">Figure </w:t>
      </w:r>
      <w:r w:rsidR="00AF55AD" w:rsidRPr="00AC262C">
        <w:rPr>
          <w:rFonts w:ascii="Arial" w:hAnsi="Arial" w:cs="Arial"/>
          <w:color w:val="auto"/>
        </w:rPr>
        <w:fldChar w:fldCharType="begin"/>
      </w:r>
      <w:r w:rsidRPr="00AC262C">
        <w:rPr>
          <w:rFonts w:ascii="Arial" w:hAnsi="Arial" w:cs="Arial"/>
          <w:color w:val="auto"/>
        </w:rPr>
        <w:instrText xml:space="preserve"> SEQ Figure \* ARABIC </w:instrText>
      </w:r>
      <w:r w:rsidR="00AF55AD" w:rsidRPr="00AC262C">
        <w:rPr>
          <w:rFonts w:ascii="Arial" w:hAnsi="Arial" w:cs="Arial"/>
          <w:color w:val="auto"/>
        </w:rPr>
        <w:fldChar w:fldCharType="separate"/>
      </w:r>
      <w:r w:rsidR="004E6A50">
        <w:rPr>
          <w:rFonts w:ascii="Arial" w:hAnsi="Arial" w:cs="Arial"/>
          <w:noProof/>
          <w:color w:val="auto"/>
        </w:rPr>
        <w:t>35</w:t>
      </w:r>
      <w:r w:rsidR="00AF55AD" w:rsidRPr="00AC262C">
        <w:rPr>
          <w:rFonts w:ascii="Arial" w:hAnsi="Arial" w:cs="Arial"/>
          <w:color w:val="auto"/>
        </w:rPr>
        <w:fldChar w:fldCharType="end"/>
      </w:r>
      <w:bookmarkEnd w:id="99"/>
      <w:r>
        <w:rPr>
          <w:rFonts w:ascii="Arial" w:hAnsi="Arial" w:cs="Arial"/>
          <w:color w:val="auto"/>
        </w:rPr>
        <w:t>: Sutton &amp; Merton u</w:t>
      </w:r>
      <w:r w:rsidRPr="00AC262C">
        <w:rPr>
          <w:rFonts w:ascii="Arial" w:hAnsi="Arial" w:cs="Arial"/>
          <w:color w:val="auto"/>
        </w:rPr>
        <w:t xml:space="preserve">rgent 2WW referrals with suspected </w:t>
      </w:r>
      <w:r>
        <w:rPr>
          <w:rFonts w:ascii="Arial" w:hAnsi="Arial" w:cs="Arial"/>
          <w:color w:val="auto"/>
        </w:rPr>
        <w:t>lower GI</w:t>
      </w:r>
      <w:r w:rsidRPr="00AC262C">
        <w:rPr>
          <w:rFonts w:ascii="Arial" w:hAnsi="Arial" w:cs="Arial"/>
          <w:color w:val="auto"/>
        </w:rPr>
        <w:t xml:space="preserve"> cancer, crude rate per 100,000</w:t>
      </w:r>
      <w:r>
        <w:rPr>
          <w:rFonts w:ascii="Arial" w:hAnsi="Arial" w:cs="Arial"/>
          <w:color w:val="auto"/>
        </w:rPr>
        <w:t xml:space="preserve"> </w:t>
      </w:r>
      <w:proofErr w:type="gramStart"/>
      <w:r>
        <w:rPr>
          <w:rFonts w:ascii="Arial" w:hAnsi="Arial" w:cs="Arial"/>
          <w:color w:val="auto"/>
        </w:rPr>
        <w:t>population</w:t>
      </w:r>
      <w:proofErr w:type="gramEnd"/>
      <w:r w:rsidRPr="00AC262C">
        <w:rPr>
          <w:rFonts w:ascii="Arial" w:hAnsi="Arial" w:cs="Arial"/>
          <w:color w:val="auto"/>
        </w:rPr>
        <w:t>.</w:t>
      </w:r>
    </w:p>
    <w:p w:rsidR="001F2601" w:rsidRDefault="000346DE" w:rsidP="001F2601">
      <w:pPr>
        <w:spacing w:after="0"/>
        <w:ind w:left="-851"/>
      </w:pPr>
      <w:r w:rsidRPr="000346DE">
        <w:rPr>
          <w:noProof/>
          <w:lang w:val="en-US"/>
        </w:rPr>
        <w:drawing>
          <wp:inline distT="0" distB="0" distL="0" distR="0">
            <wp:extent cx="6915150" cy="1943100"/>
            <wp:effectExtent l="19050" t="0" r="19050" b="0"/>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1F2601" w:rsidRPr="00846C1D" w:rsidRDefault="001F2601" w:rsidP="001F2601">
      <w:pPr>
        <w:autoSpaceDE w:val="0"/>
        <w:autoSpaceDN w:val="0"/>
        <w:adjustRightInd w:val="0"/>
        <w:spacing w:line="240" w:lineRule="auto"/>
        <w:rPr>
          <w:rFonts w:ascii="Arial" w:hAnsi="Arial" w:cs="Arial"/>
          <w:b/>
          <w:sz w:val="16"/>
          <w:szCs w:val="16"/>
        </w:rPr>
      </w:pPr>
      <w:r w:rsidRPr="00846C1D">
        <w:rPr>
          <w:rFonts w:ascii="Arial" w:hAnsi="Arial" w:cs="Arial"/>
          <w:b/>
          <w:sz w:val="16"/>
          <w:szCs w:val="16"/>
        </w:rPr>
        <w:t>Source: Practice Profiles, NHS Cancer Commissioning Toolkit.</w:t>
      </w:r>
    </w:p>
    <w:p w:rsidR="001F2601" w:rsidRDefault="00557C46" w:rsidP="001F2601">
      <w:pPr>
        <w:rPr>
          <w:rFonts w:ascii="Arial" w:hAnsi="Arial" w:cs="Arial"/>
          <w:sz w:val="20"/>
        </w:rPr>
      </w:pPr>
      <w:r>
        <w:rPr>
          <w:rFonts w:ascii="Arial" w:hAnsi="Arial" w:cs="Arial"/>
          <w:sz w:val="20"/>
        </w:rPr>
        <w:t>Two</w:t>
      </w:r>
      <w:r w:rsidR="001F2601">
        <w:rPr>
          <w:rFonts w:ascii="Arial" w:hAnsi="Arial" w:cs="Arial"/>
          <w:sz w:val="20"/>
        </w:rPr>
        <w:t xml:space="preserve"> GP practices recorded no referrals for suspected </w:t>
      </w:r>
      <w:r w:rsidR="00B03EBC">
        <w:rPr>
          <w:rFonts w:ascii="Arial" w:hAnsi="Arial" w:cs="Arial"/>
          <w:sz w:val="20"/>
        </w:rPr>
        <w:t>lower GI cancer in 2009 and e</w:t>
      </w:r>
      <w:r>
        <w:rPr>
          <w:rFonts w:ascii="Arial" w:hAnsi="Arial" w:cs="Arial"/>
          <w:sz w:val="20"/>
        </w:rPr>
        <w:t>ight GP practices recorded less than five referrals over 2009</w:t>
      </w:r>
      <w:r w:rsidR="00B03EBC">
        <w:rPr>
          <w:rFonts w:ascii="Arial" w:hAnsi="Arial" w:cs="Arial"/>
          <w:sz w:val="20"/>
        </w:rPr>
        <w:t xml:space="preserve">. </w:t>
      </w:r>
      <w:r>
        <w:rPr>
          <w:rFonts w:ascii="Arial" w:hAnsi="Arial" w:cs="Arial"/>
          <w:sz w:val="20"/>
        </w:rPr>
        <w:t xml:space="preserve">The lowest generated rate was 62.71 per 100,000 </w:t>
      </w:r>
      <w:proofErr w:type="gramStart"/>
      <w:r>
        <w:rPr>
          <w:rFonts w:ascii="Arial" w:hAnsi="Arial" w:cs="Arial"/>
          <w:sz w:val="20"/>
        </w:rPr>
        <w:t>population</w:t>
      </w:r>
      <w:proofErr w:type="gramEnd"/>
      <w:r>
        <w:rPr>
          <w:rFonts w:ascii="Arial" w:hAnsi="Arial" w:cs="Arial"/>
          <w:sz w:val="20"/>
        </w:rPr>
        <w:t xml:space="preserve"> (95%CI 22.90 – 136.50) at practice H85693 and was significantly lower than the PCT average. Two other GP practices (H85115 and H85649) recorded referral rates significantly below the PCT average.</w:t>
      </w:r>
    </w:p>
    <w:p w:rsidR="000945E2" w:rsidRDefault="000945E2" w:rsidP="007309C1">
      <w:pPr>
        <w:pStyle w:val="Heading3"/>
        <w:numPr>
          <w:ilvl w:val="2"/>
          <w:numId w:val="1"/>
        </w:numPr>
        <w:spacing w:before="0" w:after="240"/>
        <w:rPr>
          <w:rFonts w:ascii="Arial" w:hAnsi="Arial" w:cs="Arial"/>
          <w:color w:val="auto"/>
          <w:sz w:val="20"/>
        </w:rPr>
      </w:pPr>
      <w:bookmarkStart w:id="100" w:name="_Toc276037865"/>
      <w:r>
        <w:rPr>
          <w:rFonts w:ascii="Arial" w:hAnsi="Arial" w:cs="Arial"/>
          <w:color w:val="auto"/>
          <w:sz w:val="20"/>
        </w:rPr>
        <w:t>Wandsworth</w:t>
      </w:r>
      <w:bookmarkEnd w:id="100"/>
    </w:p>
    <w:p w:rsidR="000945E2" w:rsidRDefault="0081586E" w:rsidP="000945E2">
      <w:pPr>
        <w:rPr>
          <w:rFonts w:ascii="Arial" w:hAnsi="Arial" w:cs="Arial"/>
          <w:sz w:val="20"/>
        </w:rPr>
      </w:pPr>
      <w:r>
        <w:rPr>
          <w:rFonts w:ascii="Arial" w:hAnsi="Arial" w:cs="Arial"/>
          <w:sz w:val="20"/>
        </w:rPr>
        <w:t>Three</w:t>
      </w:r>
      <w:r w:rsidR="000945E2">
        <w:rPr>
          <w:rFonts w:ascii="Arial" w:hAnsi="Arial" w:cs="Arial"/>
          <w:sz w:val="20"/>
        </w:rPr>
        <w:t xml:space="preserve"> GP practices in </w:t>
      </w:r>
      <w:r>
        <w:rPr>
          <w:rFonts w:ascii="Arial" w:hAnsi="Arial" w:cs="Arial"/>
          <w:sz w:val="20"/>
        </w:rPr>
        <w:t>Wandsworth</w:t>
      </w:r>
      <w:r w:rsidR="000945E2">
        <w:rPr>
          <w:rFonts w:ascii="Arial" w:hAnsi="Arial" w:cs="Arial"/>
          <w:sz w:val="20"/>
        </w:rPr>
        <w:t xml:space="preserve"> record a suspected lower GI cancer referral rate that is significantly higher than the PCT average</w:t>
      </w:r>
      <w:r>
        <w:rPr>
          <w:rFonts w:ascii="Arial" w:hAnsi="Arial" w:cs="Arial"/>
          <w:sz w:val="20"/>
        </w:rPr>
        <w:t xml:space="preserve">. These practices are </w:t>
      </w:r>
      <w:r w:rsidRPr="0081586E">
        <w:rPr>
          <w:rFonts w:ascii="Arial" w:hAnsi="Arial" w:cs="Arial"/>
          <w:sz w:val="20"/>
        </w:rPr>
        <w:t>H85052</w:t>
      </w:r>
      <w:r>
        <w:rPr>
          <w:rFonts w:ascii="Arial" w:hAnsi="Arial" w:cs="Arial"/>
          <w:sz w:val="20"/>
        </w:rPr>
        <w:t xml:space="preserve">, </w:t>
      </w:r>
      <w:r w:rsidRPr="0081586E">
        <w:rPr>
          <w:rFonts w:ascii="Arial" w:hAnsi="Arial" w:cs="Arial"/>
          <w:sz w:val="20"/>
        </w:rPr>
        <w:t>H85006</w:t>
      </w:r>
      <w:r>
        <w:rPr>
          <w:rFonts w:ascii="Arial" w:hAnsi="Arial" w:cs="Arial"/>
          <w:sz w:val="20"/>
        </w:rPr>
        <w:t xml:space="preserve"> and </w:t>
      </w:r>
      <w:r w:rsidRPr="0081586E">
        <w:rPr>
          <w:rFonts w:ascii="Arial" w:hAnsi="Arial" w:cs="Arial"/>
          <w:sz w:val="20"/>
        </w:rPr>
        <w:t>H85003</w:t>
      </w:r>
      <w:r>
        <w:rPr>
          <w:rFonts w:ascii="Arial" w:hAnsi="Arial" w:cs="Arial"/>
          <w:sz w:val="20"/>
        </w:rPr>
        <w:t>.</w:t>
      </w:r>
      <w:r w:rsidR="000945E2">
        <w:rPr>
          <w:rFonts w:ascii="Arial" w:hAnsi="Arial" w:cs="Arial"/>
          <w:sz w:val="20"/>
        </w:rPr>
        <w:t xml:space="preserve"> </w:t>
      </w:r>
      <w:r>
        <w:rPr>
          <w:rFonts w:ascii="Arial" w:hAnsi="Arial" w:cs="Arial"/>
          <w:sz w:val="20"/>
        </w:rPr>
        <w:t>The PCT average is 142.48</w:t>
      </w:r>
      <w:r w:rsidR="000945E2">
        <w:rPr>
          <w:rFonts w:ascii="Arial" w:hAnsi="Arial" w:cs="Arial"/>
          <w:sz w:val="20"/>
        </w:rPr>
        <w:t xml:space="preserve"> per 100,000 </w:t>
      </w:r>
      <w:proofErr w:type="gramStart"/>
      <w:r w:rsidR="000945E2">
        <w:rPr>
          <w:rFonts w:ascii="Arial" w:hAnsi="Arial" w:cs="Arial"/>
          <w:sz w:val="20"/>
        </w:rPr>
        <w:t>population</w:t>
      </w:r>
      <w:proofErr w:type="gramEnd"/>
      <w:r w:rsidR="000945E2">
        <w:rPr>
          <w:rFonts w:ascii="Arial" w:hAnsi="Arial" w:cs="Arial"/>
          <w:sz w:val="20"/>
        </w:rPr>
        <w:t xml:space="preserve"> (95%CI </w:t>
      </w:r>
      <w:r>
        <w:rPr>
          <w:rFonts w:ascii="Arial" w:hAnsi="Arial" w:cs="Arial"/>
          <w:sz w:val="20"/>
        </w:rPr>
        <w:t>129.82</w:t>
      </w:r>
      <w:r w:rsidR="000945E2">
        <w:rPr>
          <w:rFonts w:ascii="Arial" w:hAnsi="Arial" w:cs="Arial"/>
          <w:sz w:val="20"/>
        </w:rPr>
        <w:t xml:space="preserve"> – </w:t>
      </w:r>
      <w:r>
        <w:rPr>
          <w:rFonts w:ascii="Arial" w:hAnsi="Arial" w:cs="Arial"/>
          <w:sz w:val="20"/>
        </w:rPr>
        <w:t>156.04</w:t>
      </w:r>
      <w:r w:rsidR="000945E2">
        <w:rPr>
          <w:rFonts w:ascii="Arial" w:hAnsi="Arial" w:cs="Arial"/>
          <w:sz w:val="20"/>
        </w:rPr>
        <w:t xml:space="preserve">) </w:t>
      </w:r>
      <w:r w:rsidR="000945E2" w:rsidRPr="002D43BC">
        <w:rPr>
          <w:rFonts w:ascii="Arial" w:hAnsi="Arial" w:cs="Arial"/>
          <w:sz w:val="20"/>
          <w:szCs w:val="20"/>
        </w:rPr>
        <w:t>(</w:t>
      </w:r>
      <w:fldSimple w:instr=" REF _Ref275872687 \h  \* MERGEFORMAT ">
        <w:r w:rsidR="004E6A50" w:rsidRPr="004E6A50">
          <w:rPr>
            <w:rFonts w:ascii="Arial" w:hAnsi="Arial" w:cs="Arial"/>
            <w:sz w:val="20"/>
            <w:szCs w:val="20"/>
          </w:rPr>
          <w:t xml:space="preserve">Figure </w:t>
        </w:r>
        <w:r w:rsidR="004E6A50" w:rsidRPr="004E6A50">
          <w:rPr>
            <w:rFonts w:ascii="Arial" w:hAnsi="Arial" w:cs="Arial"/>
            <w:noProof/>
            <w:sz w:val="20"/>
            <w:szCs w:val="20"/>
          </w:rPr>
          <w:t>36</w:t>
        </w:r>
      </w:fldSimple>
      <w:r w:rsidR="000945E2">
        <w:rPr>
          <w:rFonts w:ascii="Arial" w:hAnsi="Arial" w:cs="Arial"/>
          <w:sz w:val="20"/>
        </w:rPr>
        <w:t xml:space="preserve">). </w:t>
      </w:r>
      <w:r>
        <w:rPr>
          <w:rFonts w:ascii="Arial" w:hAnsi="Arial" w:cs="Arial"/>
          <w:sz w:val="20"/>
        </w:rPr>
        <w:t xml:space="preserve">The highest suspected lower GI cancer referral rate was 348.50 per 100,000 </w:t>
      </w:r>
      <w:proofErr w:type="gramStart"/>
      <w:r>
        <w:rPr>
          <w:rFonts w:ascii="Arial" w:hAnsi="Arial" w:cs="Arial"/>
          <w:sz w:val="20"/>
        </w:rPr>
        <w:t>population</w:t>
      </w:r>
      <w:proofErr w:type="gramEnd"/>
      <w:r>
        <w:rPr>
          <w:rFonts w:ascii="Arial" w:hAnsi="Arial" w:cs="Arial"/>
          <w:sz w:val="20"/>
        </w:rPr>
        <w:t xml:space="preserve"> (95%CI 202.90 – 558.02) at practice </w:t>
      </w:r>
      <w:r w:rsidRPr="0081586E">
        <w:rPr>
          <w:rFonts w:ascii="Arial" w:hAnsi="Arial" w:cs="Arial"/>
          <w:sz w:val="20"/>
        </w:rPr>
        <w:t>H85052</w:t>
      </w:r>
      <w:r w:rsidR="000945E2">
        <w:rPr>
          <w:rFonts w:ascii="Arial" w:hAnsi="Arial" w:cs="Arial"/>
          <w:sz w:val="20"/>
        </w:rPr>
        <w:t xml:space="preserve">. </w:t>
      </w:r>
    </w:p>
    <w:p w:rsidR="000945E2" w:rsidRPr="00253BB4" w:rsidRDefault="000945E2" w:rsidP="000945E2">
      <w:pPr>
        <w:pStyle w:val="Caption"/>
        <w:spacing w:after="0"/>
        <w:rPr>
          <w:rFonts w:ascii="Arial" w:hAnsi="Arial" w:cs="Arial"/>
          <w:color w:val="auto"/>
          <w:sz w:val="20"/>
        </w:rPr>
      </w:pPr>
      <w:bookmarkStart w:id="101" w:name="_Ref275872687"/>
      <w:r w:rsidRPr="00253BB4">
        <w:rPr>
          <w:rFonts w:ascii="Arial" w:hAnsi="Arial" w:cs="Arial"/>
          <w:color w:val="auto"/>
        </w:rPr>
        <w:t xml:space="preserve">Figure </w:t>
      </w:r>
      <w:r w:rsidR="00AF55AD" w:rsidRPr="00253BB4">
        <w:rPr>
          <w:rFonts w:ascii="Arial" w:hAnsi="Arial" w:cs="Arial"/>
          <w:color w:val="auto"/>
        </w:rPr>
        <w:fldChar w:fldCharType="begin"/>
      </w:r>
      <w:r w:rsidRPr="00253BB4">
        <w:rPr>
          <w:rFonts w:ascii="Arial" w:hAnsi="Arial" w:cs="Arial"/>
          <w:color w:val="auto"/>
        </w:rPr>
        <w:instrText xml:space="preserve"> SEQ Figure \* ARABIC </w:instrText>
      </w:r>
      <w:r w:rsidR="00AF55AD" w:rsidRPr="00253BB4">
        <w:rPr>
          <w:rFonts w:ascii="Arial" w:hAnsi="Arial" w:cs="Arial"/>
          <w:color w:val="auto"/>
        </w:rPr>
        <w:fldChar w:fldCharType="separate"/>
      </w:r>
      <w:r w:rsidR="004E6A50">
        <w:rPr>
          <w:rFonts w:ascii="Arial" w:hAnsi="Arial" w:cs="Arial"/>
          <w:noProof/>
          <w:color w:val="auto"/>
        </w:rPr>
        <w:t>36</w:t>
      </w:r>
      <w:r w:rsidR="00AF55AD" w:rsidRPr="00253BB4">
        <w:rPr>
          <w:rFonts w:ascii="Arial" w:hAnsi="Arial" w:cs="Arial"/>
          <w:color w:val="auto"/>
        </w:rPr>
        <w:fldChar w:fldCharType="end"/>
      </w:r>
      <w:bookmarkEnd w:id="101"/>
      <w:r w:rsidRPr="00253BB4">
        <w:rPr>
          <w:rFonts w:ascii="Arial" w:hAnsi="Arial" w:cs="Arial"/>
          <w:color w:val="auto"/>
        </w:rPr>
        <w:t xml:space="preserve">: </w:t>
      </w:r>
      <w:r w:rsidR="0081586E">
        <w:rPr>
          <w:rFonts w:ascii="Arial" w:hAnsi="Arial" w:cs="Arial"/>
          <w:color w:val="auto"/>
        </w:rPr>
        <w:t>Wandsworth</w:t>
      </w:r>
      <w:r>
        <w:rPr>
          <w:rFonts w:ascii="Arial" w:hAnsi="Arial" w:cs="Arial"/>
          <w:color w:val="auto"/>
        </w:rPr>
        <w:t xml:space="preserve"> u</w:t>
      </w:r>
      <w:r w:rsidRPr="00253BB4">
        <w:rPr>
          <w:rFonts w:ascii="Arial" w:hAnsi="Arial" w:cs="Arial"/>
          <w:color w:val="auto"/>
        </w:rPr>
        <w:t xml:space="preserve">rgent 2WW referrals with suspected </w:t>
      </w:r>
      <w:r>
        <w:rPr>
          <w:rFonts w:ascii="Arial" w:hAnsi="Arial" w:cs="Arial"/>
          <w:color w:val="auto"/>
        </w:rPr>
        <w:t>lower GI</w:t>
      </w:r>
      <w:r w:rsidRPr="00253BB4">
        <w:rPr>
          <w:rFonts w:ascii="Arial" w:hAnsi="Arial" w:cs="Arial"/>
          <w:color w:val="auto"/>
        </w:rPr>
        <w:t xml:space="preserve"> cancer, crude rate per 100,000 </w:t>
      </w:r>
      <w:proofErr w:type="gramStart"/>
      <w:r w:rsidRPr="00253BB4">
        <w:rPr>
          <w:rFonts w:ascii="Arial" w:hAnsi="Arial" w:cs="Arial"/>
          <w:color w:val="auto"/>
        </w:rPr>
        <w:t>population</w:t>
      </w:r>
      <w:proofErr w:type="gramEnd"/>
      <w:r w:rsidRPr="00253BB4">
        <w:rPr>
          <w:rFonts w:ascii="Arial" w:hAnsi="Arial" w:cs="Arial"/>
          <w:color w:val="auto"/>
        </w:rPr>
        <w:t>.</w:t>
      </w:r>
    </w:p>
    <w:p w:rsidR="000945E2" w:rsidRDefault="00917CD3" w:rsidP="000945E2">
      <w:pPr>
        <w:spacing w:after="0"/>
        <w:ind w:left="-567"/>
        <w:rPr>
          <w:rFonts w:ascii="Arial" w:hAnsi="Arial" w:cs="Arial"/>
          <w:sz w:val="20"/>
        </w:rPr>
      </w:pPr>
      <w:r w:rsidRPr="00917CD3">
        <w:rPr>
          <w:rFonts w:ascii="Arial" w:hAnsi="Arial" w:cs="Arial"/>
          <w:noProof/>
          <w:sz w:val="20"/>
          <w:lang w:val="en-US"/>
        </w:rPr>
        <w:drawing>
          <wp:inline distT="0" distB="0" distL="0" distR="0">
            <wp:extent cx="6734175" cy="1943100"/>
            <wp:effectExtent l="19050" t="0" r="9525" b="0"/>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0945E2" w:rsidRDefault="000945E2" w:rsidP="000945E2">
      <w:pPr>
        <w:autoSpaceDE w:val="0"/>
        <w:autoSpaceDN w:val="0"/>
        <w:adjustRightInd w:val="0"/>
        <w:spacing w:line="240" w:lineRule="auto"/>
        <w:rPr>
          <w:rFonts w:ascii="Arial" w:hAnsi="Arial" w:cs="Arial"/>
          <w:b/>
          <w:sz w:val="16"/>
          <w:szCs w:val="16"/>
        </w:rPr>
      </w:pPr>
      <w:r>
        <w:rPr>
          <w:rFonts w:ascii="Arial" w:hAnsi="Arial" w:cs="Arial"/>
          <w:b/>
          <w:sz w:val="16"/>
          <w:szCs w:val="16"/>
        </w:rPr>
        <w:t>Source: Practice Profiles, NHS Cancer Commissioning Toolkit.</w:t>
      </w:r>
    </w:p>
    <w:p w:rsidR="000945E2" w:rsidRDefault="003A2988" w:rsidP="000945E2">
      <w:pPr>
        <w:rPr>
          <w:rFonts w:ascii="Arial" w:hAnsi="Arial" w:cs="Arial"/>
          <w:sz w:val="20"/>
        </w:rPr>
      </w:pPr>
      <w:r>
        <w:rPr>
          <w:rFonts w:ascii="Arial" w:hAnsi="Arial" w:cs="Arial"/>
          <w:sz w:val="20"/>
        </w:rPr>
        <w:t xml:space="preserve">Seven GP practice did not record </w:t>
      </w:r>
      <w:r w:rsidR="00CC532A">
        <w:rPr>
          <w:rFonts w:ascii="Arial" w:hAnsi="Arial" w:cs="Arial"/>
          <w:sz w:val="20"/>
        </w:rPr>
        <w:t xml:space="preserve">any lower GI </w:t>
      </w:r>
      <w:r w:rsidR="00AA399A">
        <w:rPr>
          <w:rFonts w:ascii="Arial" w:hAnsi="Arial" w:cs="Arial"/>
          <w:sz w:val="20"/>
        </w:rPr>
        <w:t>cancer referrals for 2009</w:t>
      </w:r>
      <w:r w:rsidR="00CC532A">
        <w:rPr>
          <w:rFonts w:ascii="Arial" w:hAnsi="Arial" w:cs="Arial"/>
          <w:sz w:val="20"/>
        </w:rPr>
        <w:t>, while a further nine GP practice</w:t>
      </w:r>
      <w:r w:rsidR="00AA399A">
        <w:rPr>
          <w:rFonts w:ascii="Arial" w:hAnsi="Arial" w:cs="Arial"/>
          <w:sz w:val="20"/>
        </w:rPr>
        <w:t>s</w:t>
      </w:r>
      <w:r w:rsidR="00CC532A">
        <w:rPr>
          <w:rFonts w:ascii="Arial" w:hAnsi="Arial" w:cs="Arial"/>
          <w:sz w:val="20"/>
        </w:rPr>
        <w:t xml:space="preserve"> recorded less than five referrals in the year. </w:t>
      </w:r>
      <w:r w:rsidR="000945E2">
        <w:rPr>
          <w:rFonts w:ascii="Arial" w:hAnsi="Arial" w:cs="Arial"/>
          <w:sz w:val="20"/>
        </w:rPr>
        <w:t xml:space="preserve">The lowest </w:t>
      </w:r>
      <w:r w:rsidR="00CC532A">
        <w:rPr>
          <w:rFonts w:ascii="Arial" w:hAnsi="Arial" w:cs="Arial"/>
          <w:sz w:val="20"/>
        </w:rPr>
        <w:t xml:space="preserve">generated </w:t>
      </w:r>
      <w:r w:rsidR="000945E2">
        <w:rPr>
          <w:rFonts w:ascii="Arial" w:hAnsi="Arial" w:cs="Arial"/>
          <w:sz w:val="20"/>
        </w:rPr>
        <w:t xml:space="preserve">referral rate was </w:t>
      </w:r>
      <w:r w:rsidR="00CC532A">
        <w:rPr>
          <w:rFonts w:ascii="Arial" w:hAnsi="Arial" w:cs="Arial"/>
          <w:sz w:val="20"/>
        </w:rPr>
        <w:t>45.38</w:t>
      </w:r>
      <w:r w:rsidR="000945E2">
        <w:rPr>
          <w:rFonts w:ascii="Arial" w:hAnsi="Arial" w:cs="Arial"/>
          <w:sz w:val="20"/>
        </w:rPr>
        <w:t xml:space="preserve"> per 100,000 </w:t>
      </w:r>
      <w:proofErr w:type="gramStart"/>
      <w:r w:rsidR="000945E2">
        <w:rPr>
          <w:rFonts w:ascii="Arial" w:hAnsi="Arial" w:cs="Arial"/>
          <w:sz w:val="20"/>
        </w:rPr>
        <w:t>population</w:t>
      </w:r>
      <w:proofErr w:type="gramEnd"/>
      <w:r w:rsidR="000945E2">
        <w:rPr>
          <w:rFonts w:ascii="Arial" w:hAnsi="Arial" w:cs="Arial"/>
          <w:sz w:val="20"/>
        </w:rPr>
        <w:t xml:space="preserve"> (95%CI </w:t>
      </w:r>
      <w:r w:rsidR="00CC532A">
        <w:rPr>
          <w:rFonts w:ascii="Arial" w:hAnsi="Arial" w:cs="Arial"/>
          <w:sz w:val="20"/>
        </w:rPr>
        <w:t>14.62 – 105.90</w:t>
      </w:r>
      <w:r w:rsidR="000945E2">
        <w:rPr>
          <w:rFonts w:ascii="Arial" w:hAnsi="Arial" w:cs="Arial"/>
          <w:sz w:val="20"/>
        </w:rPr>
        <w:t xml:space="preserve">) at practice </w:t>
      </w:r>
      <w:r w:rsidR="00CC532A" w:rsidRPr="00CC532A">
        <w:rPr>
          <w:rFonts w:ascii="Arial" w:hAnsi="Arial" w:cs="Arial"/>
          <w:sz w:val="20"/>
        </w:rPr>
        <w:t>H85009</w:t>
      </w:r>
      <w:r w:rsidR="000945E2">
        <w:rPr>
          <w:rFonts w:ascii="Arial" w:hAnsi="Arial" w:cs="Arial"/>
          <w:sz w:val="20"/>
        </w:rPr>
        <w:t xml:space="preserve">. </w:t>
      </w:r>
      <w:r w:rsidR="00CC532A">
        <w:rPr>
          <w:rFonts w:ascii="Arial" w:hAnsi="Arial" w:cs="Arial"/>
          <w:sz w:val="20"/>
        </w:rPr>
        <w:t xml:space="preserve">Along with practice </w:t>
      </w:r>
      <w:r w:rsidR="00CC532A" w:rsidRPr="00CC532A">
        <w:rPr>
          <w:rFonts w:ascii="Arial" w:hAnsi="Arial" w:cs="Arial"/>
          <w:sz w:val="20"/>
        </w:rPr>
        <w:t>H85061</w:t>
      </w:r>
      <w:r w:rsidR="00CC532A">
        <w:rPr>
          <w:rFonts w:ascii="Arial" w:hAnsi="Arial" w:cs="Arial"/>
          <w:sz w:val="20"/>
        </w:rPr>
        <w:t xml:space="preserve"> the referral rates recorded were significantly below the PCT average.</w:t>
      </w:r>
    </w:p>
    <w:p w:rsidR="0008276B" w:rsidRDefault="0008276B" w:rsidP="007309C1">
      <w:pPr>
        <w:pStyle w:val="Heading2"/>
        <w:numPr>
          <w:ilvl w:val="1"/>
          <w:numId w:val="1"/>
        </w:numPr>
        <w:autoSpaceDE w:val="0"/>
        <w:autoSpaceDN w:val="0"/>
        <w:adjustRightInd w:val="0"/>
        <w:spacing w:after="240" w:line="240" w:lineRule="auto"/>
        <w:rPr>
          <w:rFonts w:ascii="Arial" w:hAnsi="Arial" w:cs="Arial"/>
          <w:color w:val="auto"/>
          <w:sz w:val="24"/>
          <w:szCs w:val="24"/>
        </w:rPr>
      </w:pPr>
      <w:bookmarkStart w:id="102" w:name="_Toc276037866"/>
      <w:r>
        <w:rPr>
          <w:rFonts w:ascii="Arial" w:hAnsi="Arial" w:cs="Arial"/>
          <w:color w:val="auto"/>
          <w:sz w:val="24"/>
          <w:szCs w:val="24"/>
        </w:rPr>
        <w:t>Proportion of colorectal cancer cases diagnosed through non-urgent referral by PCT and Cancer Network</w:t>
      </w:r>
      <w:bookmarkEnd w:id="88"/>
      <w:r w:rsidR="006B1CA3">
        <w:rPr>
          <w:rFonts w:ascii="Arial" w:hAnsi="Arial" w:cs="Arial"/>
          <w:color w:val="auto"/>
          <w:sz w:val="24"/>
          <w:szCs w:val="24"/>
        </w:rPr>
        <w:t xml:space="preserve"> 2010</w:t>
      </w:r>
      <w:bookmarkEnd w:id="102"/>
    </w:p>
    <w:p w:rsidR="005408BC" w:rsidRPr="005408BC" w:rsidRDefault="005408BC" w:rsidP="005408BC">
      <w:pPr>
        <w:rPr>
          <w:rFonts w:ascii="Arial" w:hAnsi="Arial" w:cs="Arial"/>
          <w:sz w:val="20"/>
        </w:rPr>
      </w:pPr>
      <w:r w:rsidRPr="005408BC">
        <w:rPr>
          <w:rFonts w:ascii="Arial" w:hAnsi="Arial" w:cs="Arial"/>
          <w:sz w:val="20"/>
        </w:rPr>
        <w:t xml:space="preserve">In general, the earlier a cancer is diagnosed, the greater the prospect of a cure. Evidence suggests that later diagnosis of cancer has been a major factor in the poorer survival rates in the UK compared with some other countries in Europe. One of the priorities of the Cancer Reform Strategy for </w:t>
      </w:r>
      <w:proofErr w:type="gramStart"/>
      <w:r w:rsidRPr="005408BC">
        <w:rPr>
          <w:rFonts w:ascii="Arial" w:hAnsi="Arial" w:cs="Arial"/>
          <w:sz w:val="20"/>
        </w:rPr>
        <w:t>England,</w:t>
      </w:r>
      <w:proofErr w:type="gramEnd"/>
      <w:r w:rsidRPr="005408BC">
        <w:rPr>
          <w:rFonts w:ascii="Arial" w:hAnsi="Arial" w:cs="Arial"/>
          <w:sz w:val="20"/>
        </w:rPr>
        <w:t xml:space="preserve"> is to diagnose more cancers early. The proportion of cases of cancer diagnosed through the</w:t>
      </w:r>
      <w:r w:rsidR="003E5E8B">
        <w:rPr>
          <w:rFonts w:ascii="Arial" w:hAnsi="Arial" w:cs="Arial"/>
          <w:sz w:val="20"/>
        </w:rPr>
        <w:t xml:space="preserve"> urgent</w:t>
      </w:r>
      <w:r w:rsidRPr="005408BC">
        <w:rPr>
          <w:rFonts w:ascii="Arial" w:hAnsi="Arial" w:cs="Arial"/>
          <w:sz w:val="20"/>
        </w:rPr>
        <w:t xml:space="preserve"> </w:t>
      </w:r>
      <w:r w:rsidR="003E5E8B">
        <w:rPr>
          <w:rFonts w:ascii="Arial" w:hAnsi="Arial" w:cs="Arial"/>
          <w:sz w:val="20"/>
        </w:rPr>
        <w:t>two week wait programme (2WW) is</w:t>
      </w:r>
      <w:r w:rsidRPr="005408BC">
        <w:rPr>
          <w:rFonts w:ascii="Arial" w:hAnsi="Arial" w:cs="Arial"/>
          <w:sz w:val="20"/>
        </w:rPr>
        <w:t xml:space="preserve"> an indicator of GPs' recognition of the signs and symptoms of cancer and appropriateness of the referral. There is wide variation across the country in the percentage of cases diagnosed through non urgent referral routes. If relatively high numbers of patients are diagnosed through non urgent referrals, this would merit investigation by the PCT (Cancer Commissioning Toolkit 2010).</w:t>
      </w:r>
    </w:p>
    <w:p w:rsidR="00721AC2" w:rsidRPr="00721AC2" w:rsidRDefault="00721AC2" w:rsidP="005408BC">
      <w:pPr>
        <w:pStyle w:val="Caption"/>
        <w:spacing w:after="0"/>
        <w:rPr>
          <w:rFonts w:ascii="Arial" w:hAnsi="Arial" w:cs="Arial"/>
          <w:color w:val="auto"/>
        </w:rPr>
      </w:pPr>
      <w:bookmarkStart w:id="103" w:name="_Ref275262195"/>
      <w:r w:rsidRPr="00721AC2">
        <w:rPr>
          <w:rFonts w:ascii="Arial" w:hAnsi="Arial" w:cs="Arial"/>
          <w:color w:val="auto"/>
        </w:rPr>
        <w:t xml:space="preserve">Figure </w:t>
      </w:r>
      <w:r w:rsidR="00AF55AD" w:rsidRPr="00721AC2">
        <w:rPr>
          <w:rFonts w:ascii="Arial" w:hAnsi="Arial" w:cs="Arial"/>
          <w:color w:val="auto"/>
        </w:rPr>
        <w:fldChar w:fldCharType="begin"/>
      </w:r>
      <w:r w:rsidRPr="00721AC2">
        <w:rPr>
          <w:rFonts w:ascii="Arial" w:hAnsi="Arial" w:cs="Arial"/>
          <w:color w:val="auto"/>
        </w:rPr>
        <w:instrText xml:space="preserve"> SEQ Figure \* ARABIC </w:instrText>
      </w:r>
      <w:r w:rsidR="00AF55AD" w:rsidRPr="00721AC2">
        <w:rPr>
          <w:rFonts w:ascii="Arial" w:hAnsi="Arial" w:cs="Arial"/>
          <w:color w:val="auto"/>
        </w:rPr>
        <w:fldChar w:fldCharType="separate"/>
      </w:r>
      <w:r w:rsidR="004E6A50">
        <w:rPr>
          <w:rFonts w:ascii="Arial" w:hAnsi="Arial" w:cs="Arial"/>
          <w:noProof/>
          <w:color w:val="auto"/>
        </w:rPr>
        <w:t>37</w:t>
      </w:r>
      <w:r w:rsidR="00AF55AD" w:rsidRPr="00721AC2">
        <w:rPr>
          <w:rFonts w:ascii="Arial" w:hAnsi="Arial" w:cs="Arial"/>
          <w:color w:val="auto"/>
        </w:rPr>
        <w:fldChar w:fldCharType="end"/>
      </w:r>
      <w:bookmarkEnd w:id="103"/>
      <w:r w:rsidRPr="00721AC2">
        <w:rPr>
          <w:rFonts w:ascii="Arial" w:hAnsi="Arial" w:cs="Arial"/>
          <w:color w:val="auto"/>
        </w:rPr>
        <w:t xml:space="preserve">: Percentage of total </w:t>
      </w:r>
      <w:r>
        <w:rPr>
          <w:rFonts w:ascii="Arial" w:hAnsi="Arial" w:cs="Arial"/>
          <w:color w:val="auto"/>
        </w:rPr>
        <w:t>colorectal</w:t>
      </w:r>
      <w:r w:rsidRPr="00721AC2">
        <w:rPr>
          <w:rFonts w:ascii="Arial" w:hAnsi="Arial" w:cs="Arial"/>
          <w:color w:val="auto"/>
        </w:rPr>
        <w:t xml:space="preserve"> cancer cases diagnosed through non-urgent referral, 2010.</w:t>
      </w:r>
    </w:p>
    <w:p w:rsidR="0008276B" w:rsidRDefault="00721AC2" w:rsidP="005408BC">
      <w:pPr>
        <w:pStyle w:val="Heading2"/>
        <w:autoSpaceDE w:val="0"/>
        <w:autoSpaceDN w:val="0"/>
        <w:adjustRightInd w:val="0"/>
        <w:spacing w:before="0" w:line="240" w:lineRule="auto"/>
        <w:rPr>
          <w:rFonts w:ascii="Arial" w:hAnsi="Arial" w:cs="Arial"/>
          <w:color w:val="auto"/>
          <w:sz w:val="24"/>
          <w:szCs w:val="24"/>
        </w:rPr>
      </w:pPr>
      <w:r w:rsidRPr="00721AC2">
        <w:rPr>
          <w:rFonts w:ascii="Arial" w:hAnsi="Arial" w:cs="Arial"/>
          <w:noProof/>
          <w:color w:val="auto"/>
          <w:sz w:val="24"/>
          <w:szCs w:val="24"/>
          <w:lang w:val="en-US"/>
        </w:rPr>
        <w:drawing>
          <wp:inline distT="0" distB="0" distL="0" distR="0">
            <wp:extent cx="5731510" cy="2247900"/>
            <wp:effectExtent l="19050" t="0" r="21590" b="0"/>
            <wp:docPr id="2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5408BC" w:rsidRDefault="005408BC" w:rsidP="005408BC">
      <w:pPr>
        <w:autoSpaceDE w:val="0"/>
        <w:autoSpaceDN w:val="0"/>
        <w:adjustRightInd w:val="0"/>
        <w:spacing w:line="240" w:lineRule="auto"/>
        <w:rPr>
          <w:rFonts w:ascii="Arial" w:hAnsi="Arial" w:cs="Arial"/>
          <w:b/>
          <w:sz w:val="16"/>
          <w:szCs w:val="16"/>
        </w:rPr>
      </w:pPr>
      <w:r w:rsidRPr="00732C78">
        <w:rPr>
          <w:rFonts w:ascii="Arial" w:hAnsi="Arial" w:cs="Arial"/>
          <w:b/>
          <w:sz w:val="16"/>
          <w:szCs w:val="16"/>
        </w:rPr>
        <w:t>Source: National Cancer Waiting Times database (CWT-db).</w:t>
      </w:r>
    </w:p>
    <w:p w:rsidR="005408BC" w:rsidRPr="00510DDC" w:rsidRDefault="005408BC" w:rsidP="005408BC">
      <w:pPr>
        <w:autoSpaceDE w:val="0"/>
        <w:autoSpaceDN w:val="0"/>
        <w:adjustRightInd w:val="0"/>
        <w:rPr>
          <w:rFonts w:ascii="Arial" w:hAnsi="Arial" w:cs="Arial"/>
          <w:sz w:val="20"/>
          <w:szCs w:val="16"/>
        </w:rPr>
      </w:pPr>
      <w:r>
        <w:rPr>
          <w:rFonts w:ascii="Arial" w:hAnsi="Arial" w:cs="Arial"/>
          <w:sz w:val="20"/>
          <w:szCs w:val="16"/>
        </w:rPr>
        <w:t>Wandsworth records the highest proportion of diagnosed colorectal cancer cases through non-urgent referrals at 61.9%</w:t>
      </w:r>
      <w:r w:rsidR="009D1642">
        <w:rPr>
          <w:rFonts w:ascii="Arial" w:hAnsi="Arial" w:cs="Arial"/>
          <w:sz w:val="20"/>
          <w:szCs w:val="16"/>
        </w:rPr>
        <w:t xml:space="preserve"> (</w:t>
      </w:r>
      <w:fldSimple w:instr=" REF _Ref275262195 \h  \* MERGEFORMAT ">
        <w:r w:rsidR="004E6A50" w:rsidRPr="004E6A50">
          <w:rPr>
            <w:rFonts w:ascii="Arial" w:hAnsi="Arial" w:cs="Arial"/>
            <w:sz w:val="20"/>
            <w:szCs w:val="20"/>
          </w:rPr>
          <w:t xml:space="preserve">Figure </w:t>
        </w:r>
        <w:r w:rsidR="004E6A50" w:rsidRPr="004E6A50">
          <w:rPr>
            <w:rFonts w:ascii="Arial" w:hAnsi="Arial" w:cs="Arial"/>
            <w:noProof/>
            <w:sz w:val="20"/>
            <w:szCs w:val="20"/>
          </w:rPr>
          <w:t>37</w:t>
        </w:r>
      </w:fldSimple>
      <w:r w:rsidR="009D1642">
        <w:rPr>
          <w:rFonts w:ascii="Arial" w:hAnsi="Arial" w:cs="Arial"/>
          <w:sz w:val="20"/>
          <w:szCs w:val="16"/>
        </w:rPr>
        <w:t>)</w:t>
      </w:r>
      <w:r>
        <w:rPr>
          <w:rFonts w:ascii="Arial" w:hAnsi="Arial" w:cs="Arial"/>
          <w:sz w:val="20"/>
          <w:szCs w:val="16"/>
        </w:rPr>
        <w:t>. This is very high relative to the national average at 46.0%. Sutton &amp; Merton, Richmond &amp; Twickenham and Croydon have proportions above 50%.  Kingston records the lowest proportion of non-urgent referrals at 40.7%. In term</w:t>
      </w:r>
      <w:r w:rsidR="003E5E8B">
        <w:rPr>
          <w:rFonts w:ascii="Arial" w:hAnsi="Arial" w:cs="Arial"/>
          <w:sz w:val="20"/>
          <w:szCs w:val="16"/>
        </w:rPr>
        <w:t>s</w:t>
      </w:r>
      <w:r>
        <w:rPr>
          <w:rFonts w:ascii="Arial" w:hAnsi="Arial" w:cs="Arial"/>
          <w:sz w:val="20"/>
          <w:szCs w:val="16"/>
        </w:rPr>
        <w:t xml:space="preserve"> of cancer networks the SWLCN has one </w:t>
      </w:r>
      <w:proofErr w:type="gramStart"/>
      <w:r>
        <w:rPr>
          <w:rFonts w:ascii="Arial" w:hAnsi="Arial" w:cs="Arial"/>
          <w:sz w:val="20"/>
          <w:szCs w:val="16"/>
        </w:rPr>
        <w:t>the of</w:t>
      </w:r>
      <w:proofErr w:type="gramEnd"/>
      <w:r>
        <w:rPr>
          <w:rFonts w:ascii="Arial" w:hAnsi="Arial" w:cs="Arial"/>
          <w:sz w:val="20"/>
          <w:szCs w:val="16"/>
        </w:rPr>
        <w:t xml:space="preserve"> the highest proportions of non-urgent referrals in the country at 54.3%. There was no data available for the (N</w:t>
      </w:r>
      <w:proofErr w:type="gramStart"/>
      <w:r>
        <w:rPr>
          <w:rFonts w:ascii="Arial" w:hAnsi="Arial" w:cs="Arial"/>
          <w:sz w:val="20"/>
          <w:szCs w:val="16"/>
        </w:rPr>
        <w:t>)WLCN</w:t>
      </w:r>
      <w:proofErr w:type="gramEnd"/>
      <w:r>
        <w:rPr>
          <w:rFonts w:ascii="Arial" w:hAnsi="Arial" w:cs="Arial"/>
          <w:sz w:val="20"/>
          <w:szCs w:val="16"/>
        </w:rPr>
        <w:t>.</w:t>
      </w:r>
    </w:p>
    <w:p w:rsidR="00D91A51" w:rsidRDefault="00663043" w:rsidP="007309C1">
      <w:pPr>
        <w:pStyle w:val="Heading2"/>
        <w:numPr>
          <w:ilvl w:val="1"/>
          <w:numId w:val="1"/>
        </w:numPr>
        <w:autoSpaceDE w:val="0"/>
        <w:autoSpaceDN w:val="0"/>
        <w:adjustRightInd w:val="0"/>
        <w:spacing w:after="240" w:line="240" w:lineRule="auto"/>
        <w:rPr>
          <w:rFonts w:ascii="Arial" w:hAnsi="Arial" w:cs="Arial"/>
          <w:color w:val="auto"/>
          <w:sz w:val="24"/>
          <w:szCs w:val="24"/>
        </w:rPr>
      </w:pPr>
      <w:bookmarkStart w:id="104" w:name="_Toc276037867"/>
      <w:r>
        <w:rPr>
          <w:rFonts w:ascii="Arial" w:hAnsi="Arial" w:cs="Arial"/>
          <w:color w:val="auto"/>
          <w:sz w:val="24"/>
          <w:szCs w:val="24"/>
        </w:rPr>
        <w:t>U</w:t>
      </w:r>
      <w:r w:rsidR="00D91A51" w:rsidRPr="00D91A51">
        <w:rPr>
          <w:rFonts w:ascii="Arial" w:hAnsi="Arial" w:cs="Arial"/>
          <w:color w:val="auto"/>
          <w:sz w:val="24"/>
          <w:szCs w:val="24"/>
        </w:rPr>
        <w:t>rgent 2 week referrals</w:t>
      </w:r>
      <w:r>
        <w:rPr>
          <w:rFonts w:ascii="Arial" w:hAnsi="Arial" w:cs="Arial"/>
          <w:color w:val="auto"/>
          <w:sz w:val="24"/>
          <w:szCs w:val="24"/>
        </w:rPr>
        <w:t xml:space="preserve"> result</w:t>
      </w:r>
      <w:r w:rsidR="00E92C79">
        <w:rPr>
          <w:rFonts w:ascii="Arial" w:hAnsi="Arial" w:cs="Arial"/>
          <w:color w:val="auto"/>
          <w:sz w:val="24"/>
          <w:szCs w:val="24"/>
        </w:rPr>
        <w:t xml:space="preserve">ing in </w:t>
      </w:r>
      <w:r w:rsidR="001C4BE3">
        <w:rPr>
          <w:rFonts w:ascii="Arial" w:hAnsi="Arial" w:cs="Arial"/>
          <w:color w:val="auto"/>
          <w:sz w:val="24"/>
          <w:szCs w:val="24"/>
        </w:rPr>
        <w:t>lower GI</w:t>
      </w:r>
      <w:r w:rsidR="00E92C79">
        <w:rPr>
          <w:rFonts w:ascii="Arial" w:hAnsi="Arial" w:cs="Arial"/>
          <w:color w:val="auto"/>
          <w:sz w:val="24"/>
          <w:szCs w:val="24"/>
        </w:rPr>
        <w:t xml:space="preserve"> cancer diagnosis (‘</w:t>
      </w:r>
      <w:r>
        <w:rPr>
          <w:rFonts w:ascii="Arial" w:hAnsi="Arial" w:cs="Arial"/>
          <w:color w:val="auto"/>
          <w:sz w:val="24"/>
          <w:szCs w:val="24"/>
        </w:rPr>
        <w:t>The Hit Rate’)</w:t>
      </w:r>
      <w:r w:rsidR="008D0ABC">
        <w:rPr>
          <w:rFonts w:ascii="Arial" w:hAnsi="Arial" w:cs="Arial"/>
          <w:color w:val="auto"/>
          <w:sz w:val="24"/>
          <w:szCs w:val="24"/>
        </w:rPr>
        <w:t xml:space="preserve"> by PCT and Cancer Network</w:t>
      </w:r>
      <w:r w:rsidR="006B1CA3">
        <w:rPr>
          <w:rFonts w:ascii="Arial" w:hAnsi="Arial" w:cs="Arial"/>
          <w:color w:val="auto"/>
          <w:sz w:val="24"/>
          <w:szCs w:val="24"/>
        </w:rPr>
        <w:t xml:space="preserve"> 2010</w:t>
      </w:r>
      <w:bookmarkEnd w:id="104"/>
    </w:p>
    <w:p w:rsidR="00D91A51" w:rsidRPr="00451738" w:rsidRDefault="001C4BE3" w:rsidP="00D91A51">
      <w:pPr>
        <w:rPr>
          <w:rFonts w:ascii="Arial" w:hAnsi="Arial" w:cs="Arial"/>
          <w:vanish/>
          <w:sz w:val="20"/>
          <w:szCs w:val="20"/>
          <w:specVanish/>
        </w:rPr>
      </w:pPr>
      <w:r>
        <w:rPr>
          <w:rFonts w:ascii="Arial" w:hAnsi="Arial" w:cs="Arial"/>
          <w:sz w:val="20"/>
          <w:szCs w:val="20"/>
        </w:rPr>
        <w:t>This</w:t>
      </w:r>
      <w:r w:rsidR="001D0123">
        <w:rPr>
          <w:rFonts w:ascii="Arial" w:hAnsi="Arial" w:cs="Arial"/>
          <w:sz w:val="20"/>
          <w:szCs w:val="20"/>
        </w:rPr>
        <w:t xml:space="preserve"> </w:t>
      </w:r>
      <w:r>
        <w:rPr>
          <w:rFonts w:ascii="Arial" w:hAnsi="Arial" w:cs="Arial"/>
          <w:sz w:val="20"/>
          <w:szCs w:val="20"/>
        </w:rPr>
        <w:t xml:space="preserve">section </w:t>
      </w:r>
      <w:r w:rsidR="001D0123">
        <w:rPr>
          <w:rFonts w:ascii="Arial" w:hAnsi="Arial" w:cs="Arial"/>
          <w:sz w:val="20"/>
          <w:szCs w:val="20"/>
        </w:rPr>
        <w:t>look</w:t>
      </w:r>
      <w:r>
        <w:rPr>
          <w:rFonts w:ascii="Arial" w:hAnsi="Arial" w:cs="Arial"/>
          <w:sz w:val="20"/>
          <w:szCs w:val="20"/>
        </w:rPr>
        <w:t>s</w:t>
      </w:r>
      <w:r w:rsidR="001D0123">
        <w:rPr>
          <w:rFonts w:ascii="Arial" w:hAnsi="Arial" w:cs="Arial"/>
          <w:sz w:val="20"/>
          <w:szCs w:val="20"/>
        </w:rPr>
        <w:t xml:space="preserve"> at the percentage of </w:t>
      </w:r>
      <w:r w:rsidR="003E340C">
        <w:rPr>
          <w:rFonts w:ascii="Arial" w:hAnsi="Arial" w:cs="Arial"/>
          <w:sz w:val="20"/>
          <w:szCs w:val="20"/>
        </w:rPr>
        <w:t xml:space="preserve">suspected </w:t>
      </w:r>
      <w:r>
        <w:rPr>
          <w:rFonts w:ascii="Arial" w:hAnsi="Arial" w:cs="Arial"/>
          <w:sz w:val="20"/>
          <w:szCs w:val="20"/>
        </w:rPr>
        <w:t>lower GI</w:t>
      </w:r>
      <w:r w:rsidR="003E340C">
        <w:rPr>
          <w:rFonts w:ascii="Arial" w:hAnsi="Arial" w:cs="Arial"/>
          <w:sz w:val="20"/>
          <w:szCs w:val="20"/>
        </w:rPr>
        <w:t xml:space="preserve"> cancer</w:t>
      </w:r>
      <w:r w:rsidR="001D0123">
        <w:rPr>
          <w:rFonts w:ascii="Arial" w:hAnsi="Arial" w:cs="Arial"/>
          <w:sz w:val="20"/>
          <w:szCs w:val="20"/>
        </w:rPr>
        <w:t xml:space="preserve"> </w:t>
      </w:r>
      <w:r>
        <w:rPr>
          <w:rFonts w:ascii="Arial" w:hAnsi="Arial" w:cs="Arial"/>
          <w:sz w:val="20"/>
          <w:szCs w:val="20"/>
        </w:rPr>
        <w:t xml:space="preserve">2WW </w:t>
      </w:r>
      <w:r w:rsidR="001D0123">
        <w:rPr>
          <w:rFonts w:ascii="Arial" w:hAnsi="Arial" w:cs="Arial"/>
          <w:sz w:val="20"/>
          <w:szCs w:val="20"/>
        </w:rPr>
        <w:t xml:space="preserve">referrals </w:t>
      </w:r>
      <w:r w:rsidR="003E340C">
        <w:rPr>
          <w:rFonts w:ascii="Arial" w:hAnsi="Arial" w:cs="Arial"/>
          <w:sz w:val="20"/>
          <w:szCs w:val="20"/>
        </w:rPr>
        <w:t>that result in</w:t>
      </w:r>
      <w:r w:rsidR="001D0123">
        <w:rPr>
          <w:rFonts w:ascii="Arial" w:hAnsi="Arial" w:cs="Arial"/>
          <w:sz w:val="20"/>
          <w:szCs w:val="20"/>
        </w:rPr>
        <w:t xml:space="preserve"> a</w:t>
      </w:r>
      <w:r w:rsidR="003E340C">
        <w:rPr>
          <w:rFonts w:ascii="Arial" w:hAnsi="Arial" w:cs="Arial"/>
          <w:sz w:val="20"/>
          <w:szCs w:val="20"/>
        </w:rPr>
        <w:t>n actual</w:t>
      </w:r>
      <w:r w:rsidR="001D0123">
        <w:rPr>
          <w:rFonts w:ascii="Arial" w:hAnsi="Arial" w:cs="Arial"/>
          <w:sz w:val="20"/>
          <w:szCs w:val="20"/>
        </w:rPr>
        <w:t xml:space="preserve"> diagnosis of </w:t>
      </w:r>
      <w:r>
        <w:rPr>
          <w:rFonts w:ascii="Arial" w:hAnsi="Arial" w:cs="Arial"/>
          <w:sz w:val="20"/>
          <w:szCs w:val="20"/>
        </w:rPr>
        <w:t>lower GI</w:t>
      </w:r>
      <w:r w:rsidR="001D0123">
        <w:rPr>
          <w:rFonts w:ascii="Arial" w:hAnsi="Arial" w:cs="Arial"/>
          <w:sz w:val="20"/>
          <w:szCs w:val="20"/>
        </w:rPr>
        <w:t xml:space="preserve"> cancer. </w:t>
      </w:r>
    </w:p>
    <w:p w:rsidR="00A52F55" w:rsidRDefault="00451D22" w:rsidP="00D91A51">
      <w:pPr>
        <w:rPr>
          <w:rFonts w:ascii="Arial" w:hAnsi="Arial" w:cs="Arial"/>
          <w:sz w:val="20"/>
          <w:szCs w:val="20"/>
        </w:rPr>
      </w:pPr>
      <w:r w:rsidRPr="00451738">
        <w:rPr>
          <w:rFonts w:ascii="Arial" w:hAnsi="Arial" w:cs="Arial"/>
          <w:sz w:val="20"/>
          <w:szCs w:val="20"/>
        </w:rPr>
        <w:t>The proportion of cases of cancer diagnosed through the two week wait programme (2WW) is an indicator of GPs' recognition of the signs and symptoms of cancer and appropriateness of the referral.</w:t>
      </w:r>
    </w:p>
    <w:p w:rsidR="00C77D39" w:rsidRDefault="00C77D39" w:rsidP="00C77D39">
      <w:pPr>
        <w:rPr>
          <w:rFonts w:ascii="Arial" w:hAnsi="Arial" w:cs="Arial"/>
          <w:sz w:val="20"/>
          <w:szCs w:val="20"/>
        </w:rPr>
      </w:pPr>
      <w:r>
        <w:rPr>
          <w:rFonts w:ascii="Arial" w:hAnsi="Arial" w:cs="Arial"/>
          <w:sz w:val="20"/>
          <w:szCs w:val="20"/>
        </w:rPr>
        <w:t>The proportion of urgent 2 week suspected lower GI (</w:t>
      </w:r>
      <w:fldSimple w:instr=" REF _Ref263857392 \h  \* MERGEFORMAT ">
        <w:r w:rsidR="004E6A50" w:rsidRPr="004E6A50">
          <w:rPr>
            <w:rFonts w:ascii="Arial" w:hAnsi="Arial" w:cs="Arial"/>
            <w:sz w:val="20"/>
            <w:szCs w:val="20"/>
          </w:rPr>
          <w:t xml:space="preserve">Figure </w:t>
        </w:r>
        <w:r w:rsidR="004E6A50" w:rsidRPr="004E6A50">
          <w:rPr>
            <w:rFonts w:ascii="Arial" w:hAnsi="Arial" w:cs="Arial"/>
            <w:noProof/>
            <w:sz w:val="20"/>
            <w:szCs w:val="20"/>
          </w:rPr>
          <w:t>38</w:t>
        </w:r>
      </w:fldSimple>
      <w:r>
        <w:rPr>
          <w:rFonts w:ascii="Arial" w:hAnsi="Arial" w:cs="Arial"/>
          <w:sz w:val="20"/>
          <w:szCs w:val="20"/>
        </w:rPr>
        <w:t xml:space="preserve">) cancer referrals resulting in a diagnosis of cancer in the SWLCN (8.9%) is similar to the national average (8.8%). The rate in SWLCN is the highest in London. Within the SWLCN Croydon PCT records the highest percentage of referrals resulting in lower GI cancer at 11.1%, while Wandsworth records the lowest at 6.1% The PCTs of Croydon, Kingston (9.8) and Sutton &amp; Merton (9.2) exceed the national average. </w:t>
      </w:r>
    </w:p>
    <w:p w:rsidR="000611D3" w:rsidRDefault="000611D3" w:rsidP="00D91A51">
      <w:pPr>
        <w:rPr>
          <w:rFonts w:ascii="Arial" w:hAnsi="Arial" w:cs="Arial"/>
          <w:sz w:val="20"/>
          <w:szCs w:val="20"/>
        </w:rPr>
      </w:pPr>
    </w:p>
    <w:p w:rsidR="003E340C" w:rsidRPr="003E340C" w:rsidRDefault="003E340C" w:rsidP="00291928">
      <w:pPr>
        <w:pStyle w:val="Caption"/>
        <w:spacing w:after="0"/>
        <w:rPr>
          <w:rFonts w:ascii="Arial" w:hAnsi="Arial" w:cs="Arial"/>
          <w:color w:val="auto"/>
          <w:sz w:val="20"/>
          <w:szCs w:val="20"/>
        </w:rPr>
      </w:pPr>
      <w:bookmarkStart w:id="105" w:name="_Ref263857392"/>
      <w:r w:rsidRPr="003E340C">
        <w:rPr>
          <w:rFonts w:ascii="Arial" w:hAnsi="Arial" w:cs="Arial"/>
          <w:color w:val="auto"/>
        </w:rPr>
        <w:t xml:space="preserve">Figure </w:t>
      </w:r>
      <w:r w:rsidR="00AF55AD" w:rsidRPr="003E340C">
        <w:rPr>
          <w:rFonts w:ascii="Arial" w:hAnsi="Arial" w:cs="Arial"/>
          <w:color w:val="auto"/>
        </w:rPr>
        <w:fldChar w:fldCharType="begin"/>
      </w:r>
      <w:r w:rsidRPr="003E340C">
        <w:rPr>
          <w:rFonts w:ascii="Arial" w:hAnsi="Arial" w:cs="Arial"/>
          <w:color w:val="auto"/>
        </w:rPr>
        <w:instrText xml:space="preserve"> SEQ Figure \* ARABIC </w:instrText>
      </w:r>
      <w:r w:rsidR="00AF55AD" w:rsidRPr="003E340C">
        <w:rPr>
          <w:rFonts w:ascii="Arial" w:hAnsi="Arial" w:cs="Arial"/>
          <w:color w:val="auto"/>
        </w:rPr>
        <w:fldChar w:fldCharType="separate"/>
      </w:r>
      <w:r w:rsidR="004E6A50">
        <w:rPr>
          <w:rFonts w:ascii="Arial" w:hAnsi="Arial" w:cs="Arial"/>
          <w:noProof/>
          <w:color w:val="auto"/>
        </w:rPr>
        <w:t>38</w:t>
      </w:r>
      <w:r w:rsidR="00AF55AD" w:rsidRPr="003E340C">
        <w:rPr>
          <w:rFonts w:ascii="Arial" w:hAnsi="Arial" w:cs="Arial"/>
          <w:color w:val="auto"/>
        </w:rPr>
        <w:fldChar w:fldCharType="end"/>
      </w:r>
      <w:bookmarkEnd w:id="105"/>
      <w:r w:rsidRPr="003E340C">
        <w:rPr>
          <w:rFonts w:ascii="Arial" w:hAnsi="Arial" w:cs="Arial"/>
          <w:color w:val="auto"/>
        </w:rPr>
        <w:t xml:space="preserve">: Percentage of urgent </w:t>
      </w:r>
      <w:r w:rsidR="001C4BE3">
        <w:rPr>
          <w:rFonts w:ascii="Arial" w:hAnsi="Arial" w:cs="Arial"/>
          <w:color w:val="auto"/>
        </w:rPr>
        <w:t>lower GI</w:t>
      </w:r>
      <w:r w:rsidRPr="003E340C">
        <w:rPr>
          <w:rFonts w:ascii="Arial" w:hAnsi="Arial" w:cs="Arial"/>
          <w:color w:val="auto"/>
        </w:rPr>
        <w:t xml:space="preserve"> cancer referrals diagnosed with </w:t>
      </w:r>
      <w:r w:rsidR="003E5E8B">
        <w:rPr>
          <w:rFonts w:ascii="Arial" w:hAnsi="Arial" w:cs="Arial"/>
          <w:color w:val="auto"/>
        </w:rPr>
        <w:t>colorectal</w:t>
      </w:r>
      <w:r w:rsidRPr="003E340C">
        <w:rPr>
          <w:rFonts w:ascii="Arial" w:hAnsi="Arial" w:cs="Arial"/>
          <w:color w:val="auto"/>
        </w:rPr>
        <w:t xml:space="preserve"> cancer.</w:t>
      </w:r>
    </w:p>
    <w:p w:rsidR="00485C74" w:rsidRDefault="001C4BE3" w:rsidP="00291928">
      <w:pPr>
        <w:spacing w:after="0"/>
        <w:rPr>
          <w:rFonts w:ascii="Arial" w:hAnsi="Arial" w:cs="Arial"/>
          <w:sz w:val="20"/>
          <w:szCs w:val="20"/>
        </w:rPr>
      </w:pPr>
      <w:r w:rsidRPr="001C4BE3">
        <w:rPr>
          <w:rFonts w:ascii="Arial" w:hAnsi="Arial" w:cs="Arial"/>
          <w:noProof/>
          <w:sz w:val="20"/>
          <w:szCs w:val="20"/>
          <w:lang w:val="en-US"/>
        </w:rPr>
        <w:drawing>
          <wp:inline distT="0" distB="0" distL="0" distR="0">
            <wp:extent cx="5731510" cy="2874940"/>
            <wp:effectExtent l="19050" t="0" r="21590" b="1610"/>
            <wp:docPr id="15"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291928" w:rsidRDefault="00291928" w:rsidP="00291928">
      <w:pPr>
        <w:autoSpaceDE w:val="0"/>
        <w:autoSpaceDN w:val="0"/>
        <w:adjustRightInd w:val="0"/>
        <w:spacing w:line="240" w:lineRule="auto"/>
        <w:rPr>
          <w:rFonts w:ascii="Arial" w:hAnsi="Arial" w:cs="Arial"/>
          <w:b/>
          <w:sz w:val="16"/>
          <w:szCs w:val="16"/>
        </w:rPr>
      </w:pPr>
      <w:r w:rsidRPr="00732C78">
        <w:rPr>
          <w:rFonts w:ascii="Arial" w:hAnsi="Arial" w:cs="Arial"/>
          <w:b/>
          <w:sz w:val="16"/>
          <w:szCs w:val="16"/>
        </w:rPr>
        <w:t>Source: National Cancer Waiting Times database (CWT-db).</w:t>
      </w:r>
    </w:p>
    <w:p w:rsidR="009E2E5E" w:rsidRPr="009E2E5E" w:rsidRDefault="009E2E5E" w:rsidP="00697A0E">
      <w:pPr>
        <w:rPr>
          <w:rFonts w:ascii="Arial" w:hAnsi="Arial" w:cs="Arial"/>
          <w:sz w:val="20"/>
          <w:szCs w:val="20"/>
        </w:rPr>
      </w:pPr>
      <w:r w:rsidRPr="009E2E5E">
        <w:rPr>
          <w:rFonts w:ascii="Arial" w:hAnsi="Arial" w:cs="Arial"/>
          <w:sz w:val="20"/>
          <w:szCs w:val="20"/>
        </w:rPr>
        <w:t>Although not a D</w:t>
      </w:r>
      <w:r>
        <w:rPr>
          <w:rFonts w:ascii="Arial" w:hAnsi="Arial" w:cs="Arial"/>
          <w:sz w:val="20"/>
          <w:szCs w:val="20"/>
        </w:rPr>
        <w:t>epart</w:t>
      </w:r>
      <w:r w:rsidR="007A0E77">
        <w:rPr>
          <w:rFonts w:ascii="Arial" w:hAnsi="Arial" w:cs="Arial"/>
          <w:sz w:val="20"/>
          <w:szCs w:val="20"/>
        </w:rPr>
        <w:t>ment</w:t>
      </w:r>
      <w:r>
        <w:rPr>
          <w:rFonts w:ascii="Arial" w:hAnsi="Arial" w:cs="Arial"/>
          <w:sz w:val="20"/>
          <w:szCs w:val="20"/>
        </w:rPr>
        <w:t xml:space="preserve"> of </w:t>
      </w:r>
      <w:r w:rsidRPr="009E2E5E">
        <w:rPr>
          <w:rFonts w:ascii="Arial" w:hAnsi="Arial" w:cs="Arial"/>
          <w:sz w:val="20"/>
          <w:szCs w:val="20"/>
        </w:rPr>
        <w:t>H</w:t>
      </w:r>
      <w:r>
        <w:rPr>
          <w:rFonts w:ascii="Arial" w:hAnsi="Arial" w:cs="Arial"/>
          <w:sz w:val="20"/>
          <w:szCs w:val="20"/>
        </w:rPr>
        <w:t>ealth</w:t>
      </w:r>
      <w:r w:rsidRPr="009E2E5E">
        <w:rPr>
          <w:rFonts w:ascii="Arial" w:hAnsi="Arial" w:cs="Arial"/>
          <w:sz w:val="20"/>
          <w:szCs w:val="20"/>
        </w:rPr>
        <w:t xml:space="preserve"> standard, this metric demonstrates the percentage of </w:t>
      </w:r>
      <w:r>
        <w:rPr>
          <w:rFonts w:ascii="Arial" w:hAnsi="Arial" w:cs="Arial"/>
          <w:sz w:val="20"/>
          <w:szCs w:val="20"/>
        </w:rPr>
        <w:t>two week referrals (TWR)</w:t>
      </w:r>
      <w:r w:rsidRPr="009E2E5E">
        <w:rPr>
          <w:rFonts w:ascii="Arial" w:hAnsi="Arial" w:cs="Arial"/>
          <w:sz w:val="20"/>
          <w:szCs w:val="20"/>
        </w:rPr>
        <w:t xml:space="preserve"> found to have cancer, and may be indicative of the quality of service provided by local organisations. If the benchmarked data show the organisation within the lower quartile (i.e. a smaller proportion of patients referred as TWR are diagnosed with cancer than other organisations) then questions could be asked about the interpretation of the TWR NICE Referral Guidelines by primary care. In addition local secondary care teams could be asked to audit the appropriateness</w:t>
      </w:r>
      <w:r>
        <w:rPr>
          <w:rFonts w:ascii="Arial" w:hAnsi="Arial" w:cs="Arial"/>
          <w:sz w:val="20"/>
          <w:szCs w:val="20"/>
        </w:rPr>
        <w:t xml:space="preserve"> of all TWR referrals received (</w:t>
      </w:r>
      <w:r w:rsidR="004D5B5A">
        <w:rPr>
          <w:rFonts w:ascii="Arial" w:hAnsi="Arial" w:cs="Arial"/>
          <w:sz w:val="20"/>
          <w:szCs w:val="20"/>
        </w:rPr>
        <w:t>NHS Cancer Commissioning Toolkit 2010)</w:t>
      </w:r>
      <w:r>
        <w:rPr>
          <w:rFonts w:ascii="Arial" w:hAnsi="Arial" w:cs="Arial"/>
          <w:sz w:val="20"/>
          <w:szCs w:val="20"/>
        </w:rPr>
        <w:t>.</w:t>
      </w:r>
      <w:r w:rsidR="003E5E8B">
        <w:rPr>
          <w:rFonts w:ascii="Arial" w:hAnsi="Arial" w:cs="Arial"/>
          <w:sz w:val="20"/>
          <w:szCs w:val="20"/>
        </w:rPr>
        <w:t xml:space="preserve"> Only Wandsworth PCT in SWL appears in the lowest quartile, while SWLCN as a whole appears in the inter-quartile range, i.e. the 2 middle quartiles.</w:t>
      </w:r>
    </w:p>
    <w:p w:rsidR="00CF42B3" w:rsidRDefault="00CF42B3" w:rsidP="00697A0E">
      <w:pPr>
        <w:rPr>
          <w:rFonts w:ascii="Arial" w:hAnsi="Arial" w:cs="Arial"/>
          <w:sz w:val="20"/>
          <w:szCs w:val="20"/>
        </w:rPr>
      </w:pPr>
    </w:p>
    <w:p w:rsidR="000611D3" w:rsidRDefault="000611D3" w:rsidP="00697A0E">
      <w:pPr>
        <w:rPr>
          <w:rFonts w:ascii="Arial" w:hAnsi="Arial" w:cs="Arial"/>
          <w:sz w:val="20"/>
          <w:szCs w:val="20"/>
        </w:rPr>
      </w:pPr>
    </w:p>
    <w:p w:rsidR="000611D3" w:rsidRDefault="000611D3" w:rsidP="00697A0E">
      <w:pPr>
        <w:rPr>
          <w:rFonts w:ascii="Arial" w:hAnsi="Arial" w:cs="Arial"/>
          <w:sz w:val="20"/>
          <w:szCs w:val="20"/>
        </w:rPr>
      </w:pPr>
    </w:p>
    <w:p w:rsidR="000611D3" w:rsidRDefault="000611D3" w:rsidP="00697A0E">
      <w:pPr>
        <w:rPr>
          <w:rFonts w:ascii="Arial" w:hAnsi="Arial" w:cs="Arial"/>
          <w:sz w:val="20"/>
          <w:szCs w:val="20"/>
        </w:rPr>
      </w:pPr>
    </w:p>
    <w:p w:rsidR="000611D3" w:rsidRDefault="000611D3" w:rsidP="00697A0E">
      <w:pPr>
        <w:rPr>
          <w:rFonts w:ascii="Arial" w:hAnsi="Arial" w:cs="Arial"/>
          <w:sz w:val="20"/>
          <w:szCs w:val="20"/>
        </w:rPr>
      </w:pPr>
    </w:p>
    <w:p w:rsidR="000611D3" w:rsidRDefault="000611D3" w:rsidP="00697A0E">
      <w:pPr>
        <w:rPr>
          <w:rFonts w:ascii="Arial" w:hAnsi="Arial" w:cs="Arial"/>
          <w:sz w:val="20"/>
          <w:szCs w:val="20"/>
        </w:rPr>
      </w:pPr>
    </w:p>
    <w:p w:rsidR="000611D3" w:rsidRDefault="000611D3" w:rsidP="00697A0E">
      <w:pPr>
        <w:rPr>
          <w:rFonts w:ascii="Arial" w:hAnsi="Arial" w:cs="Arial"/>
          <w:sz w:val="20"/>
          <w:szCs w:val="20"/>
        </w:rPr>
      </w:pPr>
    </w:p>
    <w:p w:rsidR="0044562E" w:rsidRDefault="0044562E" w:rsidP="004D5B5A">
      <w:pPr>
        <w:autoSpaceDE w:val="0"/>
        <w:autoSpaceDN w:val="0"/>
        <w:adjustRightInd w:val="0"/>
        <w:spacing w:line="240" w:lineRule="auto"/>
        <w:rPr>
          <w:rFonts w:ascii="Arial" w:hAnsi="Arial" w:cs="Arial"/>
          <w:b/>
          <w:sz w:val="16"/>
          <w:szCs w:val="16"/>
        </w:rPr>
      </w:pPr>
    </w:p>
    <w:p w:rsidR="00C77D39" w:rsidRDefault="00C77D39" w:rsidP="004D5B5A">
      <w:pPr>
        <w:autoSpaceDE w:val="0"/>
        <w:autoSpaceDN w:val="0"/>
        <w:adjustRightInd w:val="0"/>
        <w:spacing w:line="240" w:lineRule="auto"/>
        <w:rPr>
          <w:rFonts w:ascii="Arial" w:hAnsi="Arial" w:cs="Arial"/>
          <w:b/>
          <w:sz w:val="16"/>
          <w:szCs w:val="16"/>
        </w:rPr>
      </w:pPr>
    </w:p>
    <w:p w:rsidR="00C77D39" w:rsidRDefault="00C77D39" w:rsidP="004D5B5A">
      <w:pPr>
        <w:autoSpaceDE w:val="0"/>
        <w:autoSpaceDN w:val="0"/>
        <w:adjustRightInd w:val="0"/>
        <w:spacing w:line="240" w:lineRule="auto"/>
        <w:rPr>
          <w:rFonts w:ascii="Arial" w:hAnsi="Arial" w:cs="Arial"/>
          <w:b/>
          <w:sz w:val="16"/>
          <w:szCs w:val="16"/>
        </w:rPr>
      </w:pPr>
    </w:p>
    <w:p w:rsidR="00C77D39" w:rsidRDefault="00C77D39" w:rsidP="004D5B5A">
      <w:pPr>
        <w:autoSpaceDE w:val="0"/>
        <w:autoSpaceDN w:val="0"/>
        <w:adjustRightInd w:val="0"/>
        <w:spacing w:line="240" w:lineRule="auto"/>
        <w:rPr>
          <w:rFonts w:ascii="Arial" w:hAnsi="Arial" w:cs="Arial"/>
          <w:b/>
          <w:sz w:val="16"/>
          <w:szCs w:val="16"/>
        </w:rPr>
      </w:pPr>
    </w:p>
    <w:p w:rsidR="00C77D39" w:rsidRDefault="00C77D39" w:rsidP="004D5B5A">
      <w:pPr>
        <w:autoSpaceDE w:val="0"/>
        <w:autoSpaceDN w:val="0"/>
        <w:adjustRightInd w:val="0"/>
        <w:spacing w:line="240" w:lineRule="auto"/>
        <w:rPr>
          <w:rFonts w:ascii="Arial" w:hAnsi="Arial" w:cs="Arial"/>
          <w:b/>
          <w:sz w:val="16"/>
          <w:szCs w:val="16"/>
        </w:rPr>
      </w:pPr>
    </w:p>
    <w:p w:rsidR="000C32AB" w:rsidRDefault="000C32AB" w:rsidP="007309C1">
      <w:pPr>
        <w:pStyle w:val="Heading1"/>
        <w:numPr>
          <w:ilvl w:val="0"/>
          <w:numId w:val="1"/>
        </w:numPr>
        <w:spacing w:before="0" w:after="240"/>
        <w:rPr>
          <w:rFonts w:ascii="Arial" w:hAnsi="Arial" w:cs="Arial"/>
          <w:color w:val="auto"/>
        </w:rPr>
      </w:pPr>
      <w:bookmarkStart w:id="106" w:name="_Toc276037868"/>
      <w:r>
        <w:rPr>
          <w:rFonts w:ascii="Arial" w:hAnsi="Arial" w:cs="Arial"/>
          <w:color w:val="auto"/>
        </w:rPr>
        <w:t>Primary Care Audit</w:t>
      </w:r>
      <w:r w:rsidR="003C7D76">
        <w:rPr>
          <w:rFonts w:ascii="Arial" w:hAnsi="Arial" w:cs="Arial"/>
          <w:color w:val="auto"/>
        </w:rPr>
        <w:t xml:space="preserve"> </w:t>
      </w:r>
      <w:r w:rsidR="006B1CA3">
        <w:rPr>
          <w:rFonts w:ascii="Arial" w:hAnsi="Arial" w:cs="Arial"/>
          <w:color w:val="auto"/>
        </w:rPr>
        <w:t>2010</w:t>
      </w:r>
      <w:bookmarkEnd w:id="106"/>
    </w:p>
    <w:p w:rsidR="00903FD6" w:rsidRDefault="00110835" w:rsidP="00903FD6">
      <w:pPr>
        <w:rPr>
          <w:rFonts w:ascii="Arial" w:hAnsi="Arial" w:cs="Arial"/>
          <w:sz w:val="20"/>
          <w:szCs w:val="20"/>
          <w:lang w:val="en-US"/>
        </w:rPr>
      </w:pPr>
      <w:r w:rsidRPr="00903FD6">
        <w:rPr>
          <w:rFonts w:ascii="Arial" w:hAnsi="Arial" w:cs="Arial"/>
          <w:sz w:val="20"/>
          <w:szCs w:val="20"/>
          <w:lang w:val="en-US"/>
        </w:rPr>
        <w:t xml:space="preserve">The Cancer Reform Strategy 2007 proposed undertaking a national audit in primary care of newly-diagnosed cancers, to inform decisions about how best to support primary care professionals and ensure the earliest diagnosis. </w:t>
      </w:r>
      <w:r w:rsidRPr="00903FD6">
        <w:rPr>
          <w:rFonts w:ascii="Arial" w:hAnsi="Arial" w:cs="Arial"/>
          <w:sz w:val="20"/>
          <w:szCs w:val="20"/>
        </w:rPr>
        <w:t xml:space="preserve">During the period April-June 2010 the SWLCN undertook such an audit. </w:t>
      </w:r>
      <w:r w:rsidRPr="00903FD6">
        <w:rPr>
          <w:rFonts w:ascii="Arial" w:hAnsi="Arial" w:cs="Arial"/>
          <w:sz w:val="20"/>
          <w:szCs w:val="20"/>
          <w:lang w:val="en-US"/>
        </w:rPr>
        <w:t xml:space="preserve">A person’s cancer pathway begins when they </w:t>
      </w:r>
      <w:proofErr w:type="spellStart"/>
      <w:r w:rsidRPr="00903FD6">
        <w:rPr>
          <w:rFonts w:ascii="Arial" w:hAnsi="Arial" w:cs="Arial"/>
          <w:sz w:val="20"/>
          <w:szCs w:val="20"/>
          <w:lang w:val="en-US"/>
        </w:rPr>
        <w:t>recognise</w:t>
      </w:r>
      <w:proofErr w:type="spellEnd"/>
      <w:r w:rsidRPr="00903FD6">
        <w:rPr>
          <w:rFonts w:ascii="Arial" w:hAnsi="Arial" w:cs="Arial"/>
          <w:sz w:val="20"/>
          <w:szCs w:val="20"/>
          <w:lang w:val="en-US"/>
        </w:rPr>
        <w:t xml:space="preserve"> and then act on signs and symptoms. A person who has a type of cancer with easily </w:t>
      </w:r>
      <w:proofErr w:type="spellStart"/>
      <w:r w:rsidRPr="00903FD6">
        <w:rPr>
          <w:rFonts w:ascii="Arial" w:hAnsi="Arial" w:cs="Arial"/>
          <w:sz w:val="20"/>
          <w:szCs w:val="20"/>
          <w:lang w:val="en-US"/>
        </w:rPr>
        <w:t>recognisable</w:t>
      </w:r>
      <w:proofErr w:type="spellEnd"/>
      <w:r w:rsidRPr="00903FD6">
        <w:rPr>
          <w:rFonts w:ascii="Arial" w:hAnsi="Arial" w:cs="Arial"/>
          <w:sz w:val="20"/>
          <w:szCs w:val="20"/>
          <w:lang w:val="en-US"/>
        </w:rPr>
        <w:t xml:space="preserve"> symptoms will present sooner. For example, breast cancer signs are more </w:t>
      </w:r>
      <w:proofErr w:type="spellStart"/>
      <w:r w:rsidRPr="00903FD6">
        <w:rPr>
          <w:rFonts w:ascii="Arial" w:hAnsi="Arial" w:cs="Arial"/>
          <w:sz w:val="20"/>
          <w:szCs w:val="20"/>
          <w:lang w:val="en-US"/>
        </w:rPr>
        <w:t>recognisable</w:t>
      </w:r>
      <w:proofErr w:type="spellEnd"/>
      <w:r w:rsidRPr="00903FD6">
        <w:rPr>
          <w:rFonts w:ascii="Arial" w:hAnsi="Arial" w:cs="Arial"/>
          <w:sz w:val="20"/>
          <w:szCs w:val="20"/>
          <w:lang w:val="en-US"/>
        </w:rPr>
        <w:t xml:space="preserve"> than those of colon cancer. Sometimes, despite </w:t>
      </w:r>
      <w:proofErr w:type="spellStart"/>
      <w:r w:rsidRPr="00903FD6">
        <w:rPr>
          <w:rFonts w:ascii="Arial" w:hAnsi="Arial" w:cs="Arial"/>
          <w:sz w:val="20"/>
          <w:szCs w:val="20"/>
          <w:lang w:val="en-US"/>
        </w:rPr>
        <w:t>recognising</w:t>
      </w:r>
      <w:proofErr w:type="spellEnd"/>
      <w:r w:rsidRPr="00903FD6">
        <w:rPr>
          <w:rFonts w:ascii="Arial" w:hAnsi="Arial" w:cs="Arial"/>
          <w:sz w:val="20"/>
          <w:szCs w:val="20"/>
          <w:lang w:val="en-US"/>
        </w:rPr>
        <w:t xml:space="preserve"> symptoms, people are reluctant to present to primary care. </w:t>
      </w:r>
      <w:r>
        <w:rPr>
          <w:rFonts w:ascii="Arial" w:hAnsi="Arial" w:cs="Arial"/>
          <w:sz w:val="20"/>
          <w:szCs w:val="20"/>
          <w:lang w:val="en-US"/>
        </w:rPr>
        <w:t xml:space="preserve">The audit covered 39 practices across South West London. </w:t>
      </w:r>
      <w:r w:rsidR="000D04DA">
        <w:rPr>
          <w:rFonts w:ascii="Arial" w:hAnsi="Arial" w:cs="Arial"/>
          <w:sz w:val="20"/>
          <w:szCs w:val="20"/>
          <w:lang w:val="en-US"/>
        </w:rPr>
        <w:t>Ninety-six</w:t>
      </w:r>
      <w:r w:rsidR="00903FD6">
        <w:rPr>
          <w:rFonts w:ascii="Arial" w:hAnsi="Arial" w:cs="Arial"/>
          <w:sz w:val="20"/>
          <w:szCs w:val="20"/>
          <w:lang w:val="en-US"/>
        </w:rPr>
        <w:t xml:space="preserve"> cases of </w:t>
      </w:r>
      <w:r w:rsidR="000D04DA">
        <w:rPr>
          <w:rFonts w:ascii="Arial" w:hAnsi="Arial" w:cs="Arial"/>
          <w:sz w:val="20"/>
          <w:szCs w:val="20"/>
          <w:lang w:val="en-US"/>
        </w:rPr>
        <w:t>colorectal</w:t>
      </w:r>
      <w:r w:rsidR="00903FD6">
        <w:rPr>
          <w:rFonts w:ascii="Arial" w:hAnsi="Arial" w:cs="Arial"/>
          <w:sz w:val="20"/>
          <w:szCs w:val="20"/>
          <w:lang w:val="en-US"/>
        </w:rPr>
        <w:t xml:space="preserve"> cancer were found accounting for </w:t>
      </w:r>
      <w:r w:rsidR="000D04DA">
        <w:rPr>
          <w:rFonts w:ascii="Arial" w:hAnsi="Arial" w:cs="Arial"/>
          <w:sz w:val="20"/>
          <w:szCs w:val="20"/>
          <w:lang w:val="en-US"/>
        </w:rPr>
        <w:t>14</w:t>
      </w:r>
      <w:r w:rsidR="00903FD6">
        <w:rPr>
          <w:rFonts w:ascii="Arial" w:hAnsi="Arial" w:cs="Arial"/>
          <w:sz w:val="20"/>
          <w:szCs w:val="20"/>
          <w:lang w:val="en-US"/>
        </w:rPr>
        <w:t xml:space="preserve">% of all cancer </w:t>
      </w:r>
      <w:proofErr w:type="gramStart"/>
      <w:r w:rsidR="00903FD6">
        <w:rPr>
          <w:rFonts w:ascii="Arial" w:hAnsi="Arial" w:cs="Arial"/>
          <w:sz w:val="20"/>
          <w:szCs w:val="20"/>
          <w:lang w:val="en-US"/>
        </w:rPr>
        <w:t>incidence</w:t>
      </w:r>
      <w:proofErr w:type="gramEnd"/>
      <w:r w:rsidR="00903FD6">
        <w:rPr>
          <w:rFonts w:ascii="Arial" w:hAnsi="Arial" w:cs="Arial"/>
          <w:sz w:val="20"/>
          <w:szCs w:val="20"/>
          <w:lang w:val="en-US"/>
        </w:rPr>
        <w:t xml:space="preserve"> found in the audit. </w:t>
      </w:r>
      <w:r w:rsidR="000D04DA">
        <w:rPr>
          <w:rFonts w:ascii="Arial" w:hAnsi="Arial" w:cs="Arial"/>
          <w:sz w:val="20"/>
          <w:szCs w:val="20"/>
          <w:lang w:val="en-US"/>
        </w:rPr>
        <w:t xml:space="preserve">An even distribution across the possible stages at diagnoses of colorectal was reported, with 30% (29 cases) </w:t>
      </w:r>
      <w:r w:rsidR="007937D1">
        <w:rPr>
          <w:rFonts w:ascii="Arial" w:hAnsi="Arial" w:cs="Arial"/>
          <w:sz w:val="20"/>
          <w:szCs w:val="20"/>
          <w:lang w:val="en-US"/>
        </w:rPr>
        <w:t xml:space="preserve">of </w:t>
      </w:r>
      <w:r w:rsidR="000D04DA">
        <w:rPr>
          <w:rFonts w:ascii="Arial" w:hAnsi="Arial" w:cs="Arial"/>
          <w:sz w:val="20"/>
          <w:szCs w:val="20"/>
          <w:lang w:val="en-US"/>
        </w:rPr>
        <w:t>cases staged at ‘organ’, 29% (28) at local spread’ and</w:t>
      </w:r>
      <w:r w:rsidR="00C752CE">
        <w:rPr>
          <w:rFonts w:ascii="Arial" w:hAnsi="Arial" w:cs="Arial"/>
          <w:sz w:val="20"/>
          <w:szCs w:val="20"/>
          <w:lang w:val="en-US"/>
        </w:rPr>
        <w:t xml:space="preserve"> </w:t>
      </w:r>
      <w:r w:rsidR="000D04DA">
        <w:rPr>
          <w:rFonts w:ascii="Arial" w:hAnsi="Arial" w:cs="Arial"/>
          <w:sz w:val="20"/>
          <w:szCs w:val="20"/>
          <w:lang w:val="en-US"/>
        </w:rPr>
        <w:t>28% (27) at</w:t>
      </w:r>
      <w:r w:rsidR="00C752CE">
        <w:rPr>
          <w:rFonts w:ascii="Arial" w:hAnsi="Arial" w:cs="Arial"/>
          <w:sz w:val="20"/>
          <w:szCs w:val="20"/>
          <w:lang w:val="en-US"/>
        </w:rPr>
        <w:t xml:space="preserve"> ‘distant </w:t>
      </w:r>
      <w:r w:rsidR="00C752CE" w:rsidRPr="00C752CE">
        <w:rPr>
          <w:rFonts w:ascii="Arial" w:hAnsi="Arial" w:cs="Arial"/>
          <w:sz w:val="20"/>
          <w:szCs w:val="20"/>
        </w:rPr>
        <w:t>metastases</w:t>
      </w:r>
      <w:r w:rsidR="000D04DA">
        <w:rPr>
          <w:rFonts w:ascii="Arial" w:hAnsi="Arial" w:cs="Arial"/>
          <w:sz w:val="20"/>
          <w:szCs w:val="20"/>
        </w:rPr>
        <w:t>’</w:t>
      </w:r>
      <w:r w:rsidR="00C752CE">
        <w:rPr>
          <w:rFonts w:ascii="Arial" w:hAnsi="Arial" w:cs="Arial"/>
          <w:sz w:val="20"/>
          <w:szCs w:val="20"/>
        </w:rPr>
        <w:t xml:space="preserve">. </w:t>
      </w:r>
      <w:r w:rsidR="000D04DA">
        <w:rPr>
          <w:rFonts w:ascii="Arial" w:hAnsi="Arial" w:cs="Arial"/>
          <w:sz w:val="20"/>
          <w:szCs w:val="20"/>
        </w:rPr>
        <w:t>Thirteen percent (12) were classed as</w:t>
      </w:r>
      <w:r w:rsidR="00C752CE">
        <w:rPr>
          <w:rFonts w:ascii="Arial" w:hAnsi="Arial" w:cs="Arial"/>
          <w:sz w:val="20"/>
          <w:szCs w:val="20"/>
        </w:rPr>
        <w:t xml:space="preserve"> ‘Not known’ or ‘Not stated’. </w:t>
      </w:r>
      <w:r w:rsidR="00CA3FDC">
        <w:rPr>
          <w:rFonts w:ascii="Arial" w:hAnsi="Arial" w:cs="Arial"/>
          <w:sz w:val="20"/>
          <w:szCs w:val="20"/>
        </w:rPr>
        <w:t xml:space="preserve">Due to small numbers the findings presented here are a mixture of </w:t>
      </w:r>
      <w:r w:rsidR="000D04DA">
        <w:rPr>
          <w:rFonts w:ascii="Arial" w:hAnsi="Arial" w:cs="Arial"/>
          <w:sz w:val="20"/>
          <w:szCs w:val="20"/>
        </w:rPr>
        <w:t>colorectal</w:t>
      </w:r>
      <w:r w:rsidR="00CA3FDC">
        <w:rPr>
          <w:rFonts w:ascii="Arial" w:hAnsi="Arial" w:cs="Arial"/>
          <w:sz w:val="20"/>
          <w:szCs w:val="20"/>
        </w:rPr>
        <w:t xml:space="preserve"> cancer specific figures as well as data aggregated for all cancers.</w:t>
      </w:r>
    </w:p>
    <w:p w:rsidR="00110835" w:rsidRDefault="00110835" w:rsidP="00110835">
      <w:pPr>
        <w:rPr>
          <w:rFonts w:ascii="Arial" w:hAnsi="Arial" w:cs="Arial"/>
          <w:sz w:val="20"/>
          <w:szCs w:val="20"/>
          <w:lang w:val="en-US"/>
        </w:rPr>
      </w:pPr>
      <w:r>
        <w:rPr>
          <w:rFonts w:ascii="Arial" w:hAnsi="Arial" w:cs="Arial"/>
          <w:sz w:val="20"/>
          <w:szCs w:val="20"/>
          <w:lang w:val="en-US"/>
        </w:rPr>
        <w:t xml:space="preserve">Of all the cancer patients found in the audit 46% (299 cases) were 2 week referrals, which is similar to the average (45%) recorded across England for 2009-10. Fourteen percent (89) were emergency cases and 15% (101) were classed as routine. The number of emergency cases appears excessive (compared to other networks); this may be due to occurrences of patients that did not visit the GP but were admitted to hospital via A&amp;E being recorded as emergency cases. The correct definition in relation to GPs is only those patients that visit the GP and are immediately (same day) referred to the acute trust. </w:t>
      </w:r>
      <w:r>
        <w:rPr>
          <w:rFonts w:ascii="Arial" w:hAnsi="Arial" w:cs="Arial"/>
          <w:sz w:val="20"/>
        </w:rPr>
        <w:t>Consultation</w:t>
      </w:r>
      <w:r w:rsidRPr="00147591">
        <w:rPr>
          <w:rFonts w:ascii="Arial" w:hAnsi="Arial" w:cs="Arial"/>
          <w:sz w:val="20"/>
        </w:rPr>
        <w:t xml:space="preserve"> with participating GPs and the lead GP for the SWLCN audit confirmed this ambiguity had arisen</w:t>
      </w:r>
      <w:r w:rsidR="00F21059">
        <w:rPr>
          <w:rFonts w:ascii="Arial" w:hAnsi="Arial" w:cs="Arial"/>
          <w:sz w:val="20"/>
        </w:rPr>
        <w:t xml:space="preserve"> (SWLCN 2010)</w:t>
      </w:r>
      <w:r w:rsidR="00F21059" w:rsidRPr="00147591">
        <w:rPr>
          <w:rFonts w:ascii="Arial" w:hAnsi="Arial" w:cs="Arial"/>
          <w:sz w:val="20"/>
        </w:rPr>
        <w:t>.</w:t>
      </w:r>
    </w:p>
    <w:p w:rsidR="00110835" w:rsidRPr="00CA3FDC" w:rsidRDefault="00110835" w:rsidP="00110835">
      <w:pPr>
        <w:rPr>
          <w:rFonts w:ascii="Arial" w:hAnsi="Arial" w:cs="Arial"/>
          <w:sz w:val="20"/>
          <w:szCs w:val="20"/>
        </w:rPr>
      </w:pPr>
      <w:r>
        <w:rPr>
          <w:rFonts w:ascii="Arial" w:hAnsi="Arial" w:cs="Arial"/>
          <w:sz w:val="20"/>
          <w:szCs w:val="20"/>
          <w:lang w:val="en-US"/>
        </w:rPr>
        <w:t xml:space="preserve">Twelve percent (81) were not referred by the practice. Overall 146 cases (22%) were identified as cases where an avoidable delay had occurred. </w:t>
      </w:r>
    </w:p>
    <w:p w:rsidR="00514D0E" w:rsidRDefault="00514D0E" w:rsidP="00903FD6">
      <w:pPr>
        <w:rPr>
          <w:rFonts w:ascii="Arial" w:hAnsi="Arial" w:cs="Arial"/>
          <w:sz w:val="20"/>
          <w:szCs w:val="20"/>
          <w:lang w:val="en-US"/>
        </w:rPr>
      </w:pPr>
      <w:r>
        <w:rPr>
          <w:rFonts w:ascii="Arial" w:hAnsi="Arial" w:cs="Arial"/>
          <w:sz w:val="20"/>
          <w:szCs w:val="20"/>
          <w:lang w:val="en-US"/>
        </w:rPr>
        <w:t xml:space="preserve">The median time for patients noticing and reporting symptoms of </w:t>
      </w:r>
      <w:r w:rsidR="000D04DA">
        <w:rPr>
          <w:rFonts w:ascii="Arial" w:hAnsi="Arial" w:cs="Arial"/>
          <w:sz w:val="20"/>
          <w:szCs w:val="20"/>
          <w:lang w:val="en-US"/>
        </w:rPr>
        <w:t>colorectal</w:t>
      </w:r>
      <w:r>
        <w:rPr>
          <w:rFonts w:ascii="Arial" w:hAnsi="Arial" w:cs="Arial"/>
          <w:sz w:val="20"/>
          <w:szCs w:val="20"/>
          <w:lang w:val="en-US"/>
        </w:rPr>
        <w:t xml:space="preserve"> cancer were 1</w:t>
      </w:r>
      <w:r w:rsidR="000D04DA">
        <w:rPr>
          <w:rFonts w:ascii="Arial" w:hAnsi="Arial" w:cs="Arial"/>
          <w:sz w:val="20"/>
          <w:szCs w:val="20"/>
          <w:lang w:val="en-US"/>
        </w:rPr>
        <w:t>6</w:t>
      </w:r>
      <w:r>
        <w:rPr>
          <w:rFonts w:ascii="Arial" w:hAnsi="Arial" w:cs="Arial"/>
          <w:sz w:val="20"/>
          <w:szCs w:val="20"/>
          <w:lang w:val="en-US"/>
        </w:rPr>
        <w:t xml:space="preserve"> days, while the median time between reporting symptoms to a GP referra</w:t>
      </w:r>
      <w:r w:rsidR="000D04DA">
        <w:rPr>
          <w:rFonts w:ascii="Arial" w:hAnsi="Arial" w:cs="Arial"/>
          <w:sz w:val="20"/>
          <w:szCs w:val="20"/>
          <w:lang w:val="en-US"/>
        </w:rPr>
        <w:t>l to secondary care was 1</w:t>
      </w:r>
      <w:r w:rsidR="00CA3FDC">
        <w:rPr>
          <w:rFonts w:ascii="Arial" w:hAnsi="Arial" w:cs="Arial"/>
          <w:sz w:val="20"/>
          <w:szCs w:val="20"/>
          <w:lang w:val="en-US"/>
        </w:rPr>
        <w:t xml:space="preserve"> day with the median time from referral to first visit to seco</w:t>
      </w:r>
      <w:r w:rsidR="000D04DA">
        <w:rPr>
          <w:rFonts w:ascii="Arial" w:hAnsi="Arial" w:cs="Arial"/>
          <w:sz w:val="20"/>
          <w:szCs w:val="20"/>
          <w:lang w:val="en-US"/>
        </w:rPr>
        <w:t>ndary care being 12</w:t>
      </w:r>
      <w:r w:rsidR="00CA3FDC">
        <w:rPr>
          <w:rFonts w:ascii="Arial" w:hAnsi="Arial" w:cs="Arial"/>
          <w:sz w:val="20"/>
          <w:szCs w:val="20"/>
          <w:lang w:val="en-US"/>
        </w:rPr>
        <w:t xml:space="preserve"> days. </w:t>
      </w:r>
      <w:r w:rsidR="00FB5477">
        <w:rPr>
          <w:rFonts w:ascii="Arial" w:hAnsi="Arial" w:cs="Arial"/>
          <w:sz w:val="20"/>
          <w:szCs w:val="20"/>
          <w:lang w:val="en-US"/>
        </w:rPr>
        <w:t>Comparisons with other cancers are</w:t>
      </w:r>
      <w:r w:rsidR="00CA3FDC" w:rsidRPr="00CA3FDC">
        <w:rPr>
          <w:rFonts w:ascii="Arial" w:hAnsi="Arial" w:cs="Arial"/>
          <w:sz w:val="20"/>
          <w:szCs w:val="20"/>
          <w:lang w:val="en-US"/>
        </w:rPr>
        <w:t xml:space="preserve"> shown in </w:t>
      </w:r>
      <w:fldSimple w:instr=" REF _Ref265143599 \h  \* MERGEFORMAT ">
        <w:r w:rsidR="004E6A50" w:rsidRPr="004E6A50">
          <w:rPr>
            <w:rFonts w:ascii="Arial" w:hAnsi="Arial" w:cs="Arial"/>
            <w:sz w:val="20"/>
            <w:szCs w:val="20"/>
          </w:rPr>
          <w:t xml:space="preserve">Figure </w:t>
        </w:r>
        <w:r w:rsidR="004E6A50" w:rsidRPr="004E6A50">
          <w:rPr>
            <w:rFonts w:ascii="Arial" w:hAnsi="Arial" w:cs="Arial"/>
            <w:noProof/>
            <w:sz w:val="20"/>
            <w:szCs w:val="20"/>
          </w:rPr>
          <w:t>39</w:t>
        </w:r>
      </w:fldSimple>
      <w:r w:rsidR="00CA3FDC" w:rsidRPr="00CA3FDC">
        <w:rPr>
          <w:rFonts w:ascii="Arial" w:hAnsi="Arial" w:cs="Arial"/>
          <w:sz w:val="20"/>
          <w:szCs w:val="20"/>
          <w:lang w:val="en-US"/>
        </w:rPr>
        <w:t>.</w:t>
      </w:r>
    </w:p>
    <w:p w:rsidR="00CA3FDC" w:rsidRPr="00CA3FDC" w:rsidRDefault="00CA3FDC" w:rsidP="00CA3FDC">
      <w:pPr>
        <w:pStyle w:val="Caption"/>
        <w:spacing w:after="0"/>
        <w:rPr>
          <w:rFonts w:ascii="Arial" w:hAnsi="Arial" w:cs="Arial"/>
          <w:color w:val="auto"/>
          <w:sz w:val="20"/>
          <w:szCs w:val="20"/>
          <w:lang w:val="en-US"/>
        </w:rPr>
      </w:pPr>
      <w:bookmarkStart w:id="107" w:name="_Ref265143599"/>
      <w:r w:rsidRPr="00CA3FDC">
        <w:rPr>
          <w:rFonts w:ascii="Arial" w:hAnsi="Arial" w:cs="Arial"/>
          <w:color w:val="auto"/>
        </w:rPr>
        <w:t xml:space="preserve">Figure </w:t>
      </w:r>
      <w:r w:rsidR="00AF55AD" w:rsidRPr="00CA3FDC">
        <w:rPr>
          <w:rFonts w:ascii="Arial" w:hAnsi="Arial" w:cs="Arial"/>
          <w:color w:val="auto"/>
        </w:rPr>
        <w:fldChar w:fldCharType="begin"/>
      </w:r>
      <w:r w:rsidRPr="00CA3FDC">
        <w:rPr>
          <w:rFonts w:ascii="Arial" w:hAnsi="Arial" w:cs="Arial"/>
          <w:color w:val="auto"/>
        </w:rPr>
        <w:instrText xml:space="preserve"> SEQ Figure \* ARABIC </w:instrText>
      </w:r>
      <w:r w:rsidR="00AF55AD" w:rsidRPr="00CA3FDC">
        <w:rPr>
          <w:rFonts w:ascii="Arial" w:hAnsi="Arial" w:cs="Arial"/>
          <w:color w:val="auto"/>
        </w:rPr>
        <w:fldChar w:fldCharType="separate"/>
      </w:r>
      <w:r w:rsidR="004E6A50">
        <w:rPr>
          <w:rFonts w:ascii="Arial" w:hAnsi="Arial" w:cs="Arial"/>
          <w:noProof/>
          <w:color w:val="auto"/>
        </w:rPr>
        <w:t>39</w:t>
      </w:r>
      <w:r w:rsidR="00AF55AD" w:rsidRPr="00CA3FDC">
        <w:rPr>
          <w:rFonts w:ascii="Arial" w:hAnsi="Arial" w:cs="Arial"/>
          <w:color w:val="auto"/>
        </w:rPr>
        <w:fldChar w:fldCharType="end"/>
      </w:r>
      <w:bookmarkEnd w:id="107"/>
      <w:r w:rsidRPr="00CA3FDC">
        <w:rPr>
          <w:rFonts w:ascii="Arial" w:hAnsi="Arial" w:cs="Arial"/>
          <w:color w:val="auto"/>
        </w:rPr>
        <w:t xml:space="preserve">: Median times from patients noticing and reporting symptoms to </w:t>
      </w:r>
      <w:r w:rsidR="00FB5477">
        <w:rPr>
          <w:rFonts w:ascii="Arial" w:hAnsi="Arial" w:cs="Arial"/>
          <w:color w:val="auto"/>
        </w:rPr>
        <w:t xml:space="preserve">first </w:t>
      </w:r>
      <w:r w:rsidRPr="00CA3FDC">
        <w:rPr>
          <w:rFonts w:ascii="Arial" w:hAnsi="Arial" w:cs="Arial"/>
          <w:color w:val="auto"/>
        </w:rPr>
        <w:t>being seen in secondary care.</w:t>
      </w:r>
    </w:p>
    <w:p w:rsidR="00903FD6" w:rsidRDefault="00CA3FDC" w:rsidP="00CA3FDC">
      <w:pPr>
        <w:spacing w:after="0"/>
        <w:rPr>
          <w:rFonts w:ascii="Arial" w:hAnsi="Arial" w:cs="Arial"/>
          <w:sz w:val="20"/>
          <w:szCs w:val="20"/>
        </w:rPr>
      </w:pPr>
      <w:r w:rsidRPr="00CA3FDC">
        <w:rPr>
          <w:rFonts w:ascii="Arial" w:hAnsi="Arial" w:cs="Arial"/>
          <w:noProof/>
          <w:sz w:val="20"/>
          <w:szCs w:val="20"/>
          <w:lang w:val="en-US"/>
        </w:rPr>
        <w:drawing>
          <wp:inline distT="0" distB="0" distL="0" distR="0">
            <wp:extent cx="6248400" cy="1838325"/>
            <wp:effectExtent l="19050" t="0" r="19050" b="0"/>
            <wp:docPr id="26"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CA3FDC" w:rsidRDefault="00CA3FDC" w:rsidP="00903FD6">
      <w:pPr>
        <w:rPr>
          <w:rFonts w:ascii="Arial" w:hAnsi="Arial" w:cs="Arial"/>
          <w:b/>
          <w:sz w:val="16"/>
          <w:szCs w:val="16"/>
        </w:rPr>
      </w:pPr>
      <w:r w:rsidRPr="00CA3FDC">
        <w:rPr>
          <w:rFonts w:ascii="Arial" w:hAnsi="Arial" w:cs="Arial"/>
          <w:b/>
          <w:sz w:val="16"/>
          <w:szCs w:val="16"/>
        </w:rPr>
        <w:t>Source: SWLCN Primary Care Audit 2010.</w:t>
      </w:r>
    </w:p>
    <w:p w:rsidR="00B05DC2" w:rsidRDefault="00B05DC2" w:rsidP="007309C1">
      <w:pPr>
        <w:pStyle w:val="Heading2"/>
        <w:numPr>
          <w:ilvl w:val="1"/>
          <w:numId w:val="1"/>
        </w:numPr>
        <w:spacing w:after="240"/>
        <w:rPr>
          <w:rFonts w:ascii="Arial" w:hAnsi="Arial" w:cs="Arial"/>
          <w:color w:val="auto"/>
          <w:sz w:val="24"/>
          <w:szCs w:val="24"/>
        </w:rPr>
      </w:pPr>
      <w:bookmarkStart w:id="108" w:name="_Toc276037869"/>
      <w:r>
        <w:rPr>
          <w:rFonts w:ascii="Arial" w:hAnsi="Arial" w:cs="Arial"/>
          <w:color w:val="auto"/>
          <w:sz w:val="24"/>
          <w:szCs w:val="24"/>
        </w:rPr>
        <w:t>Avoidable delays (all cancers)</w:t>
      </w:r>
      <w:bookmarkEnd w:id="108"/>
    </w:p>
    <w:p w:rsidR="00110835" w:rsidRPr="00020CAA" w:rsidRDefault="007937D1" w:rsidP="00110835">
      <w:pPr>
        <w:rPr>
          <w:rFonts w:ascii="Arial" w:hAnsi="Arial" w:cs="Arial"/>
          <w:sz w:val="20"/>
          <w:szCs w:val="20"/>
        </w:rPr>
      </w:pPr>
      <w:r>
        <w:rPr>
          <w:rFonts w:ascii="Arial" w:hAnsi="Arial" w:cs="Arial"/>
          <w:sz w:val="20"/>
          <w:szCs w:val="20"/>
        </w:rPr>
        <w:t>The audit</w:t>
      </w:r>
      <w:r w:rsidR="00110835" w:rsidRPr="00020CAA">
        <w:rPr>
          <w:rFonts w:ascii="Arial" w:hAnsi="Arial" w:cs="Arial"/>
          <w:sz w:val="20"/>
          <w:szCs w:val="20"/>
        </w:rPr>
        <w:t xml:space="preserve"> identified </w:t>
      </w:r>
      <w:r w:rsidR="00110835" w:rsidRPr="00020CAA">
        <w:rPr>
          <w:rFonts w:ascii="Arial" w:hAnsi="Arial" w:cs="Arial"/>
          <w:b/>
          <w:sz w:val="20"/>
          <w:szCs w:val="20"/>
        </w:rPr>
        <w:t>146</w:t>
      </w:r>
      <w:r w:rsidR="00110835" w:rsidRPr="00020CAA">
        <w:rPr>
          <w:rFonts w:ascii="Arial" w:hAnsi="Arial" w:cs="Arial"/>
          <w:sz w:val="20"/>
          <w:szCs w:val="20"/>
        </w:rPr>
        <w:t xml:space="preserve"> cases of avoidable delays</w:t>
      </w:r>
      <w:r w:rsidR="00110835">
        <w:rPr>
          <w:rFonts w:ascii="Arial" w:hAnsi="Arial" w:cs="Arial"/>
          <w:sz w:val="20"/>
          <w:szCs w:val="20"/>
        </w:rPr>
        <w:t xml:space="preserve"> as assessed by </w:t>
      </w:r>
      <w:r>
        <w:rPr>
          <w:rFonts w:ascii="Arial" w:hAnsi="Arial" w:cs="Arial"/>
          <w:sz w:val="20"/>
          <w:szCs w:val="20"/>
        </w:rPr>
        <w:t xml:space="preserve">the </w:t>
      </w:r>
      <w:r w:rsidR="00110835">
        <w:rPr>
          <w:rFonts w:ascii="Arial" w:hAnsi="Arial" w:cs="Arial"/>
          <w:sz w:val="20"/>
          <w:szCs w:val="20"/>
        </w:rPr>
        <w:t>auditing GP</w:t>
      </w:r>
      <w:r w:rsidR="00110835" w:rsidRPr="00020CAA">
        <w:rPr>
          <w:rFonts w:ascii="Arial" w:hAnsi="Arial" w:cs="Arial"/>
          <w:sz w:val="20"/>
          <w:szCs w:val="20"/>
        </w:rPr>
        <w:t>.  Of these:</w:t>
      </w:r>
    </w:p>
    <w:p w:rsidR="00110835" w:rsidRPr="00EA2CCD" w:rsidRDefault="00110835" w:rsidP="001F2601">
      <w:pPr>
        <w:pStyle w:val="ListParagraph"/>
        <w:numPr>
          <w:ilvl w:val="0"/>
          <w:numId w:val="3"/>
        </w:numPr>
        <w:spacing w:after="0"/>
        <w:rPr>
          <w:rFonts w:ascii="Arial" w:hAnsi="Arial" w:cs="Arial"/>
          <w:sz w:val="20"/>
          <w:szCs w:val="20"/>
        </w:rPr>
      </w:pPr>
      <w:r w:rsidRPr="00EA2CCD">
        <w:rPr>
          <w:rFonts w:ascii="Arial" w:hAnsi="Arial" w:cs="Arial"/>
          <w:b/>
          <w:sz w:val="20"/>
          <w:szCs w:val="20"/>
        </w:rPr>
        <w:t>31%</w:t>
      </w:r>
      <w:r w:rsidRPr="00EA2CCD">
        <w:rPr>
          <w:rFonts w:ascii="Arial" w:hAnsi="Arial" w:cs="Arial"/>
          <w:sz w:val="20"/>
          <w:szCs w:val="20"/>
        </w:rPr>
        <w:t xml:space="preserve"> (45 cases) due to patient delaying first presentation, investigation or hospital referral</w:t>
      </w:r>
      <w:r>
        <w:rPr>
          <w:rFonts w:ascii="Arial" w:hAnsi="Arial" w:cs="Arial"/>
          <w:sz w:val="20"/>
          <w:szCs w:val="20"/>
        </w:rPr>
        <w:t>.</w:t>
      </w:r>
    </w:p>
    <w:p w:rsidR="00110835" w:rsidRPr="00020CAA" w:rsidRDefault="00110835" w:rsidP="001F2601">
      <w:pPr>
        <w:pStyle w:val="ListParagraph"/>
        <w:numPr>
          <w:ilvl w:val="0"/>
          <w:numId w:val="3"/>
        </w:numPr>
        <w:rPr>
          <w:rFonts w:ascii="Arial" w:hAnsi="Arial" w:cs="Arial"/>
          <w:sz w:val="20"/>
          <w:szCs w:val="20"/>
        </w:rPr>
      </w:pPr>
      <w:r w:rsidRPr="00020CAA">
        <w:rPr>
          <w:rFonts w:ascii="Arial" w:hAnsi="Arial" w:cs="Arial"/>
          <w:b/>
          <w:sz w:val="20"/>
          <w:szCs w:val="20"/>
        </w:rPr>
        <w:t>11%</w:t>
      </w:r>
      <w:r w:rsidRPr="00020CAA">
        <w:rPr>
          <w:rFonts w:ascii="Arial" w:hAnsi="Arial" w:cs="Arial"/>
          <w:sz w:val="20"/>
          <w:szCs w:val="20"/>
        </w:rPr>
        <w:t xml:space="preserve"> (16 cases) could have been referred sooner using 2 week rule</w:t>
      </w:r>
      <w:r>
        <w:rPr>
          <w:rFonts w:ascii="Arial" w:hAnsi="Arial" w:cs="Arial"/>
          <w:sz w:val="20"/>
          <w:szCs w:val="20"/>
        </w:rPr>
        <w:t>.</w:t>
      </w:r>
    </w:p>
    <w:p w:rsidR="00110835" w:rsidRDefault="00110835" w:rsidP="001F2601">
      <w:pPr>
        <w:pStyle w:val="ListParagraph"/>
        <w:numPr>
          <w:ilvl w:val="0"/>
          <w:numId w:val="3"/>
        </w:numPr>
        <w:rPr>
          <w:rFonts w:ascii="Arial" w:hAnsi="Arial" w:cs="Arial"/>
          <w:sz w:val="20"/>
          <w:szCs w:val="20"/>
        </w:rPr>
      </w:pPr>
      <w:r w:rsidRPr="00020CAA">
        <w:rPr>
          <w:rFonts w:ascii="Arial" w:hAnsi="Arial" w:cs="Arial"/>
          <w:b/>
          <w:sz w:val="20"/>
          <w:szCs w:val="20"/>
        </w:rPr>
        <w:t>23%</w:t>
      </w:r>
      <w:r w:rsidRPr="00020CAA">
        <w:rPr>
          <w:rFonts w:ascii="Arial" w:hAnsi="Arial" w:cs="Arial"/>
          <w:sz w:val="20"/>
          <w:szCs w:val="20"/>
        </w:rPr>
        <w:t xml:space="preserve"> (34 cases) delayed in referral to secondary care, often due to the GP not initially thinking of cancer as a possible diagnosis</w:t>
      </w:r>
      <w:r>
        <w:rPr>
          <w:rFonts w:ascii="Arial" w:hAnsi="Arial" w:cs="Arial"/>
          <w:sz w:val="20"/>
          <w:szCs w:val="20"/>
        </w:rPr>
        <w:t>.</w:t>
      </w:r>
    </w:p>
    <w:p w:rsidR="00110835" w:rsidRPr="00EA2CCD" w:rsidRDefault="00110835" w:rsidP="001F2601">
      <w:pPr>
        <w:pStyle w:val="ListParagraph"/>
        <w:numPr>
          <w:ilvl w:val="0"/>
          <w:numId w:val="3"/>
        </w:numPr>
        <w:rPr>
          <w:rFonts w:ascii="Arial" w:hAnsi="Arial" w:cs="Arial"/>
          <w:sz w:val="20"/>
          <w:szCs w:val="20"/>
        </w:rPr>
      </w:pPr>
      <w:r w:rsidRPr="00EA2CCD">
        <w:rPr>
          <w:rFonts w:cs="Arial"/>
          <w:b/>
        </w:rPr>
        <w:t>9%</w:t>
      </w:r>
      <w:r w:rsidRPr="00EA2CCD">
        <w:rPr>
          <w:rFonts w:cs="Arial"/>
        </w:rPr>
        <w:t xml:space="preserve"> (14 cases) delayed due to communication problems bet</w:t>
      </w:r>
      <w:r>
        <w:rPr>
          <w:rFonts w:cs="Arial"/>
        </w:rPr>
        <w:t>ween primary and secondary care.</w:t>
      </w:r>
    </w:p>
    <w:p w:rsidR="00110835" w:rsidRPr="00020CAA" w:rsidRDefault="00110835" w:rsidP="001F2601">
      <w:pPr>
        <w:pStyle w:val="ListParagraph"/>
        <w:numPr>
          <w:ilvl w:val="0"/>
          <w:numId w:val="3"/>
        </w:numPr>
        <w:rPr>
          <w:rFonts w:ascii="Arial" w:hAnsi="Arial" w:cs="Arial"/>
          <w:sz w:val="20"/>
          <w:szCs w:val="20"/>
        </w:rPr>
      </w:pPr>
      <w:r w:rsidRPr="00020CAA">
        <w:rPr>
          <w:rFonts w:ascii="Arial" w:hAnsi="Arial" w:cs="Arial"/>
          <w:b/>
          <w:sz w:val="20"/>
          <w:szCs w:val="20"/>
        </w:rPr>
        <w:t>18%</w:t>
      </w:r>
      <w:r w:rsidRPr="00020CAA">
        <w:rPr>
          <w:rFonts w:ascii="Arial" w:hAnsi="Arial" w:cs="Arial"/>
          <w:sz w:val="20"/>
          <w:szCs w:val="20"/>
        </w:rPr>
        <w:t xml:space="preserve"> (27 cases) delayed a</w:t>
      </w:r>
      <w:r>
        <w:rPr>
          <w:rFonts w:ascii="Arial" w:hAnsi="Arial" w:cs="Arial"/>
          <w:sz w:val="20"/>
          <w:szCs w:val="20"/>
        </w:rPr>
        <w:t>fter referral to secondary care.</w:t>
      </w:r>
    </w:p>
    <w:p w:rsidR="00110835" w:rsidRDefault="00110835" w:rsidP="001F2601">
      <w:pPr>
        <w:pStyle w:val="ListParagraph"/>
        <w:numPr>
          <w:ilvl w:val="0"/>
          <w:numId w:val="3"/>
        </w:numPr>
        <w:rPr>
          <w:rFonts w:ascii="Arial" w:hAnsi="Arial" w:cs="Arial"/>
          <w:sz w:val="20"/>
          <w:szCs w:val="20"/>
        </w:rPr>
      </w:pPr>
      <w:r w:rsidRPr="00020CAA">
        <w:rPr>
          <w:rFonts w:ascii="Arial" w:hAnsi="Arial" w:cs="Arial"/>
          <w:b/>
          <w:sz w:val="20"/>
          <w:szCs w:val="20"/>
        </w:rPr>
        <w:t>7%</w:t>
      </w:r>
      <w:r w:rsidRPr="00020CAA">
        <w:rPr>
          <w:rFonts w:ascii="Arial" w:hAnsi="Arial" w:cs="Arial"/>
          <w:sz w:val="20"/>
          <w:szCs w:val="20"/>
        </w:rPr>
        <w:t xml:space="preserve"> (10 case</w:t>
      </w:r>
      <w:r>
        <w:rPr>
          <w:rFonts w:ascii="Arial" w:hAnsi="Arial" w:cs="Arial"/>
          <w:sz w:val="20"/>
          <w:szCs w:val="20"/>
        </w:rPr>
        <w:t>s) delayed due to other causes.</w:t>
      </w:r>
    </w:p>
    <w:p w:rsidR="00110835" w:rsidRDefault="00110835" w:rsidP="007309C1">
      <w:pPr>
        <w:pStyle w:val="Heading2"/>
        <w:numPr>
          <w:ilvl w:val="1"/>
          <w:numId w:val="1"/>
        </w:numPr>
        <w:spacing w:after="240"/>
        <w:rPr>
          <w:rFonts w:ascii="Arial" w:hAnsi="Arial" w:cs="Arial"/>
          <w:color w:val="auto"/>
          <w:sz w:val="24"/>
          <w:szCs w:val="24"/>
        </w:rPr>
      </w:pPr>
      <w:bookmarkStart w:id="109" w:name="_Toc272420001"/>
      <w:bookmarkStart w:id="110" w:name="_Toc276037870"/>
      <w:r>
        <w:rPr>
          <w:rFonts w:ascii="Arial" w:hAnsi="Arial" w:cs="Arial"/>
          <w:color w:val="auto"/>
          <w:sz w:val="24"/>
          <w:szCs w:val="24"/>
        </w:rPr>
        <w:t>Colorectal cancer summary</w:t>
      </w:r>
      <w:bookmarkEnd w:id="109"/>
      <w:bookmarkEnd w:id="110"/>
    </w:p>
    <w:p w:rsidR="00110835" w:rsidRPr="007937D1" w:rsidRDefault="00110835" w:rsidP="00110835">
      <w:pPr>
        <w:rPr>
          <w:rFonts w:ascii="Arial" w:hAnsi="Arial" w:cs="Arial"/>
          <w:sz w:val="20"/>
        </w:rPr>
      </w:pPr>
      <w:r w:rsidRPr="007937D1">
        <w:rPr>
          <w:rFonts w:ascii="Arial" w:hAnsi="Arial" w:cs="Arial"/>
          <w:sz w:val="20"/>
        </w:rPr>
        <w:t>The most common symptoms included rectal bleeding (17 cases, 24</w:t>
      </w:r>
      <w:proofErr w:type="gramStart"/>
      <w:r w:rsidRPr="007937D1">
        <w:rPr>
          <w:rFonts w:ascii="Arial" w:hAnsi="Arial" w:cs="Arial"/>
          <w:sz w:val="20"/>
        </w:rPr>
        <w:t>% )</w:t>
      </w:r>
      <w:proofErr w:type="gramEnd"/>
      <w:r w:rsidRPr="007937D1">
        <w:rPr>
          <w:rFonts w:ascii="Arial" w:hAnsi="Arial" w:cs="Arial"/>
          <w:sz w:val="20"/>
        </w:rPr>
        <w:t xml:space="preserve">, change of bowel habit (18 cases, 26%), abdominal pain (15 cases, 21%) and symptoms of anaemia (17 case, 24%).  </w:t>
      </w:r>
      <w:r w:rsidR="007937D1">
        <w:rPr>
          <w:rFonts w:ascii="Arial" w:hAnsi="Arial" w:cs="Arial"/>
          <w:sz w:val="20"/>
        </w:rPr>
        <w:t>Four</w:t>
      </w:r>
      <w:r w:rsidRPr="007937D1">
        <w:rPr>
          <w:rFonts w:ascii="Arial" w:hAnsi="Arial" w:cs="Arial"/>
          <w:sz w:val="20"/>
        </w:rPr>
        <w:t xml:space="preserve"> patients presented with an abdominal mass.  Other less common symptoms were tiredness, vomiting, and bloating.</w:t>
      </w:r>
    </w:p>
    <w:p w:rsidR="00110835" w:rsidRPr="007937D1" w:rsidRDefault="00110835" w:rsidP="00110835">
      <w:pPr>
        <w:rPr>
          <w:rFonts w:ascii="Arial" w:hAnsi="Arial" w:cs="Arial"/>
          <w:sz w:val="20"/>
        </w:rPr>
      </w:pPr>
      <w:r w:rsidRPr="007937D1">
        <w:rPr>
          <w:rFonts w:ascii="Arial" w:hAnsi="Arial" w:cs="Arial"/>
          <w:sz w:val="20"/>
        </w:rPr>
        <w:t xml:space="preserve">Thirty-three of the patients (47%) were referred through the 2 week wait rule.  </w:t>
      </w:r>
      <w:r w:rsidR="007937D1">
        <w:rPr>
          <w:rFonts w:ascii="Arial" w:hAnsi="Arial" w:cs="Arial"/>
          <w:sz w:val="20"/>
        </w:rPr>
        <w:t>Sixteen</w:t>
      </w:r>
      <w:r w:rsidRPr="007937D1">
        <w:rPr>
          <w:rFonts w:ascii="Arial" w:hAnsi="Arial" w:cs="Arial"/>
          <w:sz w:val="20"/>
        </w:rPr>
        <w:t xml:space="preserve"> case</w:t>
      </w:r>
      <w:r w:rsidR="007937D1">
        <w:rPr>
          <w:rFonts w:ascii="Arial" w:hAnsi="Arial" w:cs="Arial"/>
          <w:sz w:val="20"/>
        </w:rPr>
        <w:t>s (23%) were referred routinely and</w:t>
      </w:r>
      <w:r w:rsidRPr="007937D1">
        <w:rPr>
          <w:rFonts w:ascii="Arial" w:hAnsi="Arial" w:cs="Arial"/>
          <w:sz w:val="20"/>
        </w:rPr>
        <w:t xml:space="preserve"> 14 cases (20%) were admitted as emergencies. One case of colorectal cancer in an 83 year old female patient with a long standing history of erratic bowel habit- delayed presentation for 1077 day</w:t>
      </w:r>
      <w:r w:rsidR="007937D1">
        <w:rPr>
          <w:rFonts w:ascii="Arial" w:hAnsi="Arial" w:cs="Arial"/>
          <w:sz w:val="20"/>
        </w:rPr>
        <w:t>s</w:t>
      </w:r>
      <w:r w:rsidRPr="007937D1">
        <w:rPr>
          <w:rFonts w:ascii="Arial" w:hAnsi="Arial" w:cs="Arial"/>
          <w:sz w:val="20"/>
        </w:rPr>
        <w:t xml:space="preserve"> (3 years).</w:t>
      </w:r>
    </w:p>
    <w:p w:rsidR="00110835" w:rsidRDefault="00110835" w:rsidP="00110835">
      <w:pPr>
        <w:rPr>
          <w:rFonts w:ascii="Arial" w:hAnsi="Arial" w:cs="Arial"/>
          <w:sz w:val="20"/>
          <w:szCs w:val="20"/>
        </w:rPr>
      </w:pPr>
    </w:p>
    <w:p w:rsidR="003819E0" w:rsidRDefault="003819E0" w:rsidP="00110835">
      <w:pPr>
        <w:rPr>
          <w:rFonts w:ascii="Arial" w:hAnsi="Arial" w:cs="Arial"/>
          <w:sz w:val="20"/>
          <w:szCs w:val="20"/>
        </w:rPr>
      </w:pPr>
    </w:p>
    <w:p w:rsidR="003819E0" w:rsidRDefault="003819E0" w:rsidP="00110835">
      <w:pPr>
        <w:rPr>
          <w:rFonts w:ascii="Arial" w:hAnsi="Arial" w:cs="Arial"/>
          <w:sz w:val="20"/>
          <w:szCs w:val="20"/>
        </w:rPr>
      </w:pPr>
    </w:p>
    <w:p w:rsidR="003819E0" w:rsidRDefault="003819E0" w:rsidP="00110835">
      <w:pPr>
        <w:rPr>
          <w:rFonts w:ascii="Arial" w:hAnsi="Arial" w:cs="Arial"/>
          <w:sz w:val="20"/>
          <w:szCs w:val="20"/>
        </w:rPr>
      </w:pPr>
    </w:p>
    <w:p w:rsidR="003819E0" w:rsidRDefault="003819E0" w:rsidP="00110835">
      <w:pPr>
        <w:rPr>
          <w:rFonts w:ascii="Arial" w:hAnsi="Arial" w:cs="Arial"/>
          <w:sz w:val="20"/>
          <w:szCs w:val="20"/>
        </w:rPr>
      </w:pPr>
    </w:p>
    <w:p w:rsidR="003819E0" w:rsidRDefault="003819E0" w:rsidP="00110835">
      <w:pPr>
        <w:rPr>
          <w:rFonts w:ascii="Arial" w:hAnsi="Arial" w:cs="Arial"/>
          <w:sz w:val="20"/>
          <w:szCs w:val="20"/>
        </w:rPr>
      </w:pPr>
    </w:p>
    <w:p w:rsidR="003819E0" w:rsidRDefault="003819E0" w:rsidP="00110835">
      <w:pPr>
        <w:rPr>
          <w:rFonts w:ascii="Arial" w:hAnsi="Arial" w:cs="Arial"/>
          <w:sz w:val="20"/>
          <w:szCs w:val="20"/>
        </w:rPr>
      </w:pPr>
    </w:p>
    <w:p w:rsidR="003819E0" w:rsidRDefault="003819E0" w:rsidP="00110835">
      <w:pPr>
        <w:rPr>
          <w:rFonts w:ascii="Arial" w:hAnsi="Arial" w:cs="Arial"/>
          <w:sz w:val="20"/>
          <w:szCs w:val="20"/>
        </w:rPr>
      </w:pPr>
    </w:p>
    <w:p w:rsidR="003819E0" w:rsidRDefault="003819E0" w:rsidP="00110835">
      <w:pPr>
        <w:rPr>
          <w:rFonts w:ascii="Arial" w:hAnsi="Arial" w:cs="Arial"/>
          <w:sz w:val="20"/>
          <w:szCs w:val="20"/>
        </w:rPr>
      </w:pPr>
    </w:p>
    <w:p w:rsidR="003819E0" w:rsidRDefault="003819E0" w:rsidP="00110835">
      <w:pPr>
        <w:rPr>
          <w:rFonts w:ascii="Arial" w:hAnsi="Arial" w:cs="Arial"/>
          <w:sz w:val="20"/>
          <w:szCs w:val="20"/>
        </w:rPr>
      </w:pPr>
    </w:p>
    <w:p w:rsidR="003819E0" w:rsidRDefault="003819E0" w:rsidP="00110835">
      <w:pPr>
        <w:rPr>
          <w:rFonts w:ascii="Arial" w:hAnsi="Arial" w:cs="Arial"/>
          <w:sz w:val="20"/>
          <w:szCs w:val="20"/>
        </w:rPr>
      </w:pPr>
    </w:p>
    <w:p w:rsidR="003819E0" w:rsidRDefault="003819E0" w:rsidP="00110835">
      <w:pPr>
        <w:rPr>
          <w:rFonts w:ascii="Arial" w:hAnsi="Arial" w:cs="Arial"/>
          <w:sz w:val="20"/>
          <w:szCs w:val="20"/>
        </w:rPr>
      </w:pPr>
    </w:p>
    <w:p w:rsidR="003819E0" w:rsidRDefault="003819E0" w:rsidP="00110835">
      <w:pPr>
        <w:rPr>
          <w:rFonts w:ascii="Arial" w:hAnsi="Arial" w:cs="Arial"/>
          <w:sz w:val="20"/>
          <w:szCs w:val="20"/>
        </w:rPr>
      </w:pPr>
    </w:p>
    <w:p w:rsidR="003819E0" w:rsidRDefault="003819E0" w:rsidP="00110835">
      <w:pPr>
        <w:rPr>
          <w:rFonts w:ascii="Arial" w:hAnsi="Arial" w:cs="Arial"/>
          <w:sz w:val="20"/>
          <w:szCs w:val="20"/>
        </w:rPr>
      </w:pPr>
    </w:p>
    <w:p w:rsidR="003819E0" w:rsidRDefault="003819E0" w:rsidP="00110835">
      <w:pPr>
        <w:rPr>
          <w:rFonts w:ascii="Arial" w:hAnsi="Arial" w:cs="Arial"/>
          <w:sz w:val="20"/>
          <w:szCs w:val="20"/>
        </w:rPr>
      </w:pPr>
    </w:p>
    <w:p w:rsidR="007937D1" w:rsidRDefault="007937D1" w:rsidP="00110835">
      <w:pPr>
        <w:rPr>
          <w:rFonts w:ascii="Arial" w:hAnsi="Arial" w:cs="Arial"/>
          <w:sz w:val="20"/>
          <w:szCs w:val="20"/>
        </w:rPr>
      </w:pPr>
    </w:p>
    <w:p w:rsidR="00875439" w:rsidRPr="00110835" w:rsidRDefault="00875439" w:rsidP="00110835">
      <w:pPr>
        <w:rPr>
          <w:rFonts w:ascii="Arial" w:hAnsi="Arial" w:cs="Arial"/>
          <w:sz w:val="20"/>
          <w:szCs w:val="20"/>
        </w:rPr>
      </w:pPr>
    </w:p>
    <w:p w:rsidR="00694812" w:rsidRDefault="00694812" w:rsidP="007309C1">
      <w:pPr>
        <w:pStyle w:val="Heading1"/>
        <w:numPr>
          <w:ilvl w:val="0"/>
          <w:numId w:val="1"/>
        </w:numPr>
        <w:spacing w:after="240"/>
        <w:rPr>
          <w:rFonts w:ascii="Arial" w:hAnsi="Arial" w:cs="Arial"/>
          <w:color w:val="auto"/>
        </w:rPr>
      </w:pPr>
      <w:bookmarkStart w:id="111" w:name="_Toc273967706"/>
      <w:bookmarkStart w:id="112" w:name="_Toc276037871"/>
      <w:r>
        <w:rPr>
          <w:rFonts w:ascii="Arial" w:hAnsi="Arial" w:cs="Arial"/>
          <w:color w:val="auto"/>
        </w:rPr>
        <w:t>Cancer Awareness Measure (CAM) Survey in South West London</w:t>
      </w:r>
      <w:bookmarkEnd w:id="111"/>
      <w:r w:rsidR="00FF1081">
        <w:rPr>
          <w:rFonts w:ascii="Arial" w:hAnsi="Arial" w:cs="Arial"/>
          <w:color w:val="auto"/>
        </w:rPr>
        <w:t xml:space="preserve"> 2010</w:t>
      </w:r>
      <w:bookmarkEnd w:id="112"/>
    </w:p>
    <w:p w:rsidR="00043890" w:rsidRPr="00043890" w:rsidRDefault="00043890" w:rsidP="00043890">
      <w:pPr>
        <w:rPr>
          <w:rFonts w:ascii="Arial" w:hAnsi="Arial" w:cs="Arial"/>
          <w:sz w:val="20"/>
        </w:rPr>
      </w:pPr>
      <w:r w:rsidRPr="00043890">
        <w:rPr>
          <w:rFonts w:ascii="Arial" w:hAnsi="Arial" w:cs="Arial"/>
          <w:sz w:val="20"/>
        </w:rPr>
        <w:t xml:space="preserve">Information presented in this section from </w:t>
      </w:r>
      <w:proofErr w:type="spellStart"/>
      <w:r w:rsidRPr="00043890">
        <w:rPr>
          <w:rFonts w:ascii="Arial" w:hAnsi="Arial" w:cs="Arial"/>
          <w:sz w:val="20"/>
        </w:rPr>
        <w:t>Ipsos</w:t>
      </w:r>
      <w:proofErr w:type="spellEnd"/>
      <w:r w:rsidRPr="00043890">
        <w:rPr>
          <w:rFonts w:ascii="Arial" w:hAnsi="Arial" w:cs="Arial"/>
          <w:sz w:val="20"/>
        </w:rPr>
        <w:t xml:space="preserve"> MORI is to be treated as confidential and is subject to copyright. Please see the end of this section in regard of copyright.</w:t>
      </w:r>
    </w:p>
    <w:p w:rsidR="00694812" w:rsidRPr="00043890" w:rsidRDefault="00694812" w:rsidP="00043890">
      <w:pPr>
        <w:rPr>
          <w:rFonts w:ascii="Arial" w:hAnsi="Arial" w:cs="Arial"/>
          <w:sz w:val="20"/>
        </w:rPr>
      </w:pPr>
      <w:r w:rsidRPr="00694812">
        <w:rPr>
          <w:rFonts w:ascii="Arial" w:hAnsi="Arial" w:cs="Arial"/>
          <w:sz w:val="20"/>
        </w:rPr>
        <w:t xml:space="preserve">This section summarises the findings from research conducted by </w:t>
      </w:r>
      <w:proofErr w:type="spellStart"/>
      <w:r w:rsidRPr="00694812">
        <w:rPr>
          <w:rFonts w:ascii="Arial" w:hAnsi="Arial" w:cs="Arial"/>
          <w:sz w:val="20"/>
        </w:rPr>
        <w:t>Ipsos</w:t>
      </w:r>
      <w:proofErr w:type="spellEnd"/>
      <w:r w:rsidRPr="00694812">
        <w:rPr>
          <w:rFonts w:ascii="Arial" w:hAnsi="Arial" w:cs="Arial"/>
          <w:sz w:val="20"/>
        </w:rPr>
        <w:t xml:space="preserve"> MORI Social Research Institute (2010) and commissioned by the SWLCN on cancer awareness amongst the residents of South West London undertaken between May and </w:t>
      </w:r>
      <w:r w:rsidR="00185B72">
        <w:rPr>
          <w:rFonts w:ascii="Arial" w:hAnsi="Arial" w:cs="Arial"/>
          <w:sz w:val="20"/>
        </w:rPr>
        <w:t>August</w:t>
      </w:r>
      <w:r w:rsidRPr="00694812">
        <w:rPr>
          <w:rFonts w:ascii="Arial" w:hAnsi="Arial" w:cs="Arial"/>
          <w:sz w:val="20"/>
        </w:rPr>
        <w:t xml:space="preserve"> 2010. </w:t>
      </w:r>
      <w:r w:rsidR="00831838">
        <w:rPr>
          <w:rFonts w:ascii="Arial" w:hAnsi="Arial" w:cs="Arial"/>
          <w:sz w:val="20"/>
          <w:szCs w:val="20"/>
        </w:rPr>
        <w:t>A total of 5,009 resident people were interviewed across South West London.</w:t>
      </w:r>
      <w:r w:rsidR="00043890">
        <w:rPr>
          <w:rFonts w:ascii="Arial" w:hAnsi="Arial" w:cs="Arial"/>
          <w:sz w:val="20"/>
          <w:szCs w:val="20"/>
        </w:rPr>
        <w:t xml:space="preserve"> </w:t>
      </w:r>
      <w:r w:rsidRPr="00043890">
        <w:rPr>
          <w:rFonts w:ascii="Arial" w:hAnsi="Arial" w:cs="Arial"/>
          <w:sz w:val="20"/>
        </w:rPr>
        <w:t xml:space="preserve">The majority of South West London residents report having been affected by cancer in some way, either personally or through friends or family having the disease. One in ten residents (12%) has personally had cancer themselves. Specific groups of residents – particularly women, white residents, those aged 45-54 and those from social grades AB – are particularly more likely to have been affected by cancer. Over half of residents </w:t>
      </w:r>
      <w:r w:rsidR="00185B72" w:rsidRPr="00043890">
        <w:rPr>
          <w:rFonts w:ascii="Arial" w:hAnsi="Arial" w:cs="Arial"/>
          <w:sz w:val="20"/>
        </w:rPr>
        <w:t xml:space="preserve">(54%) </w:t>
      </w:r>
      <w:r w:rsidRPr="00043890">
        <w:rPr>
          <w:rFonts w:ascii="Arial" w:hAnsi="Arial" w:cs="Arial"/>
          <w:sz w:val="20"/>
        </w:rPr>
        <w:t>reported having a close family member having had cancer.</w:t>
      </w:r>
    </w:p>
    <w:p w:rsidR="00694812" w:rsidRDefault="00694812" w:rsidP="00A375DF">
      <w:pPr>
        <w:pStyle w:val="ReportBodytext"/>
        <w:spacing w:line="276" w:lineRule="auto"/>
        <w:rPr>
          <w:bCs/>
          <w:sz w:val="20"/>
        </w:rPr>
      </w:pPr>
      <w:r w:rsidRPr="00AC28B4">
        <w:rPr>
          <w:sz w:val="20"/>
        </w:rPr>
        <w:t>Residents mention a range of possible warning signs and symptoms of cancer</w:t>
      </w:r>
      <w:r w:rsidR="000E4B71">
        <w:rPr>
          <w:sz w:val="20"/>
        </w:rPr>
        <w:t xml:space="preserve">. One in eight people identified (unprompted) a change in bowel/bladder habits as a possible symptom (the most commonly mentioned was an unusual lump or swelling </w:t>
      </w:r>
      <w:r w:rsidRPr="00AC28B4">
        <w:rPr>
          <w:sz w:val="20"/>
        </w:rPr>
        <w:t xml:space="preserve">59%). </w:t>
      </w:r>
      <w:r w:rsidR="000E4B71">
        <w:rPr>
          <w:sz w:val="20"/>
        </w:rPr>
        <w:t>Unexplained bleeding featured higher (24%</w:t>
      </w:r>
      <w:r w:rsidR="00F16222">
        <w:rPr>
          <w:sz w:val="20"/>
        </w:rPr>
        <w:t>)</w:t>
      </w:r>
      <w:r w:rsidR="000E4B71">
        <w:rPr>
          <w:sz w:val="20"/>
        </w:rPr>
        <w:t xml:space="preserve"> for unprompted answers, however a change of bowel/bladder habits appeared a more common response when prompted </w:t>
      </w:r>
      <w:r w:rsidR="000E4B71" w:rsidRPr="00F16222">
        <w:rPr>
          <w:sz w:val="20"/>
          <w:szCs w:val="20"/>
        </w:rPr>
        <w:t>(</w:t>
      </w:r>
      <w:fldSimple w:instr=" REF _Ref275877020 \h  \* MERGEFORMAT ">
        <w:r w:rsidR="004E6A50" w:rsidRPr="004E6A50">
          <w:rPr>
            <w:rFonts w:cs="Arial"/>
            <w:sz w:val="20"/>
            <w:szCs w:val="20"/>
          </w:rPr>
          <w:t xml:space="preserve">Table </w:t>
        </w:r>
        <w:r w:rsidR="004E6A50" w:rsidRPr="004E6A50">
          <w:rPr>
            <w:rFonts w:cs="Arial"/>
            <w:noProof/>
            <w:sz w:val="20"/>
            <w:szCs w:val="20"/>
          </w:rPr>
          <w:t>4</w:t>
        </w:r>
      </w:fldSimple>
      <w:r w:rsidR="00F16222" w:rsidRPr="00F16222">
        <w:rPr>
          <w:sz w:val="20"/>
          <w:szCs w:val="20"/>
        </w:rPr>
        <w:t>)</w:t>
      </w:r>
      <w:r w:rsidR="00F16222">
        <w:rPr>
          <w:sz w:val="20"/>
        </w:rPr>
        <w:t>.</w:t>
      </w:r>
      <w:r w:rsidR="0092338B">
        <w:rPr>
          <w:bCs/>
          <w:sz w:val="20"/>
        </w:rPr>
        <w:t xml:space="preserve"> In Richmond a fifth (19%) of the population state a change in bowel/bladder habits (unprompted) as a possible warning sign of cancer, while </w:t>
      </w:r>
      <w:r w:rsidR="00E6645C">
        <w:rPr>
          <w:bCs/>
          <w:sz w:val="20"/>
        </w:rPr>
        <w:t xml:space="preserve">only </w:t>
      </w:r>
      <w:r w:rsidR="0092338B">
        <w:rPr>
          <w:bCs/>
          <w:sz w:val="20"/>
        </w:rPr>
        <w:t>a tenth does this in Wandsworth.</w:t>
      </w:r>
      <w:r w:rsidR="00E6645C">
        <w:rPr>
          <w:bCs/>
          <w:sz w:val="20"/>
        </w:rPr>
        <w:t xml:space="preserve"> Richmond consistently reports higher proportions of knowledge whereas Wandsworth reports the lowest proportions.</w:t>
      </w:r>
    </w:p>
    <w:p w:rsidR="001E1354" w:rsidRPr="001E1354" w:rsidRDefault="001E1354" w:rsidP="001E1354">
      <w:pPr>
        <w:pStyle w:val="Caption"/>
        <w:spacing w:after="0" w:line="276" w:lineRule="auto"/>
        <w:rPr>
          <w:rFonts w:ascii="Arial" w:hAnsi="Arial" w:cs="Arial"/>
          <w:bCs w:val="0"/>
          <w:color w:val="auto"/>
          <w:sz w:val="20"/>
        </w:rPr>
      </w:pPr>
      <w:bookmarkStart w:id="113" w:name="_Ref275877020"/>
      <w:proofErr w:type="gramStart"/>
      <w:r w:rsidRPr="001E1354">
        <w:rPr>
          <w:rFonts w:ascii="Arial" w:hAnsi="Arial" w:cs="Arial"/>
          <w:color w:val="auto"/>
        </w:rPr>
        <w:t xml:space="preserve">Table </w:t>
      </w:r>
      <w:r w:rsidR="00AF55AD" w:rsidRPr="001E1354">
        <w:rPr>
          <w:rFonts w:ascii="Arial" w:hAnsi="Arial" w:cs="Arial"/>
          <w:color w:val="auto"/>
        </w:rPr>
        <w:fldChar w:fldCharType="begin"/>
      </w:r>
      <w:r w:rsidRPr="001E1354">
        <w:rPr>
          <w:rFonts w:ascii="Arial" w:hAnsi="Arial" w:cs="Arial"/>
          <w:color w:val="auto"/>
        </w:rPr>
        <w:instrText xml:space="preserve"> SEQ Table \* ARABIC </w:instrText>
      </w:r>
      <w:r w:rsidR="00AF55AD" w:rsidRPr="001E1354">
        <w:rPr>
          <w:rFonts w:ascii="Arial" w:hAnsi="Arial" w:cs="Arial"/>
          <w:color w:val="auto"/>
        </w:rPr>
        <w:fldChar w:fldCharType="separate"/>
      </w:r>
      <w:r w:rsidR="004E6A50">
        <w:rPr>
          <w:rFonts w:ascii="Arial" w:hAnsi="Arial" w:cs="Arial"/>
          <w:noProof/>
          <w:color w:val="auto"/>
        </w:rPr>
        <w:t>4</w:t>
      </w:r>
      <w:r w:rsidR="00AF55AD" w:rsidRPr="001E1354">
        <w:rPr>
          <w:rFonts w:ascii="Arial" w:hAnsi="Arial" w:cs="Arial"/>
          <w:color w:val="auto"/>
        </w:rPr>
        <w:fldChar w:fldCharType="end"/>
      </w:r>
      <w:bookmarkEnd w:id="113"/>
      <w:r w:rsidRPr="001E1354">
        <w:rPr>
          <w:rFonts w:ascii="Arial" w:hAnsi="Arial" w:cs="Arial"/>
          <w:color w:val="auto"/>
        </w:rPr>
        <w:t>: Summary of CAM responses (%).</w:t>
      </w:r>
      <w:proofErr w:type="gramEnd"/>
    </w:p>
    <w:tbl>
      <w:tblPr>
        <w:tblW w:w="10349" w:type="dxa"/>
        <w:tblInd w:w="-655" w:type="dxa"/>
        <w:tblLook w:val="04A0"/>
      </w:tblPr>
      <w:tblGrid>
        <w:gridCol w:w="987"/>
        <w:gridCol w:w="2562"/>
        <w:gridCol w:w="960"/>
        <w:gridCol w:w="960"/>
        <w:gridCol w:w="960"/>
        <w:gridCol w:w="960"/>
        <w:gridCol w:w="960"/>
        <w:gridCol w:w="960"/>
        <w:gridCol w:w="1040"/>
      </w:tblGrid>
      <w:tr w:rsidR="00CB391F" w:rsidRPr="00CB391F" w:rsidTr="00CB391F">
        <w:trPr>
          <w:trHeight w:val="177"/>
        </w:trPr>
        <w:tc>
          <w:tcPr>
            <w:tcW w:w="3549" w:type="dxa"/>
            <w:gridSpan w:val="2"/>
            <w:tcBorders>
              <w:top w:val="single" w:sz="8" w:space="0" w:color="000000"/>
              <w:left w:val="single" w:sz="8" w:space="0" w:color="000000"/>
              <w:bottom w:val="single" w:sz="8" w:space="0" w:color="auto"/>
              <w:right w:val="single" w:sz="8" w:space="0" w:color="000000"/>
            </w:tcBorders>
            <w:shd w:val="clear" w:color="auto" w:fill="auto"/>
            <w:vAlign w:val="bottom"/>
            <w:hideMark/>
          </w:tcPr>
          <w:p w:rsidR="00CB391F" w:rsidRPr="00CB391F" w:rsidRDefault="00CB391F" w:rsidP="001E1354">
            <w:pPr>
              <w:spacing w:after="0" w:line="240" w:lineRule="auto"/>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Warning Signs of Cancer</w:t>
            </w:r>
          </w:p>
        </w:tc>
        <w:tc>
          <w:tcPr>
            <w:tcW w:w="960" w:type="dxa"/>
            <w:tcBorders>
              <w:top w:val="single" w:sz="8" w:space="0" w:color="000000"/>
              <w:left w:val="nil"/>
              <w:bottom w:val="nil"/>
              <w:right w:val="single" w:sz="8" w:space="0" w:color="000000"/>
            </w:tcBorders>
            <w:shd w:val="clear" w:color="auto" w:fill="auto"/>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SWL</w:t>
            </w:r>
          </w:p>
        </w:tc>
        <w:tc>
          <w:tcPr>
            <w:tcW w:w="960" w:type="dxa"/>
            <w:tcBorders>
              <w:top w:val="single" w:sz="8" w:space="0" w:color="000000"/>
              <w:left w:val="nil"/>
              <w:bottom w:val="nil"/>
              <w:right w:val="single" w:sz="8" w:space="0" w:color="000000"/>
            </w:tcBorders>
            <w:shd w:val="clear" w:color="auto" w:fill="auto"/>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Croydon</w:t>
            </w:r>
          </w:p>
        </w:tc>
        <w:tc>
          <w:tcPr>
            <w:tcW w:w="960" w:type="dxa"/>
            <w:tcBorders>
              <w:top w:val="single" w:sz="8" w:space="0" w:color="000000"/>
              <w:left w:val="nil"/>
              <w:bottom w:val="nil"/>
              <w:right w:val="single" w:sz="8" w:space="0" w:color="000000"/>
            </w:tcBorders>
            <w:shd w:val="clear" w:color="auto" w:fill="auto"/>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Kingston</w:t>
            </w:r>
          </w:p>
        </w:tc>
        <w:tc>
          <w:tcPr>
            <w:tcW w:w="960" w:type="dxa"/>
            <w:tcBorders>
              <w:top w:val="single" w:sz="8" w:space="0" w:color="000000"/>
              <w:left w:val="nil"/>
              <w:bottom w:val="nil"/>
              <w:right w:val="single" w:sz="8" w:space="0" w:color="000000"/>
            </w:tcBorders>
            <w:shd w:val="clear" w:color="auto" w:fill="auto"/>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Merton</w:t>
            </w:r>
          </w:p>
        </w:tc>
        <w:tc>
          <w:tcPr>
            <w:tcW w:w="960" w:type="dxa"/>
            <w:tcBorders>
              <w:top w:val="single" w:sz="8" w:space="0" w:color="000000"/>
              <w:left w:val="nil"/>
              <w:bottom w:val="nil"/>
              <w:right w:val="single" w:sz="8" w:space="0" w:color="000000"/>
            </w:tcBorders>
            <w:shd w:val="clear" w:color="auto" w:fill="auto"/>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Richmond</w:t>
            </w:r>
          </w:p>
        </w:tc>
        <w:tc>
          <w:tcPr>
            <w:tcW w:w="960" w:type="dxa"/>
            <w:tcBorders>
              <w:top w:val="single" w:sz="8" w:space="0" w:color="000000"/>
              <w:left w:val="nil"/>
              <w:bottom w:val="nil"/>
              <w:right w:val="single" w:sz="8" w:space="0" w:color="000000"/>
            </w:tcBorders>
            <w:shd w:val="clear" w:color="auto" w:fill="auto"/>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Sutton</w:t>
            </w:r>
          </w:p>
        </w:tc>
        <w:tc>
          <w:tcPr>
            <w:tcW w:w="1040" w:type="dxa"/>
            <w:tcBorders>
              <w:top w:val="single" w:sz="8" w:space="0" w:color="000000"/>
              <w:left w:val="nil"/>
              <w:bottom w:val="nil"/>
              <w:right w:val="single" w:sz="8" w:space="0" w:color="000000"/>
            </w:tcBorders>
            <w:shd w:val="clear" w:color="auto" w:fill="auto"/>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Wandsworth</w:t>
            </w:r>
          </w:p>
        </w:tc>
      </w:tr>
      <w:tr w:rsidR="00CB391F" w:rsidRPr="00CB391F" w:rsidTr="00CB391F">
        <w:trPr>
          <w:trHeight w:val="300"/>
        </w:trPr>
        <w:tc>
          <w:tcPr>
            <w:tcW w:w="98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Unprompted</w:t>
            </w:r>
          </w:p>
        </w:tc>
        <w:tc>
          <w:tcPr>
            <w:tcW w:w="2562" w:type="dxa"/>
            <w:tcBorders>
              <w:top w:val="nil"/>
              <w:left w:val="nil"/>
              <w:bottom w:val="nil"/>
              <w:right w:val="nil"/>
            </w:tcBorders>
            <w:shd w:val="clear" w:color="auto" w:fill="auto"/>
            <w:noWrap/>
            <w:vAlign w:val="bottom"/>
            <w:hideMark/>
          </w:tcPr>
          <w:p w:rsidR="00CB391F" w:rsidRPr="00CB391F" w:rsidRDefault="00CB391F" w:rsidP="00CB391F">
            <w:pPr>
              <w:spacing w:after="0" w:line="240" w:lineRule="auto"/>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A change in bowel/bladder habits</w:t>
            </w:r>
          </w:p>
        </w:tc>
        <w:tc>
          <w:tcPr>
            <w:tcW w:w="960" w:type="dxa"/>
            <w:tcBorders>
              <w:top w:val="single" w:sz="8" w:space="0" w:color="auto"/>
              <w:left w:val="single" w:sz="8" w:space="0" w:color="auto"/>
              <w:bottom w:val="nil"/>
              <w:right w:val="single" w:sz="8" w:space="0" w:color="auto"/>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12</w:t>
            </w:r>
          </w:p>
        </w:tc>
        <w:tc>
          <w:tcPr>
            <w:tcW w:w="960" w:type="dxa"/>
            <w:tcBorders>
              <w:top w:val="single" w:sz="8" w:space="0" w:color="auto"/>
              <w:left w:val="nil"/>
              <w:bottom w:val="nil"/>
              <w:right w:val="nil"/>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10</w:t>
            </w:r>
          </w:p>
        </w:tc>
        <w:tc>
          <w:tcPr>
            <w:tcW w:w="960" w:type="dxa"/>
            <w:tcBorders>
              <w:top w:val="single" w:sz="8" w:space="0" w:color="auto"/>
              <w:left w:val="single" w:sz="8" w:space="0" w:color="auto"/>
              <w:bottom w:val="nil"/>
              <w:right w:val="single" w:sz="8" w:space="0" w:color="auto"/>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15</w:t>
            </w:r>
          </w:p>
        </w:tc>
        <w:tc>
          <w:tcPr>
            <w:tcW w:w="960" w:type="dxa"/>
            <w:tcBorders>
              <w:top w:val="single" w:sz="8" w:space="0" w:color="auto"/>
              <w:left w:val="nil"/>
              <w:bottom w:val="nil"/>
              <w:right w:val="nil"/>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10</w:t>
            </w:r>
          </w:p>
        </w:tc>
        <w:tc>
          <w:tcPr>
            <w:tcW w:w="960" w:type="dxa"/>
            <w:tcBorders>
              <w:top w:val="single" w:sz="8" w:space="0" w:color="auto"/>
              <w:left w:val="single" w:sz="8" w:space="0" w:color="auto"/>
              <w:bottom w:val="nil"/>
              <w:right w:val="single" w:sz="8" w:space="0" w:color="auto"/>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19</w:t>
            </w:r>
          </w:p>
        </w:tc>
        <w:tc>
          <w:tcPr>
            <w:tcW w:w="960" w:type="dxa"/>
            <w:tcBorders>
              <w:top w:val="single" w:sz="8" w:space="0" w:color="auto"/>
              <w:left w:val="nil"/>
              <w:bottom w:val="nil"/>
              <w:right w:val="nil"/>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12</w:t>
            </w:r>
          </w:p>
        </w:tc>
        <w:tc>
          <w:tcPr>
            <w:tcW w:w="1040" w:type="dxa"/>
            <w:tcBorders>
              <w:top w:val="single" w:sz="8" w:space="0" w:color="auto"/>
              <w:left w:val="single" w:sz="8" w:space="0" w:color="auto"/>
              <w:bottom w:val="nil"/>
              <w:right w:val="single" w:sz="8" w:space="0" w:color="auto"/>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9</w:t>
            </w:r>
          </w:p>
        </w:tc>
      </w:tr>
      <w:tr w:rsidR="00CB391F" w:rsidRPr="00CB391F" w:rsidTr="00CB391F">
        <w:trPr>
          <w:trHeight w:val="300"/>
        </w:trPr>
        <w:tc>
          <w:tcPr>
            <w:tcW w:w="987" w:type="dxa"/>
            <w:vMerge/>
            <w:tcBorders>
              <w:top w:val="nil"/>
              <w:left w:val="single" w:sz="8" w:space="0" w:color="auto"/>
              <w:bottom w:val="single" w:sz="8" w:space="0" w:color="000000"/>
              <w:right w:val="single" w:sz="8" w:space="0" w:color="auto"/>
            </w:tcBorders>
            <w:vAlign w:val="center"/>
            <w:hideMark/>
          </w:tcPr>
          <w:p w:rsidR="00CB391F" w:rsidRPr="00CB391F" w:rsidRDefault="00CB391F" w:rsidP="00CB391F">
            <w:pPr>
              <w:spacing w:after="0" w:line="240" w:lineRule="auto"/>
              <w:rPr>
                <w:rFonts w:ascii="Arial" w:eastAsia="Times New Roman" w:hAnsi="Arial" w:cs="Arial"/>
                <w:color w:val="000000"/>
                <w:sz w:val="14"/>
                <w:szCs w:val="14"/>
                <w:lang w:eastAsia="en-GB"/>
              </w:rPr>
            </w:pPr>
          </w:p>
        </w:tc>
        <w:tc>
          <w:tcPr>
            <w:tcW w:w="2562" w:type="dxa"/>
            <w:tcBorders>
              <w:top w:val="nil"/>
              <w:left w:val="nil"/>
              <w:bottom w:val="nil"/>
              <w:right w:val="nil"/>
            </w:tcBorders>
            <w:shd w:val="clear" w:color="auto" w:fill="auto"/>
            <w:noWrap/>
            <w:vAlign w:val="bottom"/>
            <w:hideMark/>
          </w:tcPr>
          <w:p w:rsidR="00CB391F" w:rsidRPr="00CB391F" w:rsidRDefault="00CB391F" w:rsidP="00CB391F">
            <w:pPr>
              <w:spacing w:after="0" w:line="240" w:lineRule="auto"/>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Unexplained bleeding</w:t>
            </w:r>
          </w:p>
        </w:tc>
        <w:tc>
          <w:tcPr>
            <w:tcW w:w="960" w:type="dxa"/>
            <w:tcBorders>
              <w:top w:val="nil"/>
              <w:left w:val="single" w:sz="8" w:space="0" w:color="auto"/>
              <w:bottom w:val="nil"/>
              <w:right w:val="single" w:sz="8" w:space="0" w:color="auto"/>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24</w:t>
            </w:r>
          </w:p>
        </w:tc>
        <w:tc>
          <w:tcPr>
            <w:tcW w:w="960" w:type="dxa"/>
            <w:tcBorders>
              <w:top w:val="nil"/>
              <w:left w:val="nil"/>
              <w:bottom w:val="nil"/>
              <w:right w:val="nil"/>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22</w:t>
            </w:r>
          </w:p>
        </w:tc>
        <w:tc>
          <w:tcPr>
            <w:tcW w:w="960" w:type="dxa"/>
            <w:tcBorders>
              <w:top w:val="nil"/>
              <w:left w:val="single" w:sz="8" w:space="0" w:color="auto"/>
              <w:bottom w:val="nil"/>
              <w:right w:val="single" w:sz="8" w:space="0" w:color="auto"/>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25</w:t>
            </w:r>
          </w:p>
        </w:tc>
        <w:tc>
          <w:tcPr>
            <w:tcW w:w="960" w:type="dxa"/>
            <w:tcBorders>
              <w:top w:val="nil"/>
              <w:left w:val="nil"/>
              <w:bottom w:val="nil"/>
              <w:right w:val="nil"/>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27</w:t>
            </w:r>
          </w:p>
        </w:tc>
        <w:tc>
          <w:tcPr>
            <w:tcW w:w="960" w:type="dxa"/>
            <w:tcBorders>
              <w:top w:val="nil"/>
              <w:left w:val="single" w:sz="8" w:space="0" w:color="auto"/>
              <w:bottom w:val="nil"/>
              <w:right w:val="single" w:sz="8" w:space="0" w:color="auto"/>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29</w:t>
            </w:r>
          </w:p>
        </w:tc>
        <w:tc>
          <w:tcPr>
            <w:tcW w:w="960" w:type="dxa"/>
            <w:tcBorders>
              <w:top w:val="nil"/>
              <w:left w:val="nil"/>
              <w:bottom w:val="nil"/>
              <w:right w:val="nil"/>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23</w:t>
            </w:r>
          </w:p>
        </w:tc>
        <w:tc>
          <w:tcPr>
            <w:tcW w:w="1040" w:type="dxa"/>
            <w:tcBorders>
              <w:top w:val="nil"/>
              <w:left w:val="single" w:sz="8" w:space="0" w:color="auto"/>
              <w:bottom w:val="nil"/>
              <w:right w:val="single" w:sz="8" w:space="0" w:color="auto"/>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23</w:t>
            </w:r>
          </w:p>
        </w:tc>
      </w:tr>
      <w:tr w:rsidR="00CB391F" w:rsidRPr="00CB391F" w:rsidTr="00CB391F">
        <w:trPr>
          <w:trHeight w:val="300"/>
        </w:trPr>
        <w:tc>
          <w:tcPr>
            <w:tcW w:w="987" w:type="dxa"/>
            <w:vMerge/>
            <w:tcBorders>
              <w:top w:val="nil"/>
              <w:left w:val="single" w:sz="8" w:space="0" w:color="auto"/>
              <w:bottom w:val="single" w:sz="8" w:space="0" w:color="000000"/>
              <w:right w:val="single" w:sz="8" w:space="0" w:color="auto"/>
            </w:tcBorders>
            <w:vAlign w:val="center"/>
            <w:hideMark/>
          </w:tcPr>
          <w:p w:rsidR="00CB391F" w:rsidRPr="00CB391F" w:rsidRDefault="00CB391F" w:rsidP="00CB391F">
            <w:pPr>
              <w:spacing w:after="0" w:line="240" w:lineRule="auto"/>
              <w:rPr>
                <w:rFonts w:ascii="Arial" w:eastAsia="Times New Roman" w:hAnsi="Arial" w:cs="Arial"/>
                <w:color w:val="000000"/>
                <w:sz w:val="14"/>
                <w:szCs w:val="14"/>
                <w:lang w:eastAsia="en-GB"/>
              </w:rPr>
            </w:pPr>
          </w:p>
        </w:tc>
        <w:tc>
          <w:tcPr>
            <w:tcW w:w="2562" w:type="dxa"/>
            <w:tcBorders>
              <w:top w:val="nil"/>
              <w:left w:val="nil"/>
              <w:bottom w:val="nil"/>
              <w:right w:val="nil"/>
            </w:tcBorders>
            <w:shd w:val="clear" w:color="auto" w:fill="auto"/>
            <w:noWrap/>
            <w:vAlign w:val="bottom"/>
            <w:hideMark/>
          </w:tcPr>
          <w:p w:rsidR="00CB391F" w:rsidRPr="00CB391F" w:rsidRDefault="00CB391F" w:rsidP="00CB391F">
            <w:pPr>
              <w:spacing w:after="0" w:line="240" w:lineRule="auto"/>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Persistent unexplained pain</w:t>
            </w:r>
          </w:p>
        </w:tc>
        <w:tc>
          <w:tcPr>
            <w:tcW w:w="960" w:type="dxa"/>
            <w:tcBorders>
              <w:top w:val="nil"/>
              <w:left w:val="single" w:sz="8" w:space="0" w:color="auto"/>
              <w:bottom w:val="nil"/>
              <w:right w:val="single" w:sz="8" w:space="0" w:color="auto"/>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20</w:t>
            </w:r>
          </w:p>
        </w:tc>
        <w:tc>
          <w:tcPr>
            <w:tcW w:w="960" w:type="dxa"/>
            <w:tcBorders>
              <w:top w:val="nil"/>
              <w:left w:val="nil"/>
              <w:bottom w:val="nil"/>
              <w:right w:val="nil"/>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20</w:t>
            </w:r>
          </w:p>
        </w:tc>
        <w:tc>
          <w:tcPr>
            <w:tcW w:w="960" w:type="dxa"/>
            <w:tcBorders>
              <w:top w:val="nil"/>
              <w:left w:val="single" w:sz="8" w:space="0" w:color="auto"/>
              <w:bottom w:val="nil"/>
              <w:right w:val="single" w:sz="8" w:space="0" w:color="auto"/>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22</w:t>
            </w:r>
          </w:p>
        </w:tc>
        <w:tc>
          <w:tcPr>
            <w:tcW w:w="960" w:type="dxa"/>
            <w:tcBorders>
              <w:top w:val="nil"/>
              <w:left w:val="nil"/>
              <w:bottom w:val="nil"/>
              <w:right w:val="nil"/>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21</w:t>
            </w:r>
          </w:p>
        </w:tc>
        <w:tc>
          <w:tcPr>
            <w:tcW w:w="960" w:type="dxa"/>
            <w:tcBorders>
              <w:top w:val="nil"/>
              <w:left w:val="single" w:sz="8" w:space="0" w:color="auto"/>
              <w:bottom w:val="nil"/>
              <w:right w:val="single" w:sz="8" w:space="0" w:color="auto"/>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27</w:t>
            </w:r>
          </w:p>
        </w:tc>
        <w:tc>
          <w:tcPr>
            <w:tcW w:w="960" w:type="dxa"/>
            <w:tcBorders>
              <w:top w:val="nil"/>
              <w:left w:val="nil"/>
              <w:bottom w:val="nil"/>
              <w:right w:val="nil"/>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13</w:t>
            </w:r>
          </w:p>
        </w:tc>
        <w:tc>
          <w:tcPr>
            <w:tcW w:w="1040" w:type="dxa"/>
            <w:tcBorders>
              <w:top w:val="nil"/>
              <w:left w:val="single" w:sz="8" w:space="0" w:color="auto"/>
              <w:bottom w:val="nil"/>
              <w:right w:val="single" w:sz="8" w:space="0" w:color="auto"/>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20</w:t>
            </w:r>
          </w:p>
        </w:tc>
      </w:tr>
      <w:tr w:rsidR="00CB391F" w:rsidRPr="00CB391F" w:rsidTr="00CB391F">
        <w:trPr>
          <w:trHeight w:val="300"/>
        </w:trPr>
        <w:tc>
          <w:tcPr>
            <w:tcW w:w="987" w:type="dxa"/>
            <w:vMerge/>
            <w:tcBorders>
              <w:top w:val="nil"/>
              <w:left w:val="single" w:sz="8" w:space="0" w:color="auto"/>
              <w:bottom w:val="single" w:sz="8" w:space="0" w:color="000000"/>
              <w:right w:val="single" w:sz="8" w:space="0" w:color="auto"/>
            </w:tcBorders>
            <w:vAlign w:val="center"/>
            <w:hideMark/>
          </w:tcPr>
          <w:p w:rsidR="00CB391F" w:rsidRPr="00CB391F" w:rsidRDefault="00CB391F" w:rsidP="00CB391F">
            <w:pPr>
              <w:spacing w:after="0" w:line="240" w:lineRule="auto"/>
              <w:rPr>
                <w:rFonts w:ascii="Arial" w:eastAsia="Times New Roman" w:hAnsi="Arial" w:cs="Arial"/>
                <w:color w:val="000000"/>
                <w:sz w:val="14"/>
                <w:szCs w:val="14"/>
                <w:lang w:eastAsia="en-GB"/>
              </w:rPr>
            </w:pPr>
          </w:p>
        </w:tc>
        <w:tc>
          <w:tcPr>
            <w:tcW w:w="2562" w:type="dxa"/>
            <w:tcBorders>
              <w:top w:val="nil"/>
              <w:left w:val="nil"/>
              <w:bottom w:val="nil"/>
              <w:right w:val="nil"/>
            </w:tcBorders>
            <w:shd w:val="clear" w:color="auto" w:fill="auto"/>
            <w:noWrap/>
            <w:vAlign w:val="bottom"/>
            <w:hideMark/>
          </w:tcPr>
          <w:p w:rsidR="00CB391F" w:rsidRPr="00CB391F" w:rsidRDefault="00CB391F" w:rsidP="00CB391F">
            <w:pPr>
              <w:spacing w:after="0" w:line="240" w:lineRule="auto"/>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Unexplained weight-loss</w:t>
            </w:r>
          </w:p>
        </w:tc>
        <w:tc>
          <w:tcPr>
            <w:tcW w:w="960" w:type="dxa"/>
            <w:tcBorders>
              <w:top w:val="nil"/>
              <w:left w:val="single" w:sz="8" w:space="0" w:color="auto"/>
              <w:bottom w:val="nil"/>
              <w:right w:val="single" w:sz="8" w:space="0" w:color="auto"/>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18</w:t>
            </w:r>
          </w:p>
        </w:tc>
        <w:tc>
          <w:tcPr>
            <w:tcW w:w="960" w:type="dxa"/>
            <w:tcBorders>
              <w:top w:val="nil"/>
              <w:left w:val="nil"/>
              <w:bottom w:val="nil"/>
              <w:right w:val="nil"/>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20</w:t>
            </w:r>
          </w:p>
        </w:tc>
        <w:tc>
          <w:tcPr>
            <w:tcW w:w="960" w:type="dxa"/>
            <w:tcBorders>
              <w:top w:val="nil"/>
              <w:left w:val="single" w:sz="8" w:space="0" w:color="auto"/>
              <w:bottom w:val="nil"/>
              <w:right w:val="single" w:sz="8" w:space="0" w:color="auto"/>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17</w:t>
            </w:r>
          </w:p>
        </w:tc>
        <w:tc>
          <w:tcPr>
            <w:tcW w:w="960" w:type="dxa"/>
            <w:tcBorders>
              <w:top w:val="nil"/>
              <w:left w:val="nil"/>
              <w:bottom w:val="nil"/>
              <w:right w:val="nil"/>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15</w:t>
            </w:r>
          </w:p>
        </w:tc>
        <w:tc>
          <w:tcPr>
            <w:tcW w:w="960" w:type="dxa"/>
            <w:tcBorders>
              <w:top w:val="nil"/>
              <w:left w:val="single" w:sz="8" w:space="0" w:color="auto"/>
              <w:bottom w:val="nil"/>
              <w:right w:val="single" w:sz="8" w:space="0" w:color="auto"/>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22</w:t>
            </w:r>
          </w:p>
        </w:tc>
        <w:tc>
          <w:tcPr>
            <w:tcW w:w="960" w:type="dxa"/>
            <w:tcBorders>
              <w:top w:val="nil"/>
              <w:left w:val="nil"/>
              <w:bottom w:val="nil"/>
              <w:right w:val="nil"/>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17</w:t>
            </w:r>
          </w:p>
        </w:tc>
        <w:tc>
          <w:tcPr>
            <w:tcW w:w="1040" w:type="dxa"/>
            <w:tcBorders>
              <w:top w:val="nil"/>
              <w:left w:val="single" w:sz="8" w:space="0" w:color="auto"/>
              <w:bottom w:val="nil"/>
              <w:right w:val="single" w:sz="8" w:space="0" w:color="auto"/>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15</w:t>
            </w:r>
          </w:p>
        </w:tc>
      </w:tr>
      <w:tr w:rsidR="00CB391F" w:rsidRPr="00CB391F" w:rsidTr="00185B72">
        <w:trPr>
          <w:trHeight w:val="73"/>
        </w:trPr>
        <w:tc>
          <w:tcPr>
            <w:tcW w:w="987" w:type="dxa"/>
            <w:vMerge/>
            <w:tcBorders>
              <w:top w:val="nil"/>
              <w:left w:val="single" w:sz="8" w:space="0" w:color="auto"/>
              <w:bottom w:val="single" w:sz="8" w:space="0" w:color="000000"/>
              <w:right w:val="single" w:sz="8" w:space="0" w:color="auto"/>
            </w:tcBorders>
            <w:vAlign w:val="center"/>
            <w:hideMark/>
          </w:tcPr>
          <w:p w:rsidR="00CB391F" w:rsidRPr="00CB391F" w:rsidRDefault="00CB391F" w:rsidP="00CB391F">
            <w:pPr>
              <w:spacing w:after="0" w:line="240" w:lineRule="auto"/>
              <w:rPr>
                <w:rFonts w:ascii="Arial" w:eastAsia="Times New Roman" w:hAnsi="Arial" w:cs="Arial"/>
                <w:color w:val="000000"/>
                <w:sz w:val="14"/>
                <w:szCs w:val="14"/>
                <w:lang w:eastAsia="en-GB"/>
              </w:rPr>
            </w:pPr>
          </w:p>
        </w:tc>
        <w:tc>
          <w:tcPr>
            <w:tcW w:w="2562" w:type="dxa"/>
            <w:tcBorders>
              <w:top w:val="nil"/>
              <w:left w:val="nil"/>
              <w:bottom w:val="single" w:sz="8" w:space="0" w:color="auto"/>
              <w:right w:val="nil"/>
            </w:tcBorders>
            <w:shd w:val="clear" w:color="auto" w:fill="auto"/>
            <w:noWrap/>
            <w:vAlign w:val="bottom"/>
            <w:hideMark/>
          </w:tcPr>
          <w:p w:rsidR="00CB391F" w:rsidRPr="00CB391F" w:rsidRDefault="00CB391F" w:rsidP="00CB391F">
            <w:pPr>
              <w:spacing w:after="0" w:line="240" w:lineRule="auto"/>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Loss of appetite</w:t>
            </w:r>
          </w:p>
        </w:tc>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8</w:t>
            </w:r>
          </w:p>
        </w:tc>
        <w:tc>
          <w:tcPr>
            <w:tcW w:w="960" w:type="dxa"/>
            <w:tcBorders>
              <w:top w:val="nil"/>
              <w:left w:val="nil"/>
              <w:bottom w:val="single" w:sz="8" w:space="0" w:color="auto"/>
              <w:right w:val="nil"/>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7</w:t>
            </w:r>
          </w:p>
        </w:tc>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8</w:t>
            </w:r>
          </w:p>
        </w:tc>
        <w:tc>
          <w:tcPr>
            <w:tcW w:w="960" w:type="dxa"/>
            <w:tcBorders>
              <w:top w:val="nil"/>
              <w:left w:val="nil"/>
              <w:bottom w:val="single" w:sz="8" w:space="0" w:color="auto"/>
              <w:right w:val="nil"/>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7</w:t>
            </w:r>
          </w:p>
        </w:tc>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11</w:t>
            </w:r>
          </w:p>
        </w:tc>
        <w:tc>
          <w:tcPr>
            <w:tcW w:w="960" w:type="dxa"/>
            <w:tcBorders>
              <w:top w:val="nil"/>
              <w:left w:val="nil"/>
              <w:bottom w:val="single" w:sz="8" w:space="0" w:color="auto"/>
              <w:right w:val="nil"/>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7</w:t>
            </w:r>
          </w:p>
        </w:tc>
        <w:tc>
          <w:tcPr>
            <w:tcW w:w="1040" w:type="dxa"/>
            <w:tcBorders>
              <w:top w:val="nil"/>
              <w:left w:val="single" w:sz="8" w:space="0" w:color="auto"/>
              <w:bottom w:val="single" w:sz="8" w:space="0" w:color="auto"/>
              <w:right w:val="single" w:sz="8" w:space="0" w:color="auto"/>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8</w:t>
            </w:r>
          </w:p>
        </w:tc>
      </w:tr>
      <w:tr w:rsidR="00CB391F" w:rsidRPr="00CB391F" w:rsidTr="00CB391F">
        <w:trPr>
          <w:trHeight w:val="300"/>
        </w:trPr>
        <w:tc>
          <w:tcPr>
            <w:tcW w:w="98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Prompted</w:t>
            </w:r>
          </w:p>
        </w:tc>
        <w:tc>
          <w:tcPr>
            <w:tcW w:w="2562" w:type="dxa"/>
            <w:tcBorders>
              <w:top w:val="nil"/>
              <w:left w:val="nil"/>
              <w:bottom w:val="nil"/>
              <w:right w:val="nil"/>
            </w:tcBorders>
            <w:shd w:val="clear" w:color="auto" w:fill="auto"/>
            <w:noWrap/>
            <w:vAlign w:val="bottom"/>
            <w:hideMark/>
          </w:tcPr>
          <w:p w:rsidR="00CB391F" w:rsidRPr="00CB391F" w:rsidRDefault="00CB391F" w:rsidP="00CB391F">
            <w:pPr>
              <w:spacing w:after="0" w:line="240" w:lineRule="auto"/>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A change in bowel/bladder habits</w:t>
            </w:r>
          </w:p>
        </w:tc>
        <w:tc>
          <w:tcPr>
            <w:tcW w:w="960" w:type="dxa"/>
            <w:tcBorders>
              <w:top w:val="nil"/>
              <w:left w:val="single" w:sz="8" w:space="0" w:color="auto"/>
              <w:bottom w:val="nil"/>
              <w:right w:val="single" w:sz="8" w:space="0" w:color="auto"/>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86</w:t>
            </w:r>
          </w:p>
        </w:tc>
        <w:tc>
          <w:tcPr>
            <w:tcW w:w="960" w:type="dxa"/>
            <w:tcBorders>
              <w:top w:val="nil"/>
              <w:left w:val="nil"/>
              <w:bottom w:val="nil"/>
              <w:right w:val="single" w:sz="8" w:space="0" w:color="auto"/>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86</w:t>
            </w:r>
          </w:p>
        </w:tc>
        <w:tc>
          <w:tcPr>
            <w:tcW w:w="960" w:type="dxa"/>
            <w:tcBorders>
              <w:top w:val="nil"/>
              <w:left w:val="nil"/>
              <w:bottom w:val="nil"/>
              <w:right w:val="single" w:sz="8" w:space="0" w:color="auto"/>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85</w:t>
            </w:r>
          </w:p>
        </w:tc>
        <w:tc>
          <w:tcPr>
            <w:tcW w:w="960" w:type="dxa"/>
            <w:tcBorders>
              <w:top w:val="nil"/>
              <w:left w:val="nil"/>
              <w:bottom w:val="nil"/>
              <w:right w:val="single" w:sz="8" w:space="0" w:color="auto"/>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85</w:t>
            </w:r>
          </w:p>
        </w:tc>
        <w:tc>
          <w:tcPr>
            <w:tcW w:w="960" w:type="dxa"/>
            <w:tcBorders>
              <w:top w:val="nil"/>
              <w:left w:val="nil"/>
              <w:bottom w:val="nil"/>
              <w:right w:val="single" w:sz="8" w:space="0" w:color="auto"/>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87</w:t>
            </w:r>
          </w:p>
        </w:tc>
        <w:tc>
          <w:tcPr>
            <w:tcW w:w="960" w:type="dxa"/>
            <w:tcBorders>
              <w:top w:val="nil"/>
              <w:left w:val="nil"/>
              <w:bottom w:val="nil"/>
              <w:right w:val="single" w:sz="8" w:space="0" w:color="auto"/>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90</w:t>
            </w:r>
          </w:p>
        </w:tc>
        <w:tc>
          <w:tcPr>
            <w:tcW w:w="1040" w:type="dxa"/>
            <w:tcBorders>
              <w:top w:val="nil"/>
              <w:left w:val="nil"/>
              <w:bottom w:val="nil"/>
              <w:right w:val="single" w:sz="8" w:space="0" w:color="auto"/>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86</w:t>
            </w:r>
          </w:p>
        </w:tc>
      </w:tr>
      <w:tr w:rsidR="00CB391F" w:rsidRPr="00CB391F" w:rsidTr="00CB391F">
        <w:trPr>
          <w:trHeight w:val="300"/>
        </w:trPr>
        <w:tc>
          <w:tcPr>
            <w:tcW w:w="987" w:type="dxa"/>
            <w:vMerge/>
            <w:tcBorders>
              <w:top w:val="nil"/>
              <w:left w:val="single" w:sz="8" w:space="0" w:color="auto"/>
              <w:bottom w:val="single" w:sz="8" w:space="0" w:color="000000"/>
              <w:right w:val="single" w:sz="8" w:space="0" w:color="auto"/>
            </w:tcBorders>
            <w:vAlign w:val="center"/>
            <w:hideMark/>
          </w:tcPr>
          <w:p w:rsidR="00CB391F" w:rsidRPr="00CB391F" w:rsidRDefault="00CB391F" w:rsidP="00CB391F">
            <w:pPr>
              <w:spacing w:after="0" w:line="240" w:lineRule="auto"/>
              <w:rPr>
                <w:rFonts w:ascii="Arial" w:eastAsia="Times New Roman" w:hAnsi="Arial" w:cs="Arial"/>
                <w:color w:val="000000"/>
                <w:sz w:val="14"/>
                <w:szCs w:val="14"/>
                <w:lang w:eastAsia="en-GB"/>
              </w:rPr>
            </w:pPr>
          </w:p>
        </w:tc>
        <w:tc>
          <w:tcPr>
            <w:tcW w:w="2562" w:type="dxa"/>
            <w:tcBorders>
              <w:top w:val="nil"/>
              <w:left w:val="nil"/>
              <w:bottom w:val="nil"/>
              <w:right w:val="nil"/>
            </w:tcBorders>
            <w:shd w:val="clear" w:color="auto" w:fill="auto"/>
            <w:noWrap/>
            <w:vAlign w:val="bottom"/>
            <w:hideMark/>
          </w:tcPr>
          <w:p w:rsidR="00CB391F" w:rsidRPr="00CB391F" w:rsidRDefault="00CB391F" w:rsidP="00CB391F">
            <w:pPr>
              <w:spacing w:after="0" w:line="240" w:lineRule="auto"/>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Unexplained bleeding</w:t>
            </w:r>
          </w:p>
        </w:tc>
        <w:tc>
          <w:tcPr>
            <w:tcW w:w="960" w:type="dxa"/>
            <w:tcBorders>
              <w:top w:val="nil"/>
              <w:left w:val="single" w:sz="8" w:space="0" w:color="auto"/>
              <w:bottom w:val="nil"/>
              <w:right w:val="single" w:sz="8" w:space="0" w:color="auto"/>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83</w:t>
            </w:r>
          </w:p>
        </w:tc>
        <w:tc>
          <w:tcPr>
            <w:tcW w:w="960" w:type="dxa"/>
            <w:tcBorders>
              <w:top w:val="nil"/>
              <w:left w:val="nil"/>
              <w:bottom w:val="nil"/>
              <w:right w:val="single" w:sz="8" w:space="0" w:color="auto"/>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81</w:t>
            </w:r>
          </w:p>
        </w:tc>
        <w:tc>
          <w:tcPr>
            <w:tcW w:w="960" w:type="dxa"/>
            <w:tcBorders>
              <w:top w:val="nil"/>
              <w:left w:val="nil"/>
              <w:bottom w:val="nil"/>
              <w:right w:val="single" w:sz="8" w:space="0" w:color="auto"/>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83</w:t>
            </w:r>
          </w:p>
        </w:tc>
        <w:tc>
          <w:tcPr>
            <w:tcW w:w="960" w:type="dxa"/>
            <w:tcBorders>
              <w:top w:val="nil"/>
              <w:left w:val="nil"/>
              <w:bottom w:val="nil"/>
              <w:right w:val="single" w:sz="8" w:space="0" w:color="auto"/>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81</w:t>
            </w:r>
          </w:p>
        </w:tc>
        <w:tc>
          <w:tcPr>
            <w:tcW w:w="960" w:type="dxa"/>
            <w:tcBorders>
              <w:top w:val="nil"/>
              <w:left w:val="nil"/>
              <w:bottom w:val="nil"/>
              <w:right w:val="single" w:sz="8" w:space="0" w:color="auto"/>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87</w:t>
            </w:r>
          </w:p>
        </w:tc>
        <w:tc>
          <w:tcPr>
            <w:tcW w:w="960" w:type="dxa"/>
            <w:tcBorders>
              <w:top w:val="nil"/>
              <w:left w:val="nil"/>
              <w:bottom w:val="nil"/>
              <w:right w:val="single" w:sz="8" w:space="0" w:color="auto"/>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85</w:t>
            </w:r>
          </w:p>
        </w:tc>
        <w:tc>
          <w:tcPr>
            <w:tcW w:w="1040" w:type="dxa"/>
            <w:tcBorders>
              <w:top w:val="nil"/>
              <w:left w:val="nil"/>
              <w:bottom w:val="nil"/>
              <w:right w:val="single" w:sz="8" w:space="0" w:color="auto"/>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81</w:t>
            </w:r>
          </w:p>
        </w:tc>
      </w:tr>
      <w:tr w:rsidR="00CB391F" w:rsidRPr="00CB391F" w:rsidTr="00CB391F">
        <w:trPr>
          <w:trHeight w:val="300"/>
        </w:trPr>
        <w:tc>
          <w:tcPr>
            <w:tcW w:w="987" w:type="dxa"/>
            <w:vMerge/>
            <w:tcBorders>
              <w:top w:val="nil"/>
              <w:left w:val="single" w:sz="8" w:space="0" w:color="auto"/>
              <w:bottom w:val="single" w:sz="8" w:space="0" w:color="000000"/>
              <w:right w:val="single" w:sz="8" w:space="0" w:color="auto"/>
            </w:tcBorders>
            <w:vAlign w:val="center"/>
            <w:hideMark/>
          </w:tcPr>
          <w:p w:rsidR="00CB391F" w:rsidRPr="00CB391F" w:rsidRDefault="00CB391F" w:rsidP="00CB391F">
            <w:pPr>
              <w:spacing w:after="0" w:line="240" w:lineRule="auto"/>
              <w:rPr>
                <w:rFonts w:ascii="Arial" w:eastAsia="Times New Roman" w:hAnsi="Arial" w:cs="Arial"/>
                <w:color w:val="000000"/>
                <w:sz w:val="14"/>
                <w:szCs w:val="14"/>
                <w:lang w:eastAsia="en-GB"/>
              </w:rPr>
            </w:pPr>
          </w:p>
        </w:tc>
        <w:tc>
          <w:tcPr>
            <w:tcW w:w="2562" w:type="dxa"/>
            <w:tcBorders>
              <w:top w:val="nil"/>
              <w:left w:val="nil"/>
              <w:bottom w:val="nil"/>
              <w:right w:val="nil"/>
            </w:tcBorders>
            <w:shd w:val="clear" w:color="auto" w:fill="auto"/>
            <w:noWrap/>
            <w:vAlign w:val="bottom"/>
            <w:hideMark/>
          </w:tcPr>
          <w:p w:rsidR="00CB391F" w:rsidRPr="00CB391F" w:rsidRDefault="00CB391F" w:rsidP="00CB391F">
            <w:pPr>
              <w:spacing w:after="0" w:line="240" w:lineRule="auto"/>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Persistent unexplained pain</w:t>
            </w:r>
          </w:p>
        </w:tc>
        <w:tc>
          <w:tcPr>
            <w:tcW w:w="960" w:type="dxa"/>
            <w:tcBorders>
              <w:top w:val="nil"/>
              <w:left w:val="single" w:sz="8" w:space="0" w:color="auto"/>
              <w:bottom w:val="nil"/>
              <w:right w:val="single" w:sz="8" w:space="0" w:color="auto"/>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79</w:t>
            </w:r>
          </w:p>
        </w:tc>
        <w:tc>
          <w:tcPr>
            <w:tcW w:w="960" w:type="dxa"/>
            <w:tcBorders>
              <w:top w:val="nil"/>
              <w:left w:val="nil"/>
              <w:bottom w:val="nil"/>
              <w:right w:val="single" w:sz="8" w:space="0" w:color="auto"/>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79</w:t>
            </w:r>
          </w:p>
        </w:tc>
        <w:tc>
          <w:tcPr>
            <w:tcW w:w="960" w:type="dxa"/>
            <w:tcBorders>
              <w:top w:val="nil"/>
              <w:left w:val="nil"/>
              <w:bottom w:val="nil"/>
              <w:right w:val="single" w:sz="8" w:space="0" w:color="auto"/>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79</w:t>
            </w:r>
          </w:p>
        </w:tc>
        <w:tc>
          <w:tcPr>
            <w:tcW w:w="960" w:type="dxa"/>
            <w:tcBorders>
              <w:top w:val="nil"/>
              <w:left w:val="nil"/>
              <w:bottom w:val="nil"/>
              <w:right w:val="single" w:sz="8" w:space="0" w:color="auto"/>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80</w:t>
            </w:r>
          </w:p>
        </w:tc>
        <w:tc>
          <w:tcPr>
            <w:tcW w:w="960" w:type="dxa"/>
            <w:tcBorders>
              <w:top w:val="nil"/>
              <w:left w:val="nil"/>
              <w:bottom w:val="nil"/>
              <w:right w:val="single" w:sz="8" w:space="0" w:color="auto"/>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81</w:t>
            </w:r>
          </w:p>
        </w:tc>
        <w:tc>
          <w:tcPr>
            <w:tcW w:w="960" w:type="dxa"/>
            <w:tcBorders>
              <w:top w:val="nil"/>
              <w:left w:val="nil"/>
              <w:bottom w:val="nil"/>
              <w:right w:val="single" w:sz="8" w:space="0" w:color="auto"/>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79</w:t>
            </w:r>
          </w:p>
        </w:tc>
        <w:tc>
          <w:tcPr>
            <w:tcW w:w="1040" w:type="dxa"/>
            <w:tcBorders>
              <w:top w:val="nil"/>
              <w:left w:val="nil"/>
              <w:bottom w:val="nil"/>
              <w:right w:val="single" w:sz="8" w:space="0" w:color="auto"/>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76</w:t>
            </w:r>
          </w:p>
        </w:tc>
      </w:tr>
      <w:tr w:rsidR="00CB391F" w:rsidRPr="00CB391F" w:rsidTr="00CB391F">
        <w:trPr>
          <w:trHeight w:val="315"/>
        </w:trPr>
        <w:tc>
          <w:tcPr>
            <w:tcW w:w="987" w:type="dxa"/>
            <w:vMerge/>
            <w:tcBorders>
              <w:top w:val="nil"/>
              <w:left w:val="single" w:sz="8" w:space="0" w:color="auto"/>
              <w:bottom w:val="single" w:sz="8" w:space="0" w:color="000000"/>
              <w:right w:val="single" w:sz="8" w:space="0" w:color="auto"/>
            </w:tcBorders>
            <w:vAlign w:val="center"/>
            <w:hideMark/>
          </w:tcPr>
          <w:p w:rsidR="00CB391F" w:rsidRPr="00CB391F" w:rsidRDefault="00CB391F" w:rsidP="00CB391F">
            <w:pPr>
              <w:spacing w:after="0" w:line="240" w:lineRule="auto"/>
              <w:rPr>
                <w:rFonts w:ascii="Arial" w:eastAsia="Times New Roman" w:hAnsi="Arial" w:cs="Arial"/>
                <w:color w:val="000000"/>
                <w:sz w:val="14"/>
                <w:szCs w:val="14"/>
                <w:lang w:eastAsia="en-GB"/>
              </w:rPr>
            </w:pPr>
          </w:p>
        </w:tc>
        <w:tc>
          <w:tcPr>
            <w:tcW w:w="2562" w:type="dxa"/>
            <w:tcBorders>
              <w:top w:val="nil"/>
              <w:left w:val="nil"/>
              <w:bottom w:val="single" w:sz="8" w:space="0" w:color="auto"/>
              <w:right w:val="nil"/>
            </w:tcBorders>
            <w:shd w:val="clear" w:color="auto" w:fill="auto"/>
            <w:noWrap/>
            <w:vAlign w:val="bottom"/>
            <w:hideMark/>
          </w:tcPr>
          <w:p w:rsidR="00CB391F" w:rsidRPr="00CB391F" w:rsidRDefault="00CB391F" w:rsidP="00CB391F">
            <w:pPr>
              <w:spacing w:after="0" w:line="240" w:lineRule="auto"/>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Unexplained weight-loss</w:t>
            </w:r>
          </w:p>
        </w:tc>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83</w:t>
            </w:r>
          </w:p>
        </w:tc>
        <w:tc>
          <w:tcPr>
            <w:tcW w:w="960" w:type="dxa"/>
            <w:tcBorders>
              <w:top w:val="nil"/>
              <w:left w:val="nil"/>
              <w:bottom w:val="single" w:sz="8" w:space="0" w:color="auto"/>
              <w:right w:val="single" w:sz="8" w:space="0" w:color="auto"/>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85</w:t>
            </w:r>
          </w:p>
        </w:tc>
        <w:tc>
          <w:tcPr>
            <w:tcW w:w="960" w:type="dxa"/>
            <w:tcBorders>
              <w:top w:val="nil"/>
              <w:left w:val="nil"/>
              <w:bottom w:val="single" w:sz="8" w:space="0" w:color="auto"/>
              <w:right w:val="single" w:sz="8" w:space="0" w:color="auto"/>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81</w:t>
            </w:r>
          </w:p>
        </w:tc>
        <w:tc>
          <w:tcPr>
            <w:tcW w:w="960" w:type="dxa"/>
            <w:tcBorders>
              <w:top w:val="nil"/>
              <w:left w:val="nil"/>
              <w:bottom w:val="single" w:sz="8" w:space="0" w:color="auto"/>
              <w:right w:val="single" w:sz="8" w:space="0" w:color="auto"/>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80</w:t>
            </w:r>
          </w:p>
        </w:tc>
        <w:tc>
          <w:tcPr>
            <w:tcW w:w="960" w:type="dxa"/>
            <w:tcBorders>
              <w:top w:val="nil"/>
              <w:left w:val="nil"/>
              <w:bottom w:val="single" w:sz="8" w:space="0" w:color="auto"/>
              <w:right w:val="single" w:sz="8" w:space="0" w:color="auto"/>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84</w:t>
            </w:r>
          </w:p>
        </w:tc>
        <w:tc>
          <w:tcPr>
            <w:tcW w:w="960" w:type="dxa"/>
            <w:tcBorders>
              <w:top w:val="nil"/>
              <w:left w:val="nil"/>
              <w:bottom w:val="single" w:sz="8" w:space="0" w:color="auto"/>
              <w:right w:val="single" w:sz="8" w:space="0" w:color="auto"/>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85</w:t>
            </w:r>
          </w:p>
        </w:tc>
        <w:tc>
          <w:tcPr>
            <w:tcW w:w="1040" w:type="dxa"/>
            <w:tcBorders>
              <w:top w:val="nil"/>
              <w:left w:val="nil"/>
              <w:bottom w:val="single" w:sz="8" w:space="0" w:color="auto"/>
              <w:right w:val="single" w:sz="8" w:space="0" w:color="auto"/>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80</w:t>
            </w:r>
          </w:p>
        </w:tc>
      </w:tr>
      <w:tr w:rsidR="00CB391F" w:rsidRPr="00CB391F" w:rsidTr="00CB391F">
        <w:trPr>
          <w:trHeight w:val="194"/>
        </w:trPr>
        <w:tc>
          <w:tcPr>
            <w:tcW w:w="10349" w:type="dxa"/>
            <w:gridSpan w:val="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CB391F" w:rsidRPr="00CB391F" w:rsidRDefault="00CB391F" w:rsidP="00CB391F">
            <w:pPr>
              <w:spacing w:after="0" w:line="240" w:lineRule="auto"/>
              <w:rPr>
                <w:rFonts w:ascii="Arial" w:eastAsia="Times New Roman" w:hAnsi="Arial" w:cs="Arial"/>
                <w:color w:val="000000"/>
                <w:sz w:val="14"/>
                <w:szCs w:val="14"/>
                <w:lang w:eastAsia="en-GB"/>
              </w:rPr>
            </w:pPr>
            <w:r>
              <w:rPr>
                <w:rFonts w:ascii="Arial" w:eastAsia="Times New Roman" w:hAnsi="Arial" w:cs="Arial"/>
                <w:color w:val="000000"/>
                <w:sz w:val="14"/>
                <w:szCs w:val="14"/>
                <w:lang w:eastAsia="en-GB"/>
              </w:rPr>
              <w:t xml:space="preserve">On noticing a </w:t>
            </w:r>
            <w:r w:rsidRPr="00CB391F">
              <w:rPr>
                <w:rFonts w:ascii="Arial" w:eastAsia="Times New Roman" w:hAnsi="Arial" w:cs="Arial"/>
                <w:color w:val="000000"/>
                <w:sz w:val="14"/>
                <w:szCs w:val="14"/>
                <w:lang w:eastAsia="en-GB"/>
              </w:rPr>
              <w:t>change in bowel/bla</w:t>
            </w:r>
            <w:r>
              <w:rPr>
                <w:rFonts w:ascii="Arial" w:eastAsia="Times New Roman" w:hAnsi="Arial" w:cs="Arial"/>
                <w:color w:val="000000"/>
                <w:sz w:val="14"/>
                <w:szCs w:val="14"/>
                <w:lang w:eastAsia="en-GB"/>
              </w:rPr>
              <w:t>d</w:t>
            </w:r>
            <w:r w:rsidRPr="00CB391F">
              <w:rPr>
                <w:rFonts w:ascii="Arial" w:eastAsia="Times New Roman" w:hAnsi="Arial" w:cs="Arial"/>
                <w:color w:val="000000"/>
                <w:sz w:val="14"/>
                <w:szCs w:val="14"/>
                <w:lang w:eastAsia="en-GB"/>
              </w:rPr>
              <w:t>der habits, how long to contact Dr.</w:t>
            </w:r>
          </w:p>
        </w:tc>
      </w:tr>
      <w:tr w:rsidR="00CB391F" w:rsidRPr="00CB391F" w:rsidTr="00CB391F">
        <w:trPr>
          <w:trHeight w:val="315"/>
        </w:trPr>
        <w:tc>
          <w:tcPr>
            <w:tcW w:w="987" w:type="dxa"/>
            <w:tcBorders>
              <w:top w:val="nil"/>
              <w:left w:val="single" w:sz="8" w:space="0" w:color="auto"/>
              <w:bottom w:val="nil"/>
              <w:right w:val="single" w:sz="8" w:space="0" w:color="auto"/>
            </w:tcBorders>
            <w:shd w:val="clear" w:color="auto" w:fill="auto"/>
            <w:noWrap/>
            <w:vAlign w:val="bottom"/>
            <w:hideMark/>
          </w:tcPr>
          <w:p w:rsidR="00CB391F" w:rsidRPr="00CB391F" w:rsidRDefault="00CB391F" w:rsidP="00CB391F">
            <w:pPr>
              <w:spacing w:after="0" w:line="240" w:lineRule="auto"/>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 </w:t>
            </w:r>
          </w:p>
        </w:tc>
        <w:tc>
          <w:tcPr>
            <w:tcW w:w="2562" w:type="dxa"/>
            <w:tcBorders>
              <w:top w:val="nil"/>
              <w:left w:val="nil"/>
              <w:bottom w:val="nil"/>
              <w:right w:val="single" w:sz="8" w:space="0" w:color="auto"/>
            </w:tcBorders>
            <w:shd w:val="clear" w:color="auto" w:fill="auto"/>
            <w:noWrap/>
            <w:vAlign w:val="bottom"/>
            <w:hideMark/>
          </w:tcPr>
          <w:p w:rsidR="00CB391F" w:rsidRPr="00CB391F" w:rsidRDefault="00CB391F" w:rsidP="00CB391F">
            <w:pPr>
              <w:spacing w:after="0" w:line="240" w:lineRule="auto"/>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1-3 days</w:t>
            </w:r>
          </w:p>
        </w:tc>
        <w:tc>
          <w:tcPr>
            <w:tcW w:w="960" w:type="dxa"/>
            <w:tcBorders>
              <w:top w:val="nil"/>
              <w:left w:val="nil"/>
              <w:bottom w:val="nil"/>
              <w:right w:val="single" w:sz="8" w:space="0" w:color="auto"/>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20</w:t>
            </w:r>
          </w:p>
        </w:tc>
        <w:tc>
          <w:tcPr>
            <w:tcW w:w="960" w:type="dxa"/>
            <w:tcBorders>
              <w:top w:val="nil"/>
              <w:left w:val="nil"/>
              <w:bottom w:val="nil"/>
              <w:right w:val="nil"/>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26</w:t>
            </w:r>
          </w:p>
        </w:tc>
        <w:tc>
          <w:tcPr>
            <w:tcW w:w="960" w:type="dxa"/>
            <w:tcBorders>
              <w:top w:val="nil"/>
              <w:left w:val="single" w:sz="8" w:space="0" w:color="auto"/>
              <w:bottom w:val="nil"/>
              <w:right w:val="single" w:sz="8" w:space="0" w:color="auto"/>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15</w:t>
            </w:r>
          </w:p>
        </w:tc>
        <w:tc>
          <w:tcPr>
            <w:tcW w:w="960" w:type="dxa"/>
            <w:tcBorders>
              <w:top w:val="nil"/>
              <w:left w:val="nil"/>
              <w:bottom w:val="nil"/>
              <w:right w:val="nil"/>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25</w:t>
            </w:r>
          </w:p>
        </w:tc>
        <w:tc>
          <w:tcPr>
            <w:tcW w:w="960" w:type="dxa"/>
            <w:tcBorders>
              <w:top w:val="nil"/>
              <w:left w:val="single" w:sz="8" w:space="0" w:color="auto"/>
              <w:bottom w:val="nil"/>
              <w:right w:val="single" w:sz="8" w:space="0" w:color="auto"/>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18</w:t>
            </w:r>
          </w:p>
        </w:tc>
        <w:tc>
          <w:tcPr>
            <w:tcW w:w="960" w:type="dxa"/>
            <w:tcBorders>
              <w:top w:val="nil"/>
              <w:left w:val="nil"/>
              <w:bottom w:val="nil"/>
              <w:right w:val="nil"/>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14</w:t>
            </w:r>
          </w:p>
        </w:tc>
        <w:tc>
          <w:tcPr>
            <w:tcW w:w="1040" w:type="dxa"/>
            <w:tcBorders>
              <w:top w:val="nil"/>
              <w:left w:val="single" w:sz="8" w:space="0" w:color="auto"/>
              <w:bottom w:val="nil"/>
              <w:right w:val="single" w:sz="8" w:space="0" w:color="auto"/>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18</w:t>
            </w:r>
          </w:p>
        </w:tc>
      </w:tr>
      <w:tr w:rsidR="00CB391F" w:rsidRPr="00CB391F" w:rsidTr="00CB391F">
        <w:trPr>
          <w:trHeight w:val="300"/>
        </w:trPr>
        <w:tc>
          <w:tcPr>
            <w:tcW w:w="987" w:type="dxa"/>
            <w:tcBorders>
              <w:top w:val="nil"/>
              <w:left w:val="single" w:sz="8" w:space="0" w:color="auto"/>
              <w:bottom w:val="nil"/>
              <w:right w:val="single" w:sz="8" w:space="0" w:color="auto"/>
            </w:tcBorders>
            <w:shd w:val="clear" w:color="auto" w:fill="auto"/>
            <w:noWrap/>
            <w:vAlign w:val="bottom"/>
            <w:hideMark/>
          </w:tcPr>
          <w:p w:rsidR="00CB391F" w:rsidRPr="00CB391F" w:rsidRDefault="00CB391F" w:rsidP="00CB391F">
            <w:pPr>
              <w:spacing w:after="0" w:line="240" w:lineRule="auto"/>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 </w:t>
            </w:r>
          </w:p>
        </w:tc>
        <w:tc>
          <w:tcPr>
            <w:tcW w:w="2562" w:type="dxa"/>
            <w:tcBorders>
              <w:top w:val="nil"/>
              <w:left w:val="nil"/>
              <w:bottom w:val="nil"/>
              <w:right w:val="single" w:sz="8" w:space="0" w:color="auto"/>
            </w:tcBorders>
            <w:shd w:val="clear" w:color="auto" w:fill="auto"/>
            <w:noWrap/>
            <w:vAlign w:val="bottom"/>
            <w:hideMark/>
          </w:tcPr>
          <w:p w:rsidR="00CB391F" w:rsidRPr="00CB391F" w:rsidRDefault="00CB391F" w:rsidP="00CB391F">
            <w:pPr>
              <w:spacing w:after="0" w:line="240" w:lineRule="auto"/>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4-6 days</w:t>
            </w:r>
          </w:p>
        </w:tc>
        <w:tc>
          <w:tcPr>
            <w:tcW w:w="960" w:type="dxa"/>
            <w:tcBorders>
              <w:top w:val="nil"/>
              <w:left w:val="nil"/>
              <w:bottom w:val="nil"/>
              <w:right w:val="single" w:sz="8" w:space="0" w:color="auto"/>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14</w:t>
            </w:r>
          </w:p>
        </w:tc>
        <w:tc>
          <w:tcPr>
            <w:tcW w:w="960" w:type="dxa"/>
            <w:tcBorders>
              <w:top w:val="nil"/>
              <w:left w:val="nil"/>
              <w:bottom w:val="nil"/>
              <w:right w:val="nil"/>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12</w:t>
            </w:r>
          </w:p>
        </w:tc>
        <w:tc>
          <w:tcPr>
            <w:tcW w:w="960" w:type="dxa"/>
            <w:tcBorders>
              <w:top w:val="nil"/>
              <w:left w:val="single" w:sz="8" w:space="0" w:color="auto"/>
              <w:bottom w:val="nil"/>
              <w:right w:val="single" w:sz="8" w:space="0" w:color="auto"/>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15</w:t>
            </w:r>
          </w:p>
        </w:tc>
        <w:tc>
          <w:tcPr>
            <w:tcW w:w="960" w:type="dxa"/>
            <w:tcBorders>
              <w:top w:val="nil"/>
              <w:left w:val="nil"/>
              <w:bottom w:val="nil"/>
              <w:right w:val="nil"/>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15</w:t>
            </w:r>
          </w:p>
        </w:tc>
        <w:tc>
          <w:tcPr>
            <w:tcW w:w="960" w:type="dxa"/>
            <w:tcBorders>
              <w:top w:val="nil"/>
              <w:left w:val="single" w:sz="8" w:space="0" w:color="auto"/>
              <w:bottom w:val="nil"/>
              <w:right w:val="single" w:sz="8" w:space="0" w:color="auto"/>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12</w:t>
            </w:r>
          </w:p>
        </w:tc>
        <w:tc>
          <w:tcPr>
            <w:tcW w:w="960" w:type="dxa"/>
            <w:tcBorders>
              <w:top w:val="nil"/>
              <w:left w:val="nil"/>
              <w:bottom w:val="nil"/>
              <w:right w:val="nil"/>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16</w:t>
            </w:r>
          </w:p>
        </w:tc>
        <w:tc>
          <w:tcPr>
            <w:tcW w:w="1040" w:type="dxa"/>
            <w:tcBorders>
              <w:top w:val="nil"/>
              <w:left w:val="single" w:sz="8" w:space="0" w:color="auto"/>
              <w:bottom w:val="nil"/>
              <w:right w:val="single" w:sz="8" w:space="0" w:color="auto"/>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13</w:t>
            </w:r>
          </w:p>
        </w:tc>
      </w:tr>
      <w:tr w:rsidR="00CB391F" w:rsidRPr="00CB391F" w:rsidTr="00CB391F">
        <w:trPr>
          <w:trHeight w:val="300"/>
        </w:trPr>
        <w:tc>
          <w:tcPr>
            <w:tcW w:w="987" w:type="dxa"/>
            <w:tcBorders>
              <w:top w:val="nil"/>
              <w:left w:val="single" w:sz="8" w:space="0" w:color="auto"/>
              <w:bottom w:val="nil"/>
              <w:right w:val="single" w:sz="8" w:space="0" w:color="auto"/>
            </w:tcBorders>
            <w:shd w:val="clear" w:color="auto" w:fill="auto"/>
            <w:noWrap/>
            <w:vAlign w:val="bottom"/>
            <w:hideMark/>
          </w:tcPr>
          <w:p w:rsidR="00CB391F" w:rsidRPr="00CB391F" w:rsidRDefault="00CB391F" w:rsidP="00CB391F">
            <w:pPr>
              <w:spacing w:after="0" w:line="240" w:lineRule="auto"/>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 </w:t>
            </w:r>
          </w:p>
        </w:tc>
        <w:tc>
          <w:tcPr>
            <w:tcW w:w="2562" w:type="dxa"/>
            <w:tcBorders>
              <w:top w:val="nil"/>
              <w:left w:val="nil"/>
              <w:bottom w:val="nil"/>
              <w:right w:val="single" w:sz="8" w:space="0" w:color="auto"/>
            </w:tcBorders>
            <w:shd w:val="clear" w:color="auto" w:fill="auto"/>
            <w:noWrap/>
            <w:vAlign w:val="bottom"/>
            <w:hideMark/>
          </w:tcPr>
          <w:p w:rsidR="00CB391F" w:rsidRPr="00CB391F" w:rsidRDefault="00CB391F" w:rsidP="00CB391F">
            <w:pPr>
              <w:spacing w:after="0" w:line="240" w:lineRule="auto"/>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1 week</w:t>
            </w:r>
          </w:p>
        </w:tc>
        <w:tc>
          <w:tcPr>
            <w:tcW w:w="960" w:type="dxa"/>
            <w:tcBorders>
              <w:top w:val="nil"/>
              <w:left w:val="nil"/>
              <w:bottom w:val="nil"/>
              <w:right w:val="single" w:sz="8" w:space="0" w:color="auto"/>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21</w:t>
            </w:r>
          </w:p>
        </w:tc>
        <w:tc>
          <w:tcPr>
            <w:tcW w:w="960" w:type="dxa"/>
            <w:tcBorders>
              <w:top w:val="nil"/>
              <w:left w:val="nil"/>
              <w:bottom w:val="nil"/>
              <w:right w:val="nil"/>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19</w:t>
            </w:r>
          </w:p>
        </w:tc>
        <w:tc>
          <w:tcPr>
            <w:tcW w:w="960" w:type="dxa"/>
            <w:tcBorders>
              <w:top w:val="nil"/>
              <w:left w:val="single" w:sz="8" w:space="0" w:color="auto"/>
              <w:bottom w:val="nil"/>
              <w:right w:val="single" w:sz="8" w:space="0" w:color="auto"/>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20</w:t>
            </w:r>
          </w:p>
        </w:tc>
        <w:tc>
          <w:tcPr>
            <w:tcW w:w="960" w:type="dxa"/>
            <w:tcBorders>
              <w:top w:val="nil"/>
              <w:left w:val="nil"/>
              <w:bottom w:val="nil"/>
              <w:right w:val="nil"/>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23</w:t>
            </w:r>
          </w:p>
        </w:tc>
        <w:tc>
          <w:tcPr>
            <w:tcW w:w="960" w:type="dxa"/>
            <w:tcBorders>
              <w:top w:val="nil"/>
              <w:left w:val="single" w:sz="8" w:space="0" w:color="auto"/>
              <w:bottom w:val="nil"/>
              <w:right w:val="single" w:sz="8" w:space="0" w:color="auto"/>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20</w:t>
            </w:r>
          </w:p>
        </w:tc>
        <w:tc>
          <w:tcPr>
            <w:tcW w:w="960" w:type="dxa"/>
            <w:tcBorders>
              <w:top w:val="nil"/>
              <w:left w:val="nil"/>
              <w:bottom w:val="nil"/>
              <w:right w:val="nil"/>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25</w:t>
            </w:r>
          </w:p>
        </w:tc>
        <w:tc>
          <w:tcPr>
            <w:tcW w:w="1040" w:type="dxa"/>
            <w:tcBorders>
              <w:top w:val="nil"/>
              <w:left w:val="single" w:sz="8" w:space="0" w:color="auto"/>
              <w:bottom w:val="nil"/>
              <w:right w:val="single" w:sz="8" w:space="0" w:color="auto"/>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21</w:t>
            </w:r>
          </w:p>
        </w:tc>
      </w:tr>
      <w:tr w:rsidR="00CB391F" w:rsidRPr="00CB391F" w:rsidTr="00CB391F">
        <w:trPr>
          <w:trHeight w:val="300"/>
        </w:trPr>
        <w:tc>
          <w:tcPr>
            <w:tcW w:w="987" w:type="dxa"/>
            <w:tcBorders>
              <w:top w:val="nil"/>
              <w:left w:val="single" w:sz="8" w:space="0" w:color="auto"/>
              <w:bottom w:val="nil"/>
              <w:right w:val="single" w:sz="8" w:space="0" w:color="auto"/>
            </w:tcBorders>
            <w:shd w:val="clear" w:color="auto" w:fill="auto"/>
            <w:noWrap/>
            <w:vAlign w:val="bottom"/>
            <w:hideMark/>
          </w:tcPr>
          <w:p w:rsidR="00CB391F" w:rsidRPr="00CB391F" w:rsidRDefault="00CB391F" w:rsidP="00CB391F">
            <w:pPr>
              <w:spacing w:after="0" w:line="240" w:lineRule="auto"/>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 </w:t>
            </w:r>
          </w:p>
        </w:tc>
        <w:tc>
          <w:tcPr>
            <w:tcW w:w="2562" w:type="dxa"/>
            <w:tcBorders>
              <w:top w:val="nil"/>
              <w:left w:val="nil"/>
              <w:bottom w:val="nil"/>
              <w:right w:val="single" w:sz="8" w:space="0" w:color="auto"/>
            </w:tcBorders>
            <w:shd w:val="clear" w:color="auto" w:fill="auto"/>
            <w:noWrap/>
            <w:vAlign w:val="bottom"/>
            <w:hideMark/>
          </w:tcPr>
          <w:p w:rsidR="00CB391F" w:rsidRPr="00CB391F" w:rsidRDefault="00CB391F" w:rsidP="00CB391F">
            <w:pPr>
              <w:spacing w:after="0" w:line="240" w:lineRule="auto"/>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2 weeks</w:t>
            </w:r>
          </w:p>
        </w:tc>
        <w:tc>
          <w:tcPr>
            <w:tcW w:w="960" w:type="dxa"/>
            <w:tcBorders>
              <w:top w:val="nil"/>
              <w:left w:val="nil"/>
              <w:bottom w:val="nil"/>
              <w:right w:val="single" w:sz="8" w:space="0" w:color="auto"/>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20</w:t>
            </w:r>
          </w:p>
        </w:tc>
        <w:tc>
          <w:tcPr>
            <w:tcW w:w="960" w:type="dxa"/>
            <w:tcBorders>
              <w:top w:val="nil"/>
              <w:left w:val="nil"/>
              <w:bottom w:val="nil"/>
              <w:right w:val="nil"/>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17</w:t>
            </w:r>
          </w:p>
        </w:tc>
        <w:tc>
          <w:tcPr>
            <w:tcW w:w="960" w:type="dxa"/>
            <w:tcBorders>
              <w:top w:val="nil"/>
              <w:left w:val="single" w:sz="8" w:space="0" w:color="auto"/>
              <w:bottom w:val="nil"/>
              <w:right w:val="single" w:sz="8" w:space="0" w:color="auto"/>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23</w:t>
            </w:r>
          </w:p>
        </w:tc>
        <w:tc>
          <w:tcPr>
            <w:tcW w:w="960" w:type="dxa"/>
            <w:tcBorders>
              <w:top w:val="nil"/>
              <w:left w:val="nil"/>
              <w:bottom w:val="nil"/>
              <w:right w:val="nil"/>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17</w:t>
            </w:r>
          </w:p>
        </w:tc>
        <w:tc>
          <w:tcPr>
            <w:tcW w:w="960" w:type="dxa"/>
            <w:tcBorders>
              <w:top w:val="nil"/>
              <w:left w:val="single" w:sz="8" w:space="0" w:color="auto"/>
              <w:bottom w:val="nil"/>
              <w:right w:val="single" w:sz="8" w:space="0" w:color="auto"/>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21</w:t>
            </w:r>
          </w:p>
        </w:tc>
        <w:tc>
          <w:tcPr>
            <w:tcW w:w="960" w:type="dxa"/>
            <w:tcBorders>
              <w:top w:val="nil"/>
              <w:left w:val="nil"/>
              <w:bottom w:val="nil"/>
              <w:right w:val="nil"/>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22</w:t>
            </w:r>
          </w:p>
        </w:tc>
        <w:tc>
          <w:tcPr>
            <w:tcW w:w="1040" w:type="dxa"/>
            <w:tcBorders>
              <w:top w:val="nil"/>
              <w:left w:val="single" w:sz="8" w:space="0" w:color="auto"/>
              <w:bottom w:val="nil"/>
              <w:right w:val="single" w:sz="8" w:space="0" w:color="auto"/>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20</w:t>
            </w:r>
          </w:p>
        </w:tc>
      </w:tr>
      <w:tr w:rsidR="00CB391F" w:rsidRPr="00CB391F" w:rsidTr="00185B72">
        <w:trPr>
          <w:trHeight w:val="159"/>
        </w:trPr>
        <w:tc>
          <w:tcPr>
            <w:tcW w:w="987" w:type="dxa"/>
            <w:tcBorders>
              <w:top w:val="nil"/>
              <w:left w:val="single" w:sz="8" w:space="0" w:color="auto"/>
              <w:bottom w:val="single" w:sz="8" w:space="0" w:color="auto"/>
              <w:right w:val="single" w:sz="8" w:space="0" w:color="auto"/>
            </w:tcBorders>
            <w:shd w:val="clear" w:color="auto" w:fill="auto"/>
            <w:noWrap/>
            <w:vAlign w:val="bottom"/>
            <w:hideMark/>
          </w:tcPr>
          <w:p w:rsidR="00CB391F" w:rsidRPr="00CB391F" w:rsidRDefault="00CB391F" w:rsidP="00CB391F">
            <w:pPr>
              <w:spacing w:after="0" w:line="240" w:lineRule="auto"/>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 </w:t>
            </w:r>
          </w:p>
        </w:tc>
        <w:tc>
          <w:tcPr>
            <w:tcW w:w="2562" w:type="dxa"/>
            <w:tcBorders>
              <w:top w:val="nil"/>
              <w:left w:val="nil"/>
              <w:bottom w:val="single" w:sz="8" w:space="0" w:color="auto"/>
              <w:right w:val="single" w:sz="8" w:space="0" w:color="auto"/>
            </w:tcBorders>
            <w:shd w:val="clear" w:color="auto" w:fill="auto"/>
            <w:noWrap/>
            <w:vAlign w:val="bottom"/>
            <w:hideMark/>
          </w:tcPr>
          <w:p w:rsidR="00CB391F" w:rsidRPr="00CB391F" w:rsidRDefault="00CB391F" w:rsidP="00CB391F">
            <w:pPr>
              <w:spacing w:after="0" w:line="240" w:lineRule="auto"/>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1 month</w:t>
            </w:r>
          </w:p>
        </w:tc>
        <w:tc>
          <w:tcPr>
            <w:tcW w:w="960" w:type="dxa"/>
            <w:tcBorders>
              <w:top w:val="nil"/>
              <w:left w:val="nil"/>
              <w:bottom w:val="single" w:sz="8" w:space="0" w:color="auto"/>
              <w:right w:val="single" w:sz="8" w:space="0" w:color="auto"/>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13</w:t>
            </w:r>
          </w:p>
        </w:tc>
        <w:tc>
          <w:tcPr>
            <w:tcW w:w="960" w:type="dxa"/>
            <w:tcBorders>
              <w:top w:val="nil"/>
              <w:left w:val="nil"/>
              <w:bottom w:val="nil"/>
              <w:right w:val="nil"/>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12</w:t>
            </w:r>
          </w:p>
        </w:tc>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15</w:t>
            </w:r>
          </w:p>
        </w:tc>
        <w:tc>
          <w:tcPr>
            <w:tcW w:w="960" w:type="dxa"/>
            <w:tcBorders>
              <w:top w:val="nil"/>
              <w:left w:val="nil"/>
              <w:bottom w:val="nil"/>
              <w:right w:val="nil"/>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12</w:t>
            </w:r>
          </w:p>
        </w:tc>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15</w:t>
            </w:r>
          </w:p>
        </w:tc>
        <w:tc>
          <w:tcPr>
            <w:tcW w:w="960" w:type="dxa"/>
            <w:tcBorders>
              <w:top w:val="nil"/>
              <w:left w:val="nil"/>
              <w:bottom w:val="nil"/>
              <w:right w:val="nil"/>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14</w:t>
            </w:r>
          </w:p>
        </w:tc>
        <w:tc>
          <w:tcPr>
            <w:tcW w:w="1040" w:type="dxa"/>
            <w:tcBorders>
              <w:top w:val="nil"/>
              <w:left w:val="single" w:sz="8" w:space="0" w:color="auto"/>
              <w:bottom w:val="single" w:sz="8" w:space="0" w:color="auto"/>
              <w:right w:val="single" w:sz="8" w:space="0" w:color="auto"/>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13</w:t>
            </w:r>
          </w:p>
        </w:tc>
      </w:tr>
      <w:tr w:rsidR="00CB391F" w:rsidRPr="00CB391F" w:rsidTr="00CB391F">
        <w:trPr>
          <w:trHeight w:val="147"/>
        </w:trPr>
        <w:tc>
          <w:tcPr>
            <w:tcW w:w="10349" w:type="dxa"/>
            <w:gridSpan w:val="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CB391F" w:rsidRPr="00CB391F" w:rsidRDefault="00185B72" w:rsidP="00CB391F">
            <w:pPr>
              <w:spacing w:after="0" w:line="240" w:lineRule="auto"/>
              <w:rPr>
                <w:rFonts w:ascii="Arial" w:eastAsia="Times New Roman" w:hAnsi="Arial" w:cs="Arial"/>
                <w:color w:val="000000"/>
                <w:sz w:val="14"/>
                <w:szCs w:val="14"/>
                <w:lang w:eastAsia="en-GB"/>
              </w:rPr>
            </w:pPr>
            <w:r w:rsidRPr="00715203">
              <w:rPr>
                <w:rFonts w:ascii="Arial" w:hAnsi="Arial" w:cs="Arial"/>
                <w:color w:val="000000"/>
                <w:sz w:val="14"/>
                <w:szCs w:val="14"/>
                <w:lang w:eastAsia="en-GB"/>
              </w:rPr>
              <w:t>How much do you agree or disagree, if at all, that each of these can increase the chance of getting cancer?</w:t>
            </w:r>
            <w:r>
              <w:rPr>
                <w:rFonts w:ascii="Arial" w:hAnsi="Arial" w:cs="Arial"/>
                <w:color w:val="000000"/>
                <w:sz w:val="14"/>
                <w:szCs w:val="14"/>
                <w:lang w:eastAsia="en-GB"/>
              </w:rPr>
              <w:t>– - Agree</w:t>
            </w:r>
          </w:p>
        </w:tc>
      </w:tr>
      <w:tr w:rsidR="00CB391F" w:rsidRPr="00CB391F" w:rsidTr="00CB391F">
        <w:trPr>
          <w:trHeight w:val="315"/>
        </w:trPr>
        <w:tc>
          <w:tcPr>
            <w:tcW w:w="987" w:type="dxa"/>
            <w:tcBorders>
              <w:top w:val="nil"/>
              <w:left w:val="single" w:sz="8" w:space="0" w:color="auto"/>
              <w:bottom w:val="nil"/>
              <w:right w:val="single" w:sz="8" w:space="0" w:color="auto"/>
            </w:tcBorders>
            <w:shd w:val="clear" w:color="auto" w:fill="auto"/>
            <w:noWrap/>
            <w:vAlign w:val="bottom"/>
            <w:hideMark/>
          </w:tcPr>
          <w:p w:rsidR="00CB391F" w:rsidRPr="00CB391F" w:rsidRDefault="00CB391F" w:rsidP="00CB391F">
            <w:pPr>
              <w:spacing w:after="0" w:line="240" w:lineRule="auto"/>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 </w:t>
            </w:r>
          </w:p>
        </w:tc>
        <w:tc>
          <w:tcPr>
            <w:tcW w:w="2562" w:type="dxa"/>
            <w:tcBorders>
              <w:top w:val="nil"/>
              <w:left w:val="nil"/>
              <w:bottom w:val="nil"/>
              <w:right w:val="single" w:sz="8" w:space="0" w:color="auto"/>
            </w:tcBorders>
            <w:shd w:val="clear" w:color="auto" w:fill="auto"/>
            <w:noWrap/>
            <w:vAlign w:val="bottom"/>
            <w:hideMark/>
          </w:tcPr>
          <w:p w:rsidR="00CB391F" w:rsidRPr="00CB391F" w:rsidRDefault="00CB391F" w:rsidP="00CB391F">
            <w:pPr>
              <w:spacing w:after="0" w:line="240" w:lineRule="auto"/>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Smoking</w:t>
            </w:r>
          </w:p>
        </w:tc>
        <w:tc>
          <w:tcPr>
            <w:tcW w:w="960" w:type="dxa"/>
            <w:tcBorders>
              <w:top w:val="nil"/>
              <w:left w:val="nil"/>
              <w:bottom w:val="nil"/>
              <w:right w:val="single" w:sz="8" w:space="0" w:color="auto"/>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90</w:t>
            </w:r>
          </w:p>
        </w:tc>
        <w:tc>
          <w:tcPr>
            <w:tcW w:w="960" w:type="dxa"/>
            <w:tcBorders>
              <w:top w:val="nil"/>
              <w:left w:val="nil"/>
              <w:bottom w:val="nil"/>
              <w:right w:val="nil"/>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90</w:t>
            </w:r>
          </w:p>
        </w:tc>
        <w:tc>
          <w:tcPr>
            <w:tcW w:w="960" w:type="dxa"/>
            <w:tcBorders>
              <w:top w:val="nil"/>
              <w:left w:val="single" w:sz="8" w:space="0" w:color="auto"/>
              <w:bottom w:val="nil"/>
              <w:right w:val="single" w:sz="8" w:space="0" w:color="auto"/>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93</w:t>
            </w:r>
          </w:p>
        </w:tc>
        <w:tc>
          <w:tcPr>
            <w:tcW w:w="960" w:type="dxa"/>
            <w:tcBorders>
              <w:top w:val="nil"/>
              <w:left w:val="nil"/>
              <w:bottom w:val="nil"/>
              <w:right w:val="nil"/>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89</w:t>
            </w:r>
          </w:p>
        </w:tc>
        <w:tc>
          <w:tcPr>
            <w:tcW w:w="960" w:type="dxa"/>
            <w:tcBorders>
              <w:top w:val="nil"/>
              <w:left w:val="single" w:sz="8" w:space="0" w:color="auto"/>
              <w:bottom w:val="nil"/>
              <w:right w:val="single" w:sz="8" w:space="0" w:color="auto"/>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92</w:t>
            </w:r>
          </w:p>
        </w:tc>
        <w:tc>
          <w:tcPr>
            <w:tcW w:w="960" w:type="dxa"/>
            <w:tcBorders>
              <w:top w:val="nil"/>
              <w:left w:val="nil"/>
              <w:bottom w:val="nil"/>
              <w:right w:val="nil"/>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93</w:t>
            </w:r>
          </w:p>
        </w:tc>
        <w:tc>
          <w:tcPr>
            <w:tcW w:w="1040" w:type="dxa"/>
            <w:tcBorders>
              <w:top w:val="nil"/>
              <w:left w:val="single" w:sz="8" w:space="0" w:color="auto"/>
              <w:bottom w:val="nil"/>
              <w:right w:val="single" w:sz="8" w:space="0" w:color="auto"/>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88</w:t>
            </w:r>
          </w:p>
        </w:tc>
      </w:tr>
      <w:tr w:rsidR="00CB391F" w:rsidRPr="00CB391F" w:rsidTr="00CB391F">
        <w:trPr>
          <w:trHeight w:val="300"/>
        </w:trPr>
        <w:tc>
          <w:tcPr>
            <w:tcW w:w="987" w:type="dxa"/>
            <w:tcBorders>
              <w:top w:val="nil"/>
              <w:left w:val="single" w:sz="8" w:space="0" w:color="auto"/>
              <w:bottom w:val="nil"/>
              <w:right w:val="single" w:sz="8" w:space="0" w:color="auto"/>
            </w:tcBorders>
            <w:shd w:val="clear" w:color="auto" w:fill="auto"/>
            <w:noWrap/>
            <w:vAlign w:val="bottom"/>
            <w:hideMark/>
          </w:tcPr>
          <w:p w:rsidR="00CB391F" w:rsidRPr="00CB391F" w:rsidRDefault="00CB391F" w:rsidP="00CB391F">
            <w:pPr>
              <w:spacing w:after="0" w:line="240" w:lineRule="auto"/>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 </w:t>
            </w:r>
          </w:p>
        </w:tc>
        <w:tc>
          <w:tcPr>
            <w:tcW w:w="2562" w:type="dxa"/>
            <w:tcBorders>
              <w:top w:val="nil"/>
              <w:left w:val="nil"/>
              <w:bottom w:val="nil"/>
              <w:right w:val="single" w:sz="8" w:space="0" w:color="auto"/>
            </w:tcBorders>
            <w:shd w:val="clear" w:color="auto" w:fill="auto"/>
            <w:noWrap/>
            <w:vAlign w:val="bottom"/>
            <w:hideMark/>
          </w:tcPr>
          <w:p w:rsidR="00CB391F" w:rsidRPr="00CB391F" w:rsidRDefault="00CB391F" w:rsidP="00CB391F">
            <w:pPr>
              <w:spacing w:after="0" w:line="240" w:lineRule="auto"/>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Eating red or processed meat</w:t>
            </w:r>
          </w:p>
        </w:tc>
        <w:tc>
          <w:tcPr>
            <w:tcW w:w="960" w:type="dxa"/>
            <w:tcBorders>
              <w:top w:val="nil"/>
              <w:left w:val="nil"/>
              <w:bottom w:val="nil"/>
              <w:right w:val="single" w:sz="8" w:space="0" w:color="auto"/>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5</w:t>
            </w:r>
          </w:p>
        </w:tc>
        <w:tc>
          <w:tcPr>
            <w:tcW w:w="960" w:type="dxa"/>
            <w:tcBorders>
              <w:top w:val="nil"/>
              <w:left w:val="nil"/>
              <w:bottom w:val="nil"/>
              <w:right w:val="nil"/>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4</w:t>
            </w:r>
          </w:p>
        </w:tc>
        <w:tc>
          <w:tcPr>
            <w:tcW w:w="960" w:type="dxa"/>
            <w:tcBorders>
              <w:top w:val="nil"/>
              <w:left w:val="single" w:sz="8" w:space="0" w:color="auto"/>
              <w:bottom w:val="nil"/>
              <w:right w:val="single" w:sz="8" w:space="0" w:color="auto"/>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6</w:t>
            </w:r>
          </w:p>
        </w:tc>
        <w:tc>
          <w:tcPr>
            <w:tcW w:w="960" w:type="dxa"/>
            <w:tcBorders>
              <w:top w:val="nil"/>
              <w:left w:val="nil"/>
              <w:bottom w:val="nil"/>
              <w:right w:val="nil"/>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11</w:t>
            </w:r>
          </w:p>
        </w:tc>
        <w:tc>
          <w:tcPr>
            <w:tcW w:w="960" w:type="dxa"/>
            <w:tcBorders>
              <w:top w:val="nil"/>
              <w:left w:val="single" w:sz="8" w:space="0" w:color="auto"/>
              <w:bottom w:val="nil"/>
              <w:right w:val="single" w:sz="8" w:space="0" w:color="auto"/>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7</w:t>
            </w:r>
          </w:p>
        </w:tc>
        <w:tc>
          <w:tcPr>
            <w:tcW w:w="960" w:type="dxa"/>
            <w:tcBorders>
              <w:top w:val="nil"/>
              <w:left w:val="nil"/>
              <w:bottom w:val="nil"/>
              <w:right w:val="nil"/>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1</w:t>
            </w:r>
          </w:p>
        </w:tc>
        <w:tc>
          <w:tcPr>
            <w:tcW w:w="1040" w:type="dxa"/>
            <w:tcBorders>
              <w:top w:val="nil"/>
              <w:left w:val="single" w:sz="8" w:space="0" w:color="auto"/>
              <w:bottom w:val="nil"/>
              <w:right w:val="single" w:sz="8" w:space="0" w:color="auto"/>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4</w:t>
            </w:r>
          </w:p>
        </w:tc>
      </w:tr>
      <w:tr w:rsidR="00CB391F" w:rsidRPr="00CB391F" w:rsidTr="00CB391F">
        <w:trPr>
          <w:trHeight w:val="300"/>
        </w:trPr>
        <w:tc>
          <w:tcPr>
            <w:tcW w:w="987" w:type="dxa"/>
            <w:tcBorders>
              <w:top w:val="nil"/>
              <w:left w:val="single" w:sz="8" w:space="0" w:color="auto"/>
              <w:bottom w:val="nil"/>
              <w:right w:val="single" w:sz="8" w:space="0" w:color="auto"/>
            </w:tcBorders>
            <w:shd w:val="clear" w:color="auto" w:fill="auto"/>
            <w:noWrap/>
            <w:vAlign w:val="bottom"/>
            <w:hideMark/>
          </w:tcPr>
          <w:p w:rsidR="00CB391F" w:rsidRPr="00CB391F" w:rsidRDefault="00CB391F" w:rsidP="00CB391F">
            <w:pPr>
              <w:spacing w:after="0" w:line="240" w:lineRule="auto"/>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 </w:t>
            </w:r>
          </w:p>
        </w:tc>
        <w:tc>
          <w:tcPr>
            <w:tcW w:w="2562" w:type="dxa"/>
            <w:tcBorders>
              <w:top w:val="nil"/>
              <w:left w:val="nil"/>
              <w:bottom w:val="nil"/>
              <w:right w:val="single" w:sz="8" w:space="0" w:color="auto"/>
            </w:tcBorders>
            <w:shd w:val="clear" w:color="auto" w:fill="auto"/>
            <w:noWrap/>
            <w:vAlign w:val="bottom"/>
            <w:hideMark/>
          </w:tcPr>
          <w:p w:rsidR="00CB391F" w:rsidRPr="00CB391F" w:rsidRDefault="00CB391F" w:rsidP="00CB391F">
            <w:pPr>
              <w:spacing w:after="0" w:line="240" w:lineRule="auto"/>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Drinking alcohol</w:t>
            </w:r>
          </w:p>
        </w:tc>
        <w:tc>
          <w:tcPr>
            <w:tcW w:w="960" w:type="dxa"/>
            <w:tcBorders>
              <w:top w:val="nil"/>
              <w:left w:val="nil"/>
              <w:bottom w:val="nil"/>
              <w:right w:val="single" w:sz="8" w:space="0" w:color="auto"/>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41</w:t>
            </w:r>
          </w:p>
        </w:tc>
        <w:tc>
          <w:tcPr>
            <w:tcW w:w="960" w:type="dxa"/>
            <w:tcBorders>
              <w:top w:val="nil"/>
              <w:left w:val="nil"/>
              <w:bottom w:val="nil"/>
              <w:right w:val="nil"/>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41</w:t>
            </w:r>
          </w:p>
        </w:tc>
        <w:tc>
          <w:tcPr>
            <w:tcW w:w="960" w:type="dxa"/>
            <w:tcBorders>
              <w:top w:val="nil"/>
              <w:left w:val="single" w:sz="8" w:space="0" w:color="auto"/>
              <w:bottom w:val="nil"/>
              <w:right w:val="single" w:sz="8" w:space="0" w:color="auto"/>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42</w:t>
            </w:r>
          </w:p>
        </w:tc>
        <w:tc>
          <w:tcPr>
            <w:tcW w:w="960" w:type="dxa"/>
            <w:tcBorders>
              <w:top w:val="nil"/>
              <w:left w:val="nil"/>
              <w:bottom w:val="nil"/>
              <w:right w:val="nil"/>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49</w:t>
            </w:r>
          </w:p>
        </w:tc>
        <w:tc>
          <w:tcPr>
            <w:tcW w:w="960" w:type="dxa"/>
            <w:tcBorders>
              <w:top w:val="nil"/>
              <w:left w:val="single" w:sz="8" w:space="0" w:color="auto"/>
              <w:bottom w:val="nil"/>
              <w:right w:val="single" w:sz="8" w:space="0" w:color="auto"/>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38</w:t>
            </w:r>
          </w:p>
        </w:tc>
        <w:tc>
          <w:tcPr>
            <w:tcW w:w="960" w:type="dxa"/>
            <w:tcBorders>
              <w:top w:val="nil"/>
              <w:left w:val="nil"/>
              <w:bottom w:val="nil"/>
              <w:right w:val="nil"/>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36</w:t>
            </w:r>
          </w:p>
        </w:tc>
        <w:tc>
          <w:tcPr>
            <w:tcW w:w="1040" w:type="dxa"/>
            <w:tcBorders>
              <w:top w:val="nil"/>
              <w:left w:val="single" w:sz="8" w:space="0" w:color="auto"/>
              <w:bottom w:val="nil"/>
              <w:right w:val="single" w:sz="8" w:space="0" w:color="auto"/>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39</w:t>
            </w:r>
          </w:p>
        </w:tc>
      </w:tr>
      <w:tr w:rsidR="00CB391F" w:rsidRPr="00CB391F" w:rsidTr="00CB391F">
        <w:trPr>
          <w:trHeight w:val="300"/>
        </w:trPr>
        <w:tc>
          <w:tcPr>
            <w:tcW w:w="987" w:type="dxa"/>
            <w:tcBorders>
              <w:top w:val="nil"/>
              <w:left w:val="single" w:sz="8" w:space="0" w:color="auto"/>
              <w:bottom w:val="nil"/>
              <w:right w:val="single" w:sz="8" w:space="0" w:color="auto"/>
            </w:tcBorders>
            <w:shd w:val="clear" w:color="auto" w:fill="auto"/>
            <w:noWrap/>
            <w:vAlign w:val="bottom"/>
            <w:hideMark/>
          </w:tcPr>
          <w:p w:rsidR="00CB391F" w:rsidRPr="00CB391F" w:rsidRDefault="00CB391F" w:rsidP="00CB391F">
            <w:pPr>
              <w:spacing w:after="0" w:line="240" w:lineRule="auto"/>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 </w:t>
            </w:r>
          </w:p>
        </w:tc>
        <w:tc>
          <w:tcPr>
            <w:tcW w:w="2562" w:type="dxa"/>
            <w:tcBorders>
              <w:top w:val="nil"/>
              <w:left w:val="nil"/>
              <w:bottom w:val="nil"/>
              <w:right w:val="single" w:sz="8" w:space="0" w:color="auto"/>
            </w:tcBorders>
            <w:shd w:val="clear" w:color="auto" w:fill="auto"/>
            <w:noWrap/>
            <w:vAlign w:val="bottom"/>
            <w:hideMark/>
          </w:tcPr>
          <w:p w:rsidR="00CB391F" w:rsidRPr="00CB391F" w:rsidRDefault="00CB391F" w:rsidP="00CB391F">
            <w:pPr>
              <w:spacing w:after="0" w:line="240" w:lineRule="auto"/>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 xml:space="preserve">&lt;5 portions of fruit &amp; </w:t>
            </w:r>
            <w:proofErr w:type="spellStart"/>
            <w:r w:rsidRPr="00CB391F">
              <w:rPr>
                <w:rFonts w:ascii="Arial" w:eastAsia="Times New Roman" w:hAnsi="Arial" w:cs="Arial"/>
                <w:color w:val="000000"/>
                <w:sz w:val="14"/>
                <w:szCs w:val="14"/>
                <w:lang w:eastAsia="en-GB"/>
              </w:rPr>
              <w:t>veg</w:t>
            </w:r>
            <w:proofErr w:type="spellEnd"/>
            <w:r w:rsidRPr="00CB391F">
              <w:rPr>
                <w:rFonts w:ascii="Arial" w:eastAsia="Times New Roman" w:hAnsi="Arial" w:cs="Arial"/>
                <w:color w:val="000000"/>
                <w:sz w:val="14"/>
                <w:szCs w:val="14"/>
                <w:lang w:eastAsia="en-GB"/>
              </w:rPr>
              <w:t xml:space="preserve"> a day</w:t>
            </w:r>
          </w:p>
        </w:tc>
        <w:tc>
          <w:tcPr>
            <w:tcW w:w="960" w:type="dxa"/>
            <w:tcBorders>
              <w:top w:val="nil"/>
              <w:left w:val="nil"/>
              <w:bottom w:val="nil"/>
              <w:right w:val="single" w:sz="8" w:space="0" w:color="auto"/>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39</w:t>
            </w:r>
          </w:p>
        </w:tc>
        <w:tc>
          <w:tcPr>
            <w:tcW w:w="960" w:type="dxa"/>
            <w:tcBorders>
              <w:top w:val="nil"/>
              <w:left w:val="nil"/>
              <w:bottom w:val="nil"/>
              <w:right w:val="nil"/>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37</w:t>
            </w:r>
          </w:p>
        </w:tc>
        <w:tc>
          <w:tcPr>
            <w:tcW w:w="960" w:type="dxa"/>
            <w:tcBorders>
              <w:top w:val="nil"/>
              <w:left w:val="single" w:sz="8" w:space="0" w:color="auto"/>
              <w:bottom w:val="nil"/>
              <w:right w:val="single" w:sz="8" w:space="0" w:color="auto"/>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37</w:t>
            </w:r>
          </w:p>
        </w:tc>
        <w:tc>
          <w:tcPr>
            <w:tcW w:w="960" w:type="dxa"/>
            <w:tcBorders>
              <w:top w:val="nil"/>
              <w:left w:val="nil"/>
              <w:bottom w:val="nil"/>
              <w:right w:val="nil"/>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41</w:t>
            </w:r>
          </w:p>
        </w:tc>
        <w:tc>
          <w:tcPr>
            <w:tcW w:w="960" w:type="dxa"/>
            <w:tcBorders>
              <w:top w:val="nil"/>
              <w:left w:val="single" w:sz="8" w:space="0" w:color="auto"/>
              <w:bottom w:val="nil"/>
              <w:right w:val="single" w:sz="8" w:space="0" w:color="auto"/>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45</w:t>
            </w:r>
          </w:p>
        </w:tc>
        <w:tc>
          <w:tcPr>
            <w:tcW w:w="960" w:type="dxa"/>
            <w:tcBorders>
              <w:top w:val="nil"/>
              <w:left w:val="nil"/>
              <w:bottom w:val="nil"/>
              <w:right w:val="nil"/>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34</w:t>
            </w:r>
          </w:p>
        </w:tc>
        <w:tc>
          <w:tcPr>
            <w:tcW w:w="1040" w:type="dxa"/>
            <w:tcBorders>
              <w:top w:val="nil"/>
              <w:left w:val="single" w:sz="8" w:space="0" w:color="auto"/>
              <w:bottom w:val="nil"/>
              <w:right w:val="single" w:sz="8" w:space="0" w:color="auto"/>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39</w:t>
            </w:r>
          </w:p>
        </w:tc>
      </w:tr>
      <w:tr w:rsidR="00CB391F" w:rsidRPr="00CB391F" w:rsidTr="00185B72">
        <w:trPr>
          <w:trHeight w:val="103"/>
        </w:trPr>
        <w:tc>
          <w:tcPr>
            <w:tcW w:w="987" w:type="dxa"/>
            <w:tcBorders>
              <w:top w:val="nil"/>
              <w:left w:val="single" w:sz="8" w:space="0" w:color="auto"/>
              <w:bottom w:val="single" w:sz="8" w:space="0" w:color="auto"/>
              <w:right w:val="single" w:sz="8" w:space="0" w:color="auto"/>
            </w:tcBorders>
            <w:shd w:val="clear" w:color="auto" w:fill="auto"/>
            <w:noWrap/>
            <w:vAlign w:val="bottom"/>
            <w:hideMark/>
          </w:tcPr>
          <w:p w:rsidR="00CB391F" w:rsidRPr="00CB391F" w:rsidRDefault="00CB391F" w:rsidP="00CB391F">
            <w:pPr>
              <w:spacing w:after="0" w:line="240" w:lineRule="auto"/>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 </w:t>
            </w:r>
          </w:p>
        </w:tc>
        <w:tc>
          <w:tcPr>
            <w:tcW w:w="2562" w:type="dxa"/>
            <w:tcBorders>
              <w:top w:val="nil"/>
              <w:left w:val="nil"/>
              <w:bottom w:val="single" w:sz="8" w:space="0" w:color="auto"/>
              <w:right w:val="single" w:sz="8" w:space="0" w:color="auto"/>
            </w:tcBorders>
            <w:shd w:val="clear" w:color="auto" w:fill="auto"/>
            <w:noWrap/>
            <w:vAlign w:val="bottom"/>
            <w:hideMark/>
          </w:tcPr>
          <w:p w:rsidR="00CB391F" w:rsidRPr="00CB391F" w:rsidRDefault="00CB391F" w:rsidP="00CB391F">
            <w:pPr>
              <w:spacing w:after="0" w:line="240" w:lineRule="auto"/>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Not doing enough exercise</w:t>
            </w:r>
          </w:p>
        </w:tc>
        <w:tc>
          <w:tcPr>
            <w:tcW w:w="960" w:type="dxa"/>
            <w:tcBorders>
              <w:top w:val="nil"/>
              <w:left w:val="nil"/>
              <w:bottom w:val="single" w:sz="8" w:space="0" w:color="auto"/>
              <w:right w:val="single" w:sz="8" w:space="0" w:color="auto"/>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38</w:t>
            </w:r>
          </w:p>
        </w:tc>
        <w:tc>
          <w:tcPr>
            <w:tcW w:w="960" w:type="dxa"/>
            <w:tcBorders>
              <w:top w:val="nil"/>
              <w:left w:val="nil"/>
              <w:bottom w:val="single" w:sz="8" w:space="0" w:color="auto"/>
              <w:right w:val="nil"/>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33</w:t>
            </w:r>
          </w:p>
        </w:tc>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39</w:t>
            </w:r>
          </w:p>
        </w:tc>
        <w:tc>
          <w:tcPr>
            <w:tcW w:w="960" w:type="dxa"/>
            <w:tcBorders>
              <w:top w:val="nil"/>
              <w:left w:val="nil"/>
              <w:bottom w:val="single" w:sz="8" w:space="0" w:color="auto"/>
              <w:right w:val="nil"/>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41</w:t>
            </w:r>
          </w:p>
        </w:tc>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39</w:t>
            </w:r>
          </w:p>
        </w:tc>
        <w:tc>
          <w:tcPr>
            <w:tcW w:w="960" w:type="dxa"/>
            <w:tcBorders>
              <w:top w:val="nil"/>
              <w:left w:val="nil"/>
              <w:bottom w:val="single" w:sz="8" w:space="0" w:color="auto"/>
              <w:right w:val="nil"/>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38</w:t>
            </w:r>
          </w:p>
        </w:tc>
        <w:tc>
          <w:tcPr>
            <w:tcW w:w="1040" w:type="dxa"/>
            <w:tcBorders>
              <w:top w:val="nil"/>
              <w:left w:val="single" w:sz="8" w:space="0" w:color="auto"/>
              <w:bottom w:val="single" w:sz="8" w:space="0" w:color="auto"/>
              <w:right w:val="single" w:sz="8" w:space="0" w:color="auto"/>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41</w:t>
            </w:r>
          </w:p>
        </w:tc>
      </w:tr>
      <w:tr w:rsidR="00CB391F" w:rsidRPr="00CB391F" w:rsidTr="00CB391F">
        <w:trPr>
          <w:trHeight w:val="102"/>
        </w:trPr>
        <w:tc>
          <w:tcPr>
            <w:tcW w:w="10349" w:type="dxa"/>
            <w:gridSpan w:val="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CB391F" w:rsidRPr="00CB391F" w:rsidRDefault="00CB391F" w:rsidP="00CB391F">
            <w:pPr>
              <w:spacing w:after="0" w:line="240" w:lineRule="auto"/>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At what age are people first invited for bowel screening?</w:t>
            </w:r>
          </w:p>
        </w:tc>
      </w:tr>
      <w:tr w:rsidR="00CB391F" w:rsidRPr="00CB391F" w:rsidTr="00CB391F">
        <w:trPr>
          <w:trHeight w:val="315"/>
        </w:trPr>
        <w:tc>
          <w:tcPr>
            <w:tcW w:w="987" w:type="dxa"/>
            <w:tcBorders>
              <w:top w:val="nil"/>
              <w:left w:val="single" w:sz="8" w:space="0" w:color="auto"/>
              <w:bottom w:val="nil"/>
              <w:right w:val="single" w:sz="8" w:space="0" w:color="auto"/>
            </w:tcBorders>
            <w:shd w:val="clear" w:color="auto" w:fill="auto"/>
            <w:noWrap/>
            <w:vAlign w:val="bottom"/>
            <w:hideMark/>
          </w:tcPr>
          <w:p w:rsidR="00CB391F" w:rsidRPr="00CB391F" w:rsidRDefault="00CB391F" w:rsidP="00CB391F">
            <w:pPr>
              <w:spacing w:after="0" w:line="240" w:lineRule="auto"/>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 </w:t>
            </w:r>
          </w:p>
        </w:tc>
        <w:tc>
          <w:tcPr>
            <w:tcW w:w="2562" w:type="dxa"/>
            <w:tcBorders>
              <w:top w:val="nil"/>
              <w:left w:val="nil"/>
              <w:bottom w:val="nil"/>
              <w:right w:val="nil"/>
            </w:tcBorders>
            <w:shd w:val="clear" w:color="auto" w:fill="auto"/>
            <w:noWrap/>
            <w:vAlign w:val="bottom"/>
            <w:hideMark/>
          </w:tcPr>
          <w:p w:rsidR="00CB391F" w:rsidRPr="00CB391F" w:rsidRDefault="00CB391F" w:rsidP="00CB391F">
            <w:pPr>
              <w:spacing w:after="0" w:line="240" w:lineRule="auto"/>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60-69</w:t>
            </w:r>
          </w:p>
        </w:tc>
        <w:tc>
          <w:tcPr>
            <w:tcW w:w="960" w:type="dxa"/>
            <w:tcBorders>
              <w:top w:val="nil"/>
              <w:left w:val="single" w:sz="8" w:space="0" w:color="auto"/>
              <w:bottom w:val="nil"/>
              <w:right w:val="single" w:sz="8" w:space="0" w:color="auto"/>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36</w:t>
            </w:r>
          </w:p>
        </w:tc>
        <w:tc>
          <w:tcPr>
            <w:tcW w:w="960" w:type="dxa"/>
            <w:tcBorders>
              <w:top w:val="nil"/>
              <w:left w:val="nil"/>
              <w:bottom w:val="nil"/>
              <w:right w:val="nil"/>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31</w:t>
            </w:r>
          </w:p>
        </w:tc>
        <w:tc>
          <w:tcPr>
            <w:tcW w:w="960" w:type="dxa"/>
            <w:tcBorders>
              <w:top w:val="nil"/>
              <w:left w:val="single" w:sz="8" w:space="0" w:color="auto"/>
              <w:bottom w:val="nil"/>
              <w:right w:val="single" w:sz="8" w:space="0" w:color="auto"/>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43</w:t>
            </w:r>
          </w:p>
        </w:tc>
        <w:tc>
          <w:tcPr>
            <w:tcW w:w="960" w:type="dxa"/>
            <w:tcBorders>
              <w:top w:val="nil"/>
              <w:left w:val="nil"/>
              <w:bottom w:val="nil"/>
              <w:right w:val="nil"/>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33</w:t>
            </w:r>
          </w:p>
        </w:tc>
        <w:tc>
          <w:tcPr>
            <w:tcW w:w="960" w:type="dxa"/>
            <w:tcBorders>
              <w:top w:val="nil"/>
              <w:left w:val="single" w:sz="8" w:space="0" w:color="auto"/>
              <w:bottom w:val="nil"/>
              <w:right w:val="single" w:sz="8" w:space="0" w:color="auto"/>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44</w:t>
            </w:r>
          </w:p>
        </w:tc>
        <w:tc>
          <w:tcPr>
            <w:tcW w:w="960" w:type="dxa"/>
            <w:tcBorders>
              <w:top w:val="nil"/>
              <w:left w:val="nil"/>
              <w:bottom w:val="nil"/>
              <w:right w:val="nil"/>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sz w:val="14"/>
                <w:szCs w:val="14"/>
                <w:lang w:eastAsia="en-GB"/>
              </w:rPr>
            </w:pPr>
            <w:r w:rsidRPr="00CB391F">
              <w:rPr>
                <w:rFonts w:ascii="Arial" w:eastAsia="Times New Roman" w:hAnsi="Arial" w:cs="Arial"/>
                <w:sz w:val="14"/>
                <w:szCs w:val="14"/>
                <w:lang w:eastAsia="en-GB"/>
              </w:rPr>
              <w:t>37</w:t>
            </w:r>
          </w:p>
        </w:tc>
        <w:tc>
          <w:tcPr>
            <w:tcW w:w="1040" w:type="dxa"/>
            <w:tcBorders>
              <w:top w:val="nil"/>
              <w:left w:val="single" w:sz="8" w:space="0" w:color="auto"/>
              <w:bottom w:val="nil"/>
              <w:right w:val="single" w:sz="8" w:space="0" w:color="auto"/>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33</w:t>
            </w:r>
          </w:p>
        </w:tc>
      </w:tr>
      <w:tr w:rsidR="00CB391F" w:rsidRPr="00CB391F" w:rsidTr="00185B72">
        <w:trPr>
          <w:trHeight w:val="142"/>
        </w:trPr>
        <w:tc>
          <w:tcPr>
            <w:tcW w:w="987" w:type="dxa"/>
            <w:tcBorders>
              <w:top w:val="nil"/>
              <w:left w:val="single" w:sz="8" w:space="0" w:color="auto"/>
              <w:bottom w:val="single" w:sz="8" w:space="0" w:color="auto"/>
              <w:right w:val="single" w:sz="8" w:space="0" w:color="auto"/>
            </w:tcBorders>
            <w:shd w:val="clear" w:color="auto" w:fill="auto"/>
            <w:noWrap/>
            <w:vAlign w:val="bottom"/>
            <w:hideMark/>
          </w:tcPr>
          <w:p w:rsidR="00CB391F" w:rsidRPr="00CB391F" w:rsidRDefault="00CB391F" w:rsidP="00CB391F">
            <w:pPr>
              <w:spacing w:after="0" w:line="240" w:lineRule="auto"/>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 </w:t>
            </w:r>
          </w:p>
        </w:tc>
        <w:tc>
          <w:tcPr>
            <w:tcW w:w="2562" w:type="dxa"/>
            <w:tcBorders>
              <w:top w:val="nil"/>
              <w:left w:val="nil"/>
              <w:bottom w:val="single" w:sz="8" w:space="0" w:color="auto"/>
              <w:right w:val="nil"/>
            </w:tcBorders>
            <w:shd w:val="clear" w:color="auto" w:fill="auto"/>
            <w:noWrap/>
            <w:vAlign w:val="bottom"/>
            <w:hideMark/>
          </w:tcPr>
          <w:p w:rsidR="00CB391F" w:rsidRPr="00CB391F" w:rsidRDefault="00CB391F" w:rsidP="00CB391F">
            <w:pPr>
              <w:spacing w:after="0" w:line="240" w:lineRule="auto"/>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 xml:space="preserve">Within 5 years of correct answer </w:t>
            </w:r>
          </w:p>
        </w:tc>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5</w:t>
            </w:r>
          </w:p>
        </w:tc>
        <w:tc>
          <w:tcPr>
            <w:tcW w:w="960" w:type="dxa"/>
            <w:tcBorders>
              <w:top w:val="nil"/>
              <w:left w:val="nil"/>
              <w:bottom w:val="single" w:sz="8" w:space="0" w:color="auto"/>
              <w:right w:val="nil"/>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4</w:t>
            </w:r>
          </w:p>
        </w:tc>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7</w:t>
            </w:r>
          </w:p>
        </w:tc>
        <w:tc>
          <w:tcPr>
            <w:tcW w:w="960" w:type="dxa"/>
            <w:tcBorders>
              <w:top w:val="nil"/>
              <w:left w:val="nil"/>
              <w:bottom w:val="single" w:sz="8" w:space="0" w:color="auto"/>
              <w:right w:val="nil"/>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6</w:t>
            </w:r>
          </w:p>
        </w:tc>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3</w:t>
            </w:r>
          </w:p>
        </w:tc>
        <w:tc>
          <w:tcPr>
            <w:tcW w:w="960" w:type="dxa"/>
            <w:tcBorders>
              <w:top w:val="nil"/>
              <w:left w:val="nil"/>
              <w:bottom w:val="single" w:sz="8" w:space="0" w:color="auto"/>
              <w:right w:val="nil"/>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7</w:t>
            </w:r>
          </w:p>
        </w:tc>
        <w:tc>
          <w:tcPr>
            <w:tcW w:w="1040" w:type="dxa"/>
            <w:tcBorders>
              <w:top w:val="nil"/>
              <w:left w:val="single" w:sz="8" w:space="0" w:color="auto"/>
              <w:bottom w:val="single" w:sz="8" w:space="0" w:color="auto"/>
              <w:right w:val="single" w:sz="8" w:space="0" w:color="auto"/>
            </w:tcBorders>
            <w:shd w:val="clear" w:color="auto" w:fill="auto"/>
            <w:noWrap/>
            <w:vAlign w:val="bottom"/>
            <w:hideMark/>
          </w:tcPr>
          <w:p w:rsidR="00CB391F" w:rsidRPr="00CB391F" w:rsidRDefault="00CB391F" w:rsidP="00CB391F">
            <w:pPr>
              <w:spacing w:after="0" w:line="240" w:lineRule="auto"/>
              <w:jc w:val="center"/>
              <w:rPr>
                <w:rFonts w:ascii="Arial" w:eastAsia="Times New Roman" w:hAnsi="Arial" w:cs="Arial"/>
                <w:color w:val="000000"/>
                <w:sz w:val="14"/>
                <w:szCs w:val="14"/>
                <w:lang w:eastAsia="en-GB"/>
              </w:rPr>
            </w:pPr>
            <w:r w:rsidRPr="00CB391F">
              <w:rPr>
                <w:rFonts w:ascii="Arial" w:eastAsia="Times New Roman" w:hAnsi="Arial" w:cs="Arial"/>
                <w:color w:val="000000"/>
                <w:sz w:val="14"/>
                <w:szCs w:val="14"/>
                <w:lang w:eastAsia="en-GB"/>
              </w:rPr>
              <w:t>5</w:t>
            </w:r>
          </w:p>
        </w:tc>
      </w:tr>
    </w:tbl>
    <w:p w:rsidR="003D65BB" w:rsidRPr="00F510B8" w:rsidRDefault="00E26193" w:rsidP="00F510B8">
      <w:pPr>
        <w:pStyle w:val="Caption"/>
        <w:spacing w:line="276" w:lineRule="auto"/>
        <w:rPr>
          <w:rFonts w:ascii="Arial" w:hAnsi="Arial" w:cs="Arial"/>
          <w:b w:val="0"/>
          <w:color w:val="auto"/>
          <w:sz w:val="20"/>
        </w:rPr>
      </w:pPr>
      <w:r w:rsidRPr="00E26193">
        <w:rPr>
          <w:rFonts w:ascii="Arial" w:hAnsi="Arial" w:cs="Arial"/>
          <w:b w:val="0"/>
          <w:color w:val="auto"/>
          <w:sz w:val="20"/>
        </w:rPr>
        <w:t xml:space="preserve">The depth of residents’ awareness appears to be quite shallow, with only a relatively small proportion able to </w:t>
      </w:r>
      <w:r w:rsidR="007E34EA">
        <w:rPr>
          <w:rFonts w:ascii="Arial" w:hAnsi="Arial" w:cs="Arial"/>
          <w:b w:val="0"/>
          <w:color w:val="auto"/>
          <w:sz w:val="20"/>
        </w:rPr>
        <w:t>identify more than five signs or</w:t>
      </w:r>
      <w:r w:rsidRPr="00E26193">
        <w:rPr>
          <w:rFonts w:ascii="Arial" w:hAnsi="Arial" w:cs="Arial"/>
          <w:b w:val="0"/>
          <w:color w:val="auto"/>
          <w:sz w:val="20"/>
        </w:rPr>
        <w:t xml:space="preserve"> symptoms of cancer (13%). While prompted awareness of symptoms is significantly higher than unprompted, South West London residents appear to have lower levels of awareness than residents elsewhere in the country.</w:t>
      </w:r>
      <w:r>
        <w:rPr>
          <w:rFonts w:ascii="Arial" w:hAnsi="Arial" w:cs="Arial"/>
          <w:b w:val="0"/>
          <w:color w:val="auto"/>
          <w:sz w:val="20"/>
        </w:rPr>
        <w:t xml:space="preserve"> </w:t>
      </w:r>
      <w:r w:rsidR="00CB391F" w:rsidRPr="00CB391F">
        <w:rPr>
          <w:rFonts w:ascii="Arial" w:hAnsi="Arial" w:cs="Arial"/>
          <w:b w:val="0"/>
          <w:color w:val="auto"/>
          <w:sz w:val="20"/>
          <w:szCs w:val="20"/>
        </w:rPr>
        <w:t>One in five of people would contact a GP practice to make an app</w:t>
      </w:r>
      <w:r>
        <w:rPr>
          <w:rFonts w:ascii="Arial" w:hAnsi="Arial" w:cs="Arial"/>
          <w:b w:val="0"/>
          <w:color w:val="auto"/>
          <w:sz w:val="20"/>
          <w:szCs w:val="20"/>
        </w:rPr>
        <w:t>ointment (20%) within 1-3 days on noticing a change in bowel habits. H</w:t>
      </w:r>
      <w:r w:rsidR="00CB391F" w:rsidRPr="00CB391F">
        <w:rPr>
          <w:rFonts w:ascii="Arial" w:hAnsi="Arial" w:cs="Arial"/>
          <w:b w:val="0"/>
          <w:color w:val="auto"/>
          <w:sz w:val="20"/>
          <w:szCs w:val="20"/>
        </w:rPr>
        <w:t>owever one in five would also do so within 2 weeks. Eating red or processed is only seen by 5% or one in twenty of respondents as a possible contributing factor to developing cancer.</w:t>
      </w:r>
      <w:r w:rsidR="00CB391F">
        <w:rPr>
          <w:rFonts w:cs="Arial"/>
          <w:sz w:val="20"/>
          <w:szCs w:val="20"/>
        </w:rPr>
        <w:t xml:space="preserve"> </w:t>
      </w:r>
      <w:r w:rsidR="00F510B8" w:rsidRPr="00F510B8">
        <w:rPr>
          <w:rFonts w:ascii="Arial" w:hAnsi="Arial" w:cs="Arial"/>
          <w:b w:val="0"/>
          <w:color w:val="auto"/>
          <w:sz w:val="20"/>
          <w:szCs w:val="20"/>
        </w:rPr>
        <w:t xml:space="preserve">This varies across PCTs with Merton (11%) and Richmond (7%) significantly higher compared to the sector average. </w:t>
      </w:r>
      <w:r w:rsidR="003238EC" w:rsidRPr="0034288F">
        <w:rPr>
          <w:rFonts w:ascii="Arial" w:eastAsia="Calibri" w:hAnsi="Arial" w:cs="Arial"/>
          <w:b w:val="0"/>
          <w:color w:val="auto"/>
          <w:sz w:val="20"/>
          <w:szCs w:val="20"/>
        </w:rPr>
        <w:t>The majority of South West London residents believe that there is an NHS breast cancer screening programme and an NHS cervical cancer screening programme (78% for both), although these figures are lower than for the country as a whole</w:t>
      </w:r>
      <w:r w:rsidR="00DB22F0">
        <w:rPr>
          <w:rFonts w:ascii="Arial" w:eastAsia="Calibri" w:hAnsi="Arial" w:cs="Arial"/>
          <w:b w:val="0"/>
          <w:color w:val="auto"/>
          <w:sz w:val="20"/>
          <w:szCs w:val="20"/>
        </w:rPr>
        <w:t xml:space="preserve"> </w:t>
      </w:r>
      <w:r w:rsidR="00DB22F0">
        <w:rPr>
          <w:rFonts w:ascii="Arial" w:hAnsi="Arial" w:cs="Arial"/>
          <w:b w:val="0"/>
          <w:color w:val="auto"/>
          <w:sz w:val="20"/>
          <w:szCs w:val="20"/>
        </w:rPr>
        <w:t>(87% and 84% respectively)</w:t>
      </w:r>
      <w:r w:rsidR="003238EC" w:rsidRPr="0034288F">
        <w:rPr>
          <w:rFonts w:ascii="Arial" w:eastAsia="Calibri" w:hAnsi="Arial" w:cs="Arial"/>
          <w:b w:val="0"/>
          <w:color w:val="auto"/>
          <w:sz w:val="20"/>
          <w:szCs w:val="20"/>
        </w:rPr>
        <w:t>. In contrast, South West London residents are actually more aware of the NHS bowel cancer screening programme than residents across the count</w:t>
      </w:r>
      <w:r w:rsidR="00F510B8">
        <w:rPr>
          <w:rFonts w:ascii="Arial" w:eastAsia="Calibri" w:hAnsi="Arial" w:cs="Arial"/>
          <w:b w:val="0"/>
          <w:color w:val="auto"/>
          <w:sz w:val="20"/>
          <w:szCs w:val="20"/>
        </w:rPr>
        <w:t>r</w:t>
      </w:r>
      <w:r w:rsidR="003238EC" w:rsidRPr="0034288F">
        <w:rPr>
          <w:rFonts w:ascii="Arial" w:eastAsia="Calibri" w:hAnsi="Arial" w:cs="Arial"/>
          <w:b w:val="0"/>
          <w:color w:val="auto"/>
          <w:sz w:val="20"/>
          <w:szCs w:val="20"/>
        </w:rPr>
        <w:t xml:space="preserve">y. Regardless, knowledge of this screening programme is much lower than for the other programmes (31%). Awareness of the screening programmes appears to be very much linked to personal experience of cancer and relevance (in terms of gender and age).  </w:t>
      </w:r>
      <w:r w:rsidR="00240996" w:rsidRPr="00F510B8">
        <w:rPr>
          <w:rFonts w:ascii="Arial" w:hAnsi="Arial" w:cs="Arial"/>
          <w:b w:val="0"/>
          <w:color w:val="auto"/>
          <w:sz w:val="20"/>
          <w:szCs w:val="20"/>
        </w:rPr>
        <w:t>Just over a third of respondents identified the correct age at which a person is invited for bowel screening.</w:t>
      </w:r>
    </w:p>
    <w:p w:rsidR="003238EC" w:rsidRPr="00A375DF" w:rsidRDefault="003238EC" w:rsidP="00A375DF">
      <w:pPr>
        <w:autoSpaceDE w:val="0"/>
        <w:autoSpaceDN w:val="0"/>
        <w:adjustRightInd w:val="0"/>
        <w:rPr>
          <w:rFonts w:ascii="Arial" w:hAnsi="Arial" w:cs="Arial"/>
          <w:sz w:val="20"/>
          <w:szCs w:val="20"/>
        </w:rPr>
      </w:pPr>
      <w:r w:rsidRPr="00A375DF">
        <w:rPr>
          <w:rFonts w:ascii="Arial" w:hAnsi="Arial" w:cs="Arial"/>
          <w:sz w:val="20"/>
          <w:szCs w:val="20"/>
        </w:rPr>
        <w:t>In almost identical results to residents across the country as a whole, South West London residents clearly believe that breast cancer is the most common form of cancer among women, with over four in five residents believing this to be true (82%). Few residents highlight other cancers, with breast cancer ten times more likely to be mentioned than the next most popular choice. In reality the three most common forms of cancer among women in South West London are breast, colorectal (bowel) and lung cancer.</w:t>
      </w:r>
    </w:p>
    <w:p w:rsidR="00694812" w:rsidRDefault="003238EC" w:rsidP="00A375DF">
      <w:pPr>
        <w:autoSpaceDE w:val="0"/>
        <w:autoSpaceDN w:val="0"/>
        <w:adjustRightInd w:val="0"/>
        <w:spacing w:after="0"/>
        <w:rPr>
          <w:rFonts w:ascii="Arial" w:hAnsi="Arial" w:cs="Arial"/>
          <w:sz w:val="20"/>
          <w:szCs w:val="20"/>
        </w:rPr>
      </w:pPr>
      <w:r w:rsidRPr="00A375DF">
        <w:rPr>
          <w:rFonts w:ascii="Arial" w:hAnsi="Arial" w:cs="Arial"/>
          <w:sz w:val="20"/>
          <w:szCs w:val="20"/>
        </w:rPr>
        <w:t>The results for common cancers among men are slightly more varied, with just under half</w:t>
      </w:r>
      <w:r w:rsidR="00A375DF">
        <w:rPr>
          <w:rFonts w:ascii="Arial" w:hAnsi="Arial" w:cs="Arial"/>
          <w:sz w:val="20"/>
          <w:szCs w:val="20"/>
        </w:rPr>
        <w:t xml:space="preserve"> </w:t>
      </w:r>
      <w:r w:rsidRPr="00A375DF">
        <w:rPr>
          <w:rFonts w:ascii="Arial" w:hAnsi="Arial" w:cs="Arial"/>
          <w:sz w:val="20"/>
          <w:szCs w:val="20"/>
        </w:rPr>
        <w:t>(48%) thinking that prostate cancer is the most common form, while a quarter of residents</w:t>
      </w:r>
      <w:r w:rsidR="00A375DF">
        <w:rPr>
          <w:rFonts w:ascii="Arial" w:hAnsi="Arial" w:cs="Arial"/>
          <w:sz w:val="20"/>
          <w:szCs w:val="20"/>
        </w:rPr>
        <w:t xml:space="preserve"> </w:t>
      </w:r>
      <w:r w:rsidRPr="00A375DF">
        <w:rPr>
          <w:rFonts w:ascii="Arial" w:hAnsi="Arial" w:cs="Arial"/>
          <w:sz w:val="20"/>
          <w:szCs w:val="20"/>
        </w:rPr>
        <w:t>(23%) believe that lung cancer is the most common, while one in ten residents (12%) think it is testicular cancer. Only four per cent of residents say they do not know. The three most common forms of cancer among men are prostate, lung and colorectal (bowel) cancer.</w:t>
      </w:r>
    </w:p>
    <w:p w:rsidR="003D65BB" w:rsidRPr="00A375DF" w:rsidRDefault="003D65BB" w:rsidP="00A375DF">
      <w:pPr>
        <w:autoSpaceDE w:val="0"/>
        <w:autoSpaceDN w:val="0"/>
        <w:adjustRightInd w:val="0"/>
        <w:spacing w:after="0"/>
        <w:rPr>
          <w:rFonts w:ascii="Arial" w:hAnsi="Arial" w:cs="Arial"/>
          <w:sz w:val="20"/>
          <w:szCs w:val="20"/>
        </w:rPr>
      </w:pPr>
    </w:p>
    <w:p w:rsidR="00A375DF" w:rsidRDefault="00AF55AD" w:rsidP="00A375DF">
      <w:pPr>
        <w:autoSpaceDE w:val="0"/>
        <w:autoSpaceDN w:val="0"/>
        <w:adjustRightInd w:val="0"/>
        <w:spacing w:after="0"/>
        <w:rPr>
          <w:rFonts w:ascii="Arial" w:hAnsi="Arial" w:cs="Arial"/>
          <w:sz w:val="20"/>
          <w:szCs w:val="20"/>
        </w:rPr>
      </w:pPr>
      <w:r w:rsidRPr="00AF55AD">
        <w:rPr>
          <w:rFonts w:ascii="Arial" w:hAnsi="Arial" w:cs="Arial"/>
          <w:noProof/>
          <w:sz w:val="20"/>
          <w:szCs w:val="20"/>
          <w:lang w:eastAsia="en-GB"/>
        </w:rPr>
        <w:pict>
          <v:shape id="_x0000_s1030" type="#_x0000_t202" style="position:absolute;margin-left:2.65pt;margin-top:19.5pt;width:452.25pt;height:268.95pt;z-index:251667456" stroked="f" strokeweight="1pt">
            <v:textbox style="mso-next-textbox:#_x0000_s1030">
              <w:txbxContent>
                <w:tbl>
                  <w:tblPr>
                    <w:tblW w:w="9039" w:type="dxa"/>
                    <w:tblBorders>
                      <w:top w:val="single" w:sz="4" w:space="0" w:color="auto"/>
                      <w:left w:val="single" w:sz="4" w:space="0" w:color="auto"/>
                      <w:bottom w:val="single" w:sz="4" w:space="0" w:color="auto"/>
                      <w:right w:val="single" w:sz="4" w:space="0" w:color="auto"/>
                    </w:tblBorders>
                    <w:shd w:val="clear" w:color="000000" w:fill="7CA295"/>
                    <w:tblLook w:val="0000"/>
                  </w:tblPr>
                  <w:tblGrid>
                    <w:gridCol w:w="9039"/>
                  </w:tblGrid>
                  <w:tr w:rsidR="00043890">
                    <w:trPr>
                      <w:cantSplit/>
                      <w:trHeight w:hRule="exact" w:val="624"/>
                    </w:trPr>
                    <w:tc>
                      <w:tcPr>
                        <w:tcW w:w="9039" w:type="dxa"/>
                        <w:shd w:val="clear" w:color="000000" w:fill="7CA295"/>
                        <w:vAlign w:val="center"/>
                      </w:tcPr>
                      <w:p w:rsidR="00043890" w:rsidRDefault="00043890">
                        <w:pPr>
                          <w:rPr>
                            <w:rFonts w:ascii="Arial Black" w:hAnsi="Arial Black"/>
                            <w:bCs/>
                            <w:color w:val="FFFFFF"/>
                            <w:sz w:val="32"/>
                            <w:szCs w:val="28"/>
                            <w:lang w:val="en-US"/>
                          </w:rPr>
                        </w:pPr>
                        <w:bookmarkStart w:id="114" w:name="legal"/>
                        <w:r>
                          <w:rPr>
                            <w:rFonts w:ascii="Arial Black" w:hAnsi="Arial Black"/>
                            <w:bCs/>
                            <w:color w:val="FFFFFF"/>
                            <w:sz w:val="32"/>
                            <w:szCs w:val="28"/>
                            <w:lang w:val="en-US"/>
                          </w:rPr>
                          <w:t>Legal notice</w:t>
                        </w:r>
                        <w:bookmarkEnd w:id="114"/>
                      </w:p>
                    </w:tc>
                  </w:tr>
                  <w:tr w:rsidR="00043890">
                    <w:trPr>
                      <w:cantSplit/>
                      <w:trHeight w:hRule="exact" w:val="4757"/>
                    </w:trPr>
                    <w:tc>
                      <w:tcPr>
                        <w:tcW w:w="9039" w:type="dxa"/>
                        <w:shd w:val="clear" w:color="000000" w:fill="7CA295"/>
                      </w:tcPr>
                      <w:p w:rsidR="00043890" w:rsidRDefault="00043890">
                        <w:pPr>
                          <w:jc w:val="both"/>
                          <w:rPr>
                            <w:lang w:val="en-US"/>
                          </w:rPr>
                        </w:pPr>
                        <w:r>
                          <w:rPr>
                            <w:lang w:val="en-US"/>
                          </w:rPr>
                          <w:t xml:space="preserve">© </w:t>
                        </w:r>
                        <w:r w:rsidR="00AF55AD">
                          <w:rPr>
                            <w:lang w:val="en-US"/>
                          </w:rPr>
                          <w:fldChar w:fldCharType="begin"/>
                        </w:r>
                        <w:r>
                          <w:rPr>
                            <w:lang w:val="en-US"/>
                          </w:rPr>
                          <w:instrText xml:space="preserve"> CREATEDATE \@ yyyy \* MERGEFORMAT </w:instrText>
                        </w:r>
                        <w:r w:rsidR="00AF55AD">
                          <w:rPr>
                            <w:lang w:val="en-US"/>
                          </w:rPr>
                          <w:fldChar w:fldCharType="separate"/>
                        </w:r>
                        <w:r>
                          <w:rPr>
                            <w:noProof/>
                            <w:lang w:val="en-US"/>
                          </w:rPr>
                          <w:t>2010</w:t>
                        </w:r>
                        <w:r w:rsidR="00AF55AD">
                          <w:rPr>
                            <w:lang w:val="en-US"/>
                          </w:rPr>
                          <w:fldChar w:fldCharType="end"/>
                        </w:r>
                        <w:r>
                          <w:rPr>
                            <w:lang w:val="en-US"/>
                          </w:rPr>
                          <w:t xml:space="preserve"> </w:t>
                        </w:r>
                        <w:proofErr w:type="spellStart"/>
                        <w:r>
                          <w:rPr>
                            <w:lang w:val="en-US"/>
                          </w:rPr>
                          <w:t>Ipsos</w:t>
                        </w:r>
                        <w:proofErr w:type="spellEnd"/>
                        <w:r>
                          <w:rPr>
                            <w:lang w:val="en-US"/>
                          </w:rPr>
                          <w:t xml:space="preserve"> MORI – all rights reserved.</w:t>
                        </w:r>
                      </w:p>
                      <w:p w:rsidR="00043890" w:rsidRDefault="00043890">
                        <w:pPr>
                          <w:rPr>
                            <w:lang w:val="en-US"/>
                          </w:rPr>
                        </w:pPr>
                        <w:r>
                          <w:rPr>
                            <w:lang w:val="en-US"/>
                          </w:rPr>
                          <w:t xml:space="preserve">The contents of this report constitute the sole and exclusive property of </w:t>
                        </w:r>
                        <w:proofErr w:type="spellStart"/>
                        <w:r>
                          <w:rPr>
                            <w:lang w:val="en-US"/>
                          </w:rPr>
                          <w:t>Ipsos</w:t>
                        </w:r>
                        <w:proofErr w:type="spellEnd"/>
                        <w:r>
                          <w:rPr>
                            <w:lang w:val="en-US"/>
                          </w:rPr>
                          <w:t xml:space="preserve"> MORI. </w:t>
                        </w:r>
                      </w:p>
                      <w:p w:rsidR="00043890" w:rsidRDefault="00043890">
                        <w:pPr>
                          <w:rPr>
                            <w:lang w:val="en-US"/>
                          </w:rPr>
                        </w:pPr>
                        <w:proofErr w:type="spellStart"/>
                        <w:r>
                          <w:rPr>
                            <w:lang w:val="en-US"/>
                          </w:rPr>
                          <w:t>Ipsos</w:t>
                        </w:r>
                        <w:proofErr w:type="spellEnd"/>
                        <w:r>
                          <w:rPr>
                            <w:lang w:val="en-US"/>
                          </w:rPr>
                          <w:t xml:space="preserve"> MORI retains all right, title and interest, including without limitation copyright, in or to any </w:t>
                        </w:r>
                        <w:proofErr w:type="spellStart"/>
                        <w:r>
                          <w:rPr>
                            <w:lang w:val="en-US"/>
                          </w:rPr>
                          <w:t>Ipsos</w:t>
                        </w:r>
                        <w:proofErr w:type="spellEnd"/>
                        <w:r>
                          <w:rPr>
                            <w:lang w:val="en-US"/>
                          </w:rPr>
                          <w:t xml:space="preserve"> MORI trademarks, technologies, methodologies, products, analyses, software and know-how included or arising out of this report or used in connection with the preparation of this report. No license under any copyright is hereby granted or implied.</w:t>
                        </w:r>
                      </w:p>
                      <w:p w:rsidR="00043890" w:rsidRDefault="00043890">
                        <w:pPr>
                          <w:rPr>
                            <w:lang w:val="en-US"/>
                          </w:rPr>
                        </w:pPr>
                        <w:r>
                          <w:rPr>
                            <w:lang w:val="en-US"/>
                          </w:rPr>
                          <w:t xml:space="preserve">The contents of this report are of a commercially sensitive and confidential nature and intended solely for the review and consideration of the person or entity to which it is addressed.  No other use is permitted and the addressee undertakes not to disclose all or part of this report to any third party (including but not limited, where applicable, pursuant to the Freedom of Information Act 2000) without the prior written consent of the Company Secretary of </w:t>
                        </w:r>
                        <w:proofErr w:type="spellStart"/>
                        <w:r>
                          <w:rPr>
                            <w:lang w:val="en-US"/>
                          </w:rPr>
                          <w:t>Ipsos</w:t>
                        </w:r>
                        <w:proofErr w:type="spellEnd"/>
                        <w:r>
                          <w:rPr>
                            <w:lang w:val="en-US"/>
                          </w:rPr>
                          <w:t xml:space="preserve"> MORI.</w:t>
                        </w:r>
                      </w:p>
                      <w:p w:rsidR="00043890" w:rsidRDefault="00043890">
                        <w:pPr>
                          <w:rPr>
                            <w:rFonts w:ascii="Arial Black" w:hAnsi="Arial Black"/>
                            <w:bCs/>
                            <w:sz w:val="32"/>
                            <w:szCs w:val="28"/>
                            <w:lang w:val="en-US"/>
                          </w:rPr>
                        </w:pPr>
                      </w:p>
                    </w:tc>
                  </w:tr>
                </w:tbl>
                <w:p w:rsidR="00043890" w:rsidRDefault="00043890" w:rsidP="00043890">
                  <w:pPr>
                    <w:rPr>
                      <w:lang w:val="en-US"/>
                    </w:rPr>
                  </w:pPr>
                </w:p>
              </w:txbxContent>
            </v:textbox>
            <w10:wrap type="square"/>
          </v:shape>
        </w:pict>
      </w:r>
    </w:p>
    <w:p w:rsidR="00784E76" w:rsidRDefault="00784E76" w:rsidP="007309C1">
      <w:pPr>
        <w:pStyle w:val="Heading1"/>
        <w:numPr>
          <w:ilvl w:val="0"/>
          <w:numId w:val="1"/>
        </w:numPr>
        <w:spacing w:after="240"/>
        <w:rPr>
          <w:rFonts w:ascii="Arial" w:hAnsi="Arial" w:cs="Arial"/>
          <w:color w:val="auto"/>
        </w:rPr>
      </w:pPr>
      <w:bookmarkStart w:id="115" w:name="_Toc276037872"/>
      <w:r>
        <w:rPr>
          <w:rFonts w:ascii="Arial" w:hAnsi="Arial" w:cs="Arial"/>
          <w:color w:val="auto"/>
        </w:rPr>
        <w:t>Conclusion</w:t>
      </w:r>
      <w:bookmarkEnd w:id="115"/>
    </w:p>
    <w:p w:rsidR="00570E90" w:rsidRDefault="00570E90" w:rsidP="007309C1">
      <w:pPr>
        <w:pStyle w:val="Heading2"/>
        <w:numPr>
          <w:ilvl w:val="1"/>
          <w:numId w:val="1"/>
        </w:numPr>
        <w:spacing w:after="240"/>
        <w:rPr>
          <w:rFonts w:ascii="Arial" w:hAnsi="Arial" w:cs="Arial"/>
          <w:color w:val="auto"/>
          <w:sz w:val="24"/>
          <w:szCs w:val="24"/>
        </w:rPr>
      </w:pPr>
      <w:bookmarkStart w:id="116" w:name="_Toc275442123"/>
      <w:bookmarkStart w:id="117" w:name="_Toc276037873"/>
      <w:r>
        <w:rPr>
          <w:rFonts w:ascii="Arial" w:hAnsi="Arial" w:cs="Arial"/>
          <w:color w:val="auto"/>
          <w:sz w:val="24"/>
          <w:szCs w:val="24"/>
        </w:rPr>
        <w:t>GP practice summaries</w:t>
      </w:r>
      <w:bookmarkEnd w:id="116"/>
      <w:bookmarkEnd w:id="117"/>
    </w:p>
    <w:p w:rsidR="00570E90" w:rsidRPr="00DB3378" w:rsidRDefault="00C77D39" w:rsidP="00570E90">
      <w:pPr>
        <w:rPr>
          <w:rFonts w:ascii="Arial" w:hAnsi="Arial" w:cs="Arial"/>
          <w:sz w:val="20"/>
        </w:rPr>
      </w:pPr>
      <w:r>
        <w:rPr>
          <w:rFonts w:ascii="Arial" w:hAnsi="Arial" w:cs="Arial"/>
          <w:sz w:val="20"/>
        </w:rPr>
        <w:t xml:space="preserve">GP data for </w:t>
      </w:r>
      <w:r w:rsidR="00CD67ED">
        <w:rPr>
          <w:rFonts w:ascii="Arial" w:hAnsi="Arial" w:cs="Arial"/>
          <w:sz w:val="20"/>
        </w:rPr>
        <w:t xml:space="preserve">the </w:t>
      </w:r>
      <w:r>
        <w:rPr>
          <w:rFonts w:ascii="Arial" w:hAnsi="Arial" w:cs="Arial"/>
          <w:sz w:val="20"/>
        </w:rPr>
        <w:t xml:space="preserve">colorectal cancer </w:t>
      </w:r>
      <w:r w:rsidR="007B5BD5">
        <w:rPr>
          <w:rFonts w:ascii="Arial" w:hAnsi="Arial" w:cs="Arial"/>
          <w:sz w:val="20"/>
        </w:rPr>
        <w:t>baseline assessment</w:t>
      </w:r>
      <w:r w:rsidR="00CD67ED">
        <w:rPr>
          <w:rFonts w:ascii="Arial" w:hAnsi="Arial" w:cs="Arial"/>
          <w:sz w:val="20"/>
        </w:rPr>
        <w:t xml:space="preserve"> </w:t>
      </w:r>
      <w:r>
        <w:rPr>
          <w:rFonts w:ascii="Arial" w:hAnsi="Arial" w:cs="Arial"/>
          <w:sz w:val="20"/>
        </w:rPr>
        <w:t>features a</w:t>
      </w:r>
      <w:r w:rsidR="00570E90" w:rsidRPr="00DB3378">
        <w:rPr>
          <w:rFonts w:ascii="Arial" w:hAnsi="Arial" w:cs="Arial"/>
          <w:sz w:val="20"/>
        </w:rPr>
        <w:t>ll cancer emergency admissions an</w:t>
      </w:r>
      <w:r>
        <w:rPr>
          <w:rFonts w:ascii="Arial" w:hAnsi="Arial" w:cs="Arial"/>
          <w:sz w:val="20"/>
        </w:rPr>
        <w:t>d urgent two week wait referral rates for suspected lower GI cancer.</w:t>
      </w:r>
    </w:p>
    <w:p w:rsidR="00570E90" w:rsidRDefault="00570E90" w:rsidP="00570E90">
      <w:pPr>
        <w:rPr>
          <w:rFonts w:ascii="Arial" w:hAnsi="Arial" w:cs="Arial"/>
          <w:b/>
          <w:sz w:val="20"/>
        </w:rPr>
      </w:pPr>
      <w:r w:rsidRPr="00C523E8">
        <w:rPr>
          <w:rFonts w:ascii="Arial" w:hAnsi="Arial" w:cs="Arial"/>
          <w:b/>
          <w:sz w:val="20"/>
        </w:rPr>
        <w:t>Croydon</w:t>
      </w:r>
    </w:p>
    <w:p w:rsidR="006116F3" w:rsidRDefault="00CB6DF0" w:rsidP="006116F3">
      <w:pPr>
        <w:rPr>
          <w:rFonts w:ascii="Arial" w:hAnsi="Arial" w:cs="Arial"/>
          <w:sz w:val="20"/>
        </w:rPr>
      </w:pPr>
      <w:r>
        <w:rPr>
          <w:rFonts w:ascii="Arial" w:hAnsi="Arial" w:cs="Arial"/>
          <w:sz w:val="20"/>
        </w:rPr>
        <w:t xml:space="preserve">Seven GP practices recorded all cancer emergency admission rates significantly higher than the PCT average; they were H83029, </w:t>
      </w:r>
      <w:r w:rsidRPr="007E63E9">
        <w:rPr>
          <w:rFonts w:ascii="Arial" w:hAnsi="Arial" w:cs="Arial"/>
          <w:sz w:val="20"/>
          <w:szCs w:val="20"/>
        </w:rPr>
        <w:t>H83619</w:t>
      </w:r>
      <w:r>
        <w:rPr>
          <w:rFonts w:ascii="Arial" w:hAnsi="Arial" w:cs="Arial"/>
          <w:sz w:val="20"/>
          <w:szCs w:val="20"/>
        </w:rPr>
        <w:t xml:space="preserve">, </w:t>
      </w:r>
      <w:r w:rsidRPr="007E63E9">
        <w:rPr>
          <w:rFonts w:ascii="Arial" w:hAnsi="Arial" w:cs="Arial"/>
          <w:sz w:val="20"/>
          <w:szCs w:val="20"/>
        </w:rPr>
        <w:t>H83031</w:t>
      </w:r>
      <w:r>
        <w:rPr>
          <w:rFonts w:ascii="Arial" w:hAnsi="Arial" w:cs="Arial"/>
          <w:sz w:val="20"/>
          <w:szCs w:val="20"/>
        </w:rPr>
        <w:t xml:space="preserve">, </w:t>
      </w:r>
      <w:r w:rsidRPr="007E63E9">
        <w:rPr>
          <w:rFonts w:ascii="Arial" w:hAnsi="Arial" w:cs="Arial"/>
          <w:sz w:val="20"/>
          <w:szCs w:val="20"/>
        </w:rPr>
        <w:t>H83033</w:t>
      </w:r>
      <w:r>
        <w:rPr>
          <w:rFonts w:ascii="Arial" w:hAnsi="Arial" w:cs="Arial"/>
          <w:sz w:val="20"/>
          <w:szCs w:val="20"/>
        </w:rPr>
        <w:t xml:space="preserve">, </w:t>
      </w:r>
      <w:r w:rsidRPr="007E63E9">
        <w:rPr>
          <w:rFonts w:ascii="Arial" w:hAnsi="Arial" w:cs="Arial"/>
          <w:sz w:val="20"/>
          <w:szCs w:val="20"/>
        </w:rPr>
        <w:t>H83019</w:t>
      </w:r>
      <w:r>
        <w:rPr>
          <w:rFonts w:ascii="Arial" w:hAnsi="Arial" w:cs="Arial"/>
          <w:sz w:val="20"/>
          <w:szCs w:val="20"/>
        </w:rPr>
        <w:t xml:space="preserve">, </w:t>
      </w:r>
      <w:r w:rsidRPr="007E63E9">
        <w:rPr>
          <w:rFonts w:ascii="Arial" w:hAnsi="Arial" w:cs="Arial"/>
          <w:sz w:val="20"/>
          <w:szCs w:val="20"/>
        </w:rPr>
        <w:t>H83050</w:t>
      </w:r>
      <w:r>
        <w:rPr>
          <w:rFonts w:ascii="Arial" w:hAnsi="Arial" w:cs="Arial"/>
          <w:sz w:val="20"/>
          <w:szCs w:val="20"/>
        </w:rPr>
        <w:t xml:space="preserve"> and </w:t>
      </w:r>
      <w:r w:rsidRPr="007E63E9">
        <w:rPr>
          <w:rFonts w:ascii="Arial" w:hAnsi="Arial" w:cs="Arial"/>
          <w:sz w:val="20"/>
          <w:szCs w:val="20"/>
        </w:rPr>
        <w:t>H83015</w:t>
      </w:r>
      <w:r>
        <w:rPr>
          <w:rFonts w:ascii="Arial" w:hAnsi="Arial" w:cs="Arial"/>
          <w:sz w:val="20"/>
          <w:szCs w:val="20"/>
        </w:rPr>
        <w:t>. Four GP practices recorded emergency admission rates significantly lower than the PCT average; they were H83041, H83051, H83625 and H83025.</w:t>
      </w:r>
      <w:r w:rsidR="006116F3">
        <w:rPr>
          <w:rFonts w:ascii="Arial" w:hAnsi="Arial" w:cs="Arial"/>
          <w:sz w:val="20"/>
          <w:szCs w:val="20"/>
        </w:rPr>
        <w:t xml:space="preserve"> </w:t>
      </w:r>
      <w:r w:rsidR="006116F3">
        <w:rPr>
          <w:rFonts w:ascii="Arial" w:hAnsi="Arial" w:cs="Arial"/>
          <w:sz w:val="20"/>
        </w:rPr>
        <w:t>Six</w:t>
      </w:r>
      <w:r w:rsidR="006116F3" w:rsidRPr="00846C1D">
        <w:rPr>
          <w:rFonts w:ascii="Arial" w:hAnsi="Arial" w:cs="Arial"/>
          <w:sz w:val="20"/>
        </w:rPr>
        <w:t xml:space="preserve"> GP practices, </w:t>
      </w:r>
      <w:r w:rsidR="006116F3" w:rsidRPr="007238C0">
        <w:rPr>
          <w:rFonts w:ascii="Arial" w:hAnsi="Arial" w:cs="Arial"/>
          <w:sz w:val="20"/>
        </w:rPr>
        <w:t>H83035</w:t>
      </w:r>
      <w:r w:rsidR="006116F3" w:rsidRPr="00846C1D">
        <w:rPr>
          <w:rFonts w:ascii="Arial" w:hAnsi="Arial" w:cs="Arial"/>
          <w:sz w:val="20"/>
        </w:rPr>
        <w:t xml:space="preserve">, </w:t>
      </w:r>
      <w:r w:rsidR="006116F3" w:rsidRPr="007238C0">
        <w:rPr>
          <w:rFonts w:ascii="Arial" w:hAnsi="Arial" w:cs="Arial"/>
          <w:sz w:val="20"/>
        </w:rPr>
        <w:t>H83048</w:t>
      </w:r>
      <w:r w:rsidR="006116F3">
        <w:rPr>
          <w:rFonts w:ascii="Arial" w:hAnsi="Arial" w:cs="Arial"/>
          <w:sz w:val="20"/>
        </w:rPr>
        <w:t xml:space="preserve">, </w:t>
      </w:r>
      <w:r w:rsidR="006116F3" w:rsidRPr="007238C0">
        <w:rPr>
          <w:rFonts w:ascii="Arial" w:hAnsi="Arial" w:cs="Arial"/>
          <w:sz w:val="20"/>
        </w:rPr>
        <w:t>H83009</w:t>
      </w:r>
      <w:r w:rsidR="006116F3">
        <w:rPr>
          <w:rFonts w:ascii="Arial" w:hAnsi="Arial" w:cs="Arial"/>
          <w:sz w:val="20"/>
        </w:rPr>
        <w:t xml:space="preserve">, </w:t>
      </w:r>
      <w:r w:rsidR="006116F3" w:rsidRPr="007238C0">
        <w:rPr>
          <w:rFonts w:ascii="Arial" w:hAnsi="Arial" w:cs="Arial"/>
          <w:sz w:val="20"/>
        </w:rPr>
        <w:t>H83016</w:t>
      </w:r>
      <w:r w:rsidR="006116F3">
        <w:rPr>
          <w:rFonts w:ascii="Arial" w:hAnsi="Arial" w:cs="Arial"/>
          <w:sz w:val="20"/>
        </w:rPr>
        <w:t xml:space="preserve"> </w:t>
      </w:r>
      <w:r w:rsidR="006116F3" w:rsidRPr="007238C0">
        <w:rPr>
          <w:rFonts w:ascii="Arial" w:hAnsi="Arial" w:cs="Arial"/>
          <w:sz w:val="20"/>
        </w:rPr>
        <w:t>H83015</w:t>
      </w:r>
      <w:r w:rsidR="006116F3">
        <w:rPr>
          <w:rFonts w:ascii="Arial" w:hAnsi="Arial" w:cs="Arial"/>
          <w:sz w:val="20"/>
        </w:rPr>
        <w:t xml:space="preserve">, </w:t>
      </w:r>
      <w:r w:rsidR="006116F3" w:rsidRPr="00846C1D">
        <w:rPr>
          <w:rFonts w:ascii="Arial" w:hAnsi="Arial" w:cs="Arial"/>
          <w:sz w:val="20"/>
        </w:rPr>
        <w:t xml:space="preserve">and </w:t>
      </w:r>
      <w:r w:rsidR="006116F3" w:rsidRPr="007238C0">
        <w:rPr>
          <w:rFonts w:ascii="Arial" w:hAnsi="Arial" w:cs="Arial"/>
          <w:sz w:val="20"/>
        </w:rPr>
        <w:t>H83024</w:t>
      </w:r>
      <w:r w:rsidR="009203A6">
        <w:rPr>
          <w:rFonts w:ascii="Arial" w:hAnsi="Arial" w:cs="Arial"/>
          <w:sz w:val="20"/>
        </w:rPr>
        <w:t xml:space="preserve">, record an urgent 2WW </w:t>
      </w:r>
      <w:r w:rsidR="006116F3" w:rsidRPr="00846C1D">
        <w:rPr>
          <w:rFonts w:ascii="Arial" w:hAnsi="Arial" w:cs="Arial"/>
          <w:sz w:val="20"/>
        </w:rPr>
        <w:t>referral rate</w:t>
      </w:r>
      <w:r w:rsidR="009203A6">
        <w:rPr>
          <w:rFonts w:ascii="Arial" w:hAnsi="Arial" w:cs="Arial"/>
          <w:sz w:val="20"/>
        </w:rPr>
        <w:t xml:space="preserve"> for suspected lower GI cancer</w:t>
      </w:r>
      <w:r w:rsidR="006116F3" w:rsidRPr="00846C1D">
        <w:rPr>
          <w:rFonts w:ascii="Arial" w:hAnsi="Arial" w:cs="Arial"/>
          <w:sz w:val="20"/>
        </w:rPr>
        <w:t xml:space="preserve"> that is significantly higher than the PCT average. The highest referral rate is </w:t>
      </w:r>
      <w:r w:rsidR="006116F3">
        <w:rPr>
          <w:rFonts w:ascii="Arial" w:hAnsi="Arial" w:cs="Arial"/>
          <w:sz w:val="20"/>
        </w:rPr>
        <w:t>431.03</w:t>
      </w:r>
      <w:r w:rsidR="006116F3" w:rsidRPr="00846C1D">
        <w:rPr>
          <w:rFonts w:ascii="Arial" w:hAnsi="Arial" w:cs="Arial"/>
          <w:sz w:val="20"/>
        </w:rPr>
        <w:t xml:space="preserve"> per 100,000 </w:t>
      </w:r>
      <w:proofErr w:type="gramStart"/>
      <w:r w:rsidR="006116F3" w:rsidRPr="00846C1D">
        <w:rPr>
          <w:rFonts w:ascii="Arial" w:hAnsi="Arial" w:cs="Arial"/>
          <w:sz w:val="20"/>
        </w:rPr>
        <w:t>population</w:t>
      </w:r>
      <w:proofErr w:type="gramEnd"/>
      <w:r w:rsidR="006116F3" w:rsidRPr="00846C1D">
        <w:rPr>
          <w:rFonts w:ascii="Arial" w:hAnsi="Arial" w:cs="Arial"/>
          <w:sz w:val="20"/>
        </w:rPr>
        <w:t xml:space="preserve"> at practice </w:t>
      </w:r>
      <w:r w:rsidR="006116F3" w:rsidRPr="007238C0">
        <w:rPr>
          <w:rFonts w:ascii="Arial" w:hAnsi="Arial" w:cs="Arial"/>
          <w:sz w:val="20"/>
        </w:rPr>
        <w:t>H83035</w:t>
      </w:r>
      <w:r w:rsidR="006116F3" w:rsidRPr="00846C1D">
        <w:rPr>
          <w:rFonts w:ascii="Arial" w:hAnsi="Arial" w:cs="Arial"/>
          <w:sz w:val="20"/>
        </w:rPr>
        <w:t>.</w:t>
      </w:r>
      <w:r w:rsidR="006116F3">
        <w:rPr>
          <w:rFonts w:ascii="Arial" w:hAnsi="Arial" w:cs="Arial"/>
          <w:sz w:val="20"/>
        </w:rPr>
        <w:t xml:space="preserve"> Twenty-seven GP practices recorded zero or less than five referrals in 2009. No GP practice records a referral rate significantly below the PCT average.</w:t>
      </w:r>
    </w:p>
    <w:p w:rsidR="00570E90" w:rsidRDefault="00570E90" w:rsidP="00570E90">
      <w:pPr>
        <w:rPr>
          <w:rFonts w:ascii="Arial" w:hAnsi="Arial" w:cs="Arial"/>
          <w:b/>
          <w:sz w:val="20"/>
        </w:rPr>
      </w:pPr>
      <w:r>
        <w:rPr>
          <w:rFonts w:ascii="Arial" w:hAnsi="Arial" w:cs="Arial"/>
          <w:b/>
          <w:sz w:val="20"/>
        </w:rPr>
        <w:t>Kingston</w:t>
      </w:r>
    </w:p>
    <w:p w:rsidR="00CB6DF0" w:rsidRDefault="00CB6DF0" w:rsidP="00CC2012">
      <w:pPr>
        <w:rPr>
          <w:rFonts w:ascii="Arial" w:hAnsi="Arial" w:cs="Arial"/>
          <w:sz w:val="20"/>
          <w:szCs w:val="20"/>
        </w:rPr>
      </w:pPr>
      <w:r>
        <w:rPr>
          <w:rFonts w:ascii="Arial" w:hAnsi="Arial" w:cs="Arial"/>
          <w:sz w:val="20"/>
        </w:rPr>
        <w:t xml:space="preserve">Five GP practices recorded all cancer emergency admission rates significantly higher than the PCT average; they were H84015, </w:t>
      </w:r>
      <w:r w:rsidRPr="007E63E9">
        <w:rPr>
          <w:rFonts w:ascii="Arial" w:hAnsi="Arial" w:cs="Arial"/>
          <w:sz w:val="20"/>
          <w:szCs w:val="20"/>
        </w:rPr>
        <w:t>H8</w:t>
      </w:r>
      <w:r>
        <w:rPr>
          <w:rFonts w:ascii="Arial" w:hAnsi="Arial" w:cs="Arial"/>
          <w:sz w:val="20"/>
          <w:szCs w:val="20"/>
        </w:rPr>
        <w:t xml:space="preserve">4049, H84607, H84053, and </w:t>
      </w:r>
      <w:r w:rsidRPr="007E63E9">
        <w:rPr>
          <w:rFonts w:ascii="Arial" w:hAnsi="Arial" w:cs="Arial"/>
          <w:sz w:val="20"/>
          <w:szCs w:val="20"/>
        </w:rPr>
        <w:t>H8</w:t>
      </w:r>
      <w:r>
        <w:rPr>
          <w:rFonts w:ascii="Arial" w:hAnsi="Arial" w:cs="Arial"/>
          <w:sz w:val="20"/>
          <w:szCs w:val="20"/>
        </w:rPr>
        <w:t>40</w:t>
      </w:r>
      <w:r w:rsidRPr="007E63E9">
        <w:rPr>
          <w:rFonts w:ascii="Arial" w:hAnsi="Arial" w:cs="Arial"/>
          <w:sz w:val="20"/>
          <w:szCs w:val="20"/>
        </w:rPr>
        <w:t>3</w:t>
      </w:r>
      <w:r>
        <w:rPr>
          <w:rFonts w:ascii="Arial" w:hAnsi="Arial" w:cs="Arial"/>
          <w:sz w:val="20"/>
          <w:szCs w:val="20"/>
        </w:rPr>
        <w:t xml:space="preserve">3. Four GP practices recorded rates significantly lower than the PCT average; they were Y02379, H84020, H84025, and H84619. </w:t>
      </w:r>
      <w:r w:rsidR="00CC2012">
        <w:rPr>
          <w:rFonts w:ascii="Arial" w:hAnsi="Arial" w:cs="Arial"/>
          <w:sz w:val="20"/>
        </w:rPr>
        <w:t xml:space="preserve">Two GP practices in Kingston record a suspected lower GI cancer referral rate that is significantly higher than the PCT average. These two GP practices are: </w:t>
      </w:r>
      <w:r w:rsidR="00CC2012" w:rsidRPr="00C3228B">
        <w:rPr>
          <w:rFonts w:ascii="Arial" w:hAnsi="Arial" w:cs="Arial"/>
          <w:sz w:val="20"/>
        </w:rPr>
        <w:t>H84008</w:t>
      </w:r>
      <w:r w:rsidR="00CC2012">
        <w:rPr>
          <w:rFonts w:ascii="Arial" w:hAnsi="Arial" w:cs="Arial"/>
          <w:sz w:val="20"/>
        </w:rPr>
        <w:t xml:space="preserve"> and </w:t>
      </w:r>
      <w:r w:rsidR="00CC2012" w:rsidRPr="00C3228B">
        <w:rPr>
          <w:rFonts w:ascii="Arial" w:hAnsi="Arial" w:cs="Arial"/>
          <w:sz w:val="20"/>
        </w:rPr>
        <w:t>H84034</w:t>
      </w:r>
      <w:r w:rsidR="00CC2012">
        <w:rPr>
          <w:rFonts w:ascii="Arial" w:hAnsi="Arial" w:cs="Arial"/>
          <w:sz w:val="20"/>
        </w:rPr>
        <w:t xml:space="preserve">. Two GP practices </w:t>
      </w:r>
      <w:r w:rsidR="00CC2012" w:rsidRPr="006672E1">
        <w:rPr>
          <w:rFonts w:ascii="Arial" w:hAnsi="Arial" w:cs="Arial"/>
          <w:sz w:val="20"/>
        </w:rPr>
        <w:t>H84008</w:t>
      </w:r>
      <w:r w:rsidR="00CC2012">
        <w:rPr>
          <w:rFonts w:ascii="Arial" w:hAnsi="Arial" w:cs="Arial"/>
          <w:sz w:val="20"/>
        </w:rPr>
        <w:t xml:space="preserve"> and </w:t>
      </w:r>
      <w:r w:rsidR="00CC2012" w:rsidRPr="006672E1">
        <w:rPr>
          <w:rFonts w:ascii="Arial" w:hAnsi="Arial" w:cs="Arial"/>
          <w:sz w:val="20"/>
        </w:rPr>
        <w:t>H84034</w:t>
      </w:r>
      <w:r w:rsidR="00CC2012">
        <w:rPr>
          <w:rFonts w:ascii="Arial" w:hAnsi="Arial" w:cs="Arial"/>
          <w:sz w:val="20"/>
        </w:rPr>
        <w:t xml:space="preserve">, stand out from the other GPs in Kingston with much higher crude referral rates at 780.94 per 100,000 population (95%CI 557.85 – 1063.46) and 540.54 per 100,000 (391.15 – 728.13) respectively. The lowest referral rate was 81.39 per 100,000 </w:t>
      </w:r>
      <w:proofErr w:type="gramStart"/>
      <w:r w:rsidR="00CC2012">
        <w:rPr>
          <w:rFonts w:ascii="Arial" w:hAnsi="Arial" w:cs="Arial"/>
          <w:sz w:val="20"/>
        </w:rPr>
        <w:t>population</w:t>
      </w:r>
      <w:proofErr w:type="gramEnd"/>
      <w:r w:rsidR="00CC2012">
        <w:rPr>
          <w:rFonts w:ascii="Arial" w:hAnsi="Arial" w:cs="Arial"/>
          <w:sz w:val="20"/>
        </w:rPr>
        <w:t xml:space="preserve"> (95%CI 46.49 – 132.18) at practice </w:t>
      </w:r>
      <w:r w:rsidR="00CC2012" w:rsidRPr="006672E1">
        <w:rPr>
          <w:rFonts w:ascii="Arial" w:hAnsi="Arial" w:cs="Arial"/>
          <w:sz w:val="20"/>
        </w:rPr>
        <w:t>H84020</w:t>
      </w:r>
      <w:r w:rsidR="00CC2012">
        <w:rPr>
          <w:rFonts w:ascii="Arial" w:hAnsi="Arial" w:cs="Arial"/>
          <w:sz w:val="20"/>
        </w:rPr>
        <w:t xml:space="preserve">. This is the only GP practice in Kingston recording a rate significantly below the PCT average. </w:t>
      </w:r>
    </w:p>
    <w:p w:rsidR="00570E90" w:rsidRDefault="00570E90" w:rsidP="00CB6DF0">
      <w:pPr>
        <w:spacing w:before="240"/>
        <w:rPr>
          <w:rFonts w:ascii="Arial" w:hAnsi="Arial" w:cs="Arial"/>
          <w:b/>
          <w:sz w:val="20"/>
        </w:rPr>
      </w:pPr>
      <w:r w:rsidRPr="00C21ED6">
        <w:rPr>
          <w:rFonts w:ascii="Arial" w:hAnsi="Arial" w:cs="Arial"/>
          <w:b/>
          <w:sz w:val="20"/>
        </w:rPr>
        <w:t>Richmond &amp; Twickenham</w:t>
      </w:r>
    </w:p>
    <w:p w:rsidR="00CC2012" w:rsidRDefault="00CB6DF0" w:rsidP="00CC2012">
      <w:pPr>
        <w:rPr>
          <w:rFonts w:ascii="Arial" w:hAnsi="Arial" w:cs="Arial"/>
          <w:sz w:val="20"/>
        </w:rPr>
      </w:pPr>
      <w:r>
        <w:rPr>
          <w:rFonts w:ascii="Arial" w:hAnsi="Arial" w:cs="Arial"/>
          <w:sz w:val="20"/>
        </w:rPr>
        <w:t xml:space="preserve">Four GP practices recorded all cancer emergency admission rates significantly higher than the PCT average; they were </w:t>
      </w:r>
      <w:r w:rsidRPr="00B517A2">
        <w:rPr>
          <w:rFonts w:ascii="Arial" w:hAnsi="Arial" w:cs="Arial"/>
          <w:sz w:val="20"/>
        </w:rPr>
        <w:t>H84060</w:t>
      </w:r>
      <w:r>
        <w:rPr>
          <w:rFonts w:ascii="Arial" w:hAnsi="Arial" w:cs="Arial"/>
          <w:sz w:val="20"/>
        </w:rPr>
        <w:t xml:space="preserve">, </w:t>
      </w:r>
      <w:r w:rsidRPr="00B517A2">
        <w:rPr>
          <w:rFonts w:ascii="Arial" w:hAnsi="Arial" w:cs="Arial"/>
          <w:sz w:val="20"/>
        </w:rPr>
        <w:t>H84018</w:t>
      </w:r>
      <w:r>
        <w:rPr>
          <w:rFonts w:ascii="Arial" w:hAnsi="Arial" w:cs="Arial"/>
          <w:sz w:val="20"/>
        </w:rPr>
        <w:t xml:space="preserve">, </w:t>
      </w:r>
      <w:r w:rsidRPr="00B517A2">
        <w:rPr>
          <w:rFonts w:ascii="Arial" w:hAnsi="Arial" w:cs="Arial"/>
          <w:sz w:val="20"/>
        </w:rPr>
        <w:t>H84031</w:t>
      </w:r>
      <w:r>
        <w:rPr>
          <w:rFonts w:ascii="Arial" w:hAnsi="Arial" w:cs="Arial"/>
          <w:sz w:val="20"/>
        </w:rPr>
        <w:t xml:space="preserve"> and </w:t>
      </w:r>
      <w:r w:rsidRPr="00B517A2">
        <w:rPr>
          <w:rFonts w:ascii="Arial" w:hAnsi="Arial" w:cs="Arial"/>
          <w:sz w:val="20"/>
        </w:rPr>
        <w:t>H84032</w:t>
      </w:r>
      <w:r>
        <w:rPr>
          <w:rFonts w:ascii="Arial" w:hAnsi="Arial" w:cs="Arial"/>
          <w:sz w:val="20"/>
          <w:szCs w:val="20"/>
        </w:rPr>
        <w:t xml:space="preserve">. Three GP practices recorded </w:t>
      </w:r>
      <w:r w:rsidR="00ED53F0">
        <w:rPr>
          <w:rFonts w:ascii="Arial" w:hAnsi="Arial" w:cs="Arial"/>
          <w:sz w:val="20"/>
          <w:szCs w:val="20"/>
        </w:rPr>
        <w:t xml:space="preserve">emergency </w:t>
      </w:r>
      <w:r>
        <w:rPr>
          <w:rFonts w:ascii="Arial" w:hAnsi="Arial" w:cs="Arial"/>
          <w:sz w:val="20"/>
          <w:szCs w:val="20"/>
        </w:rPr>
        <w:t>rates significantly lower than the PCT average; they were H84625, H84005 and Y01206.</w:t>
      </w:r>
      <w:r w:rsidR="00CC2012">
        <w:rPr>
          <w:rFonts w:ascii="Arial" w:hAnsi="Arial" w:cs="Arial"/>
          <w:sz w:val="20"/>
          <w:szCs w:val="20"/>
        </w:rPr>
        <w:t xml:space="preserve"> </w:t>
      </w:r>
      <w:r w:rsidR="00CC2012">
        <w:rPr>
          <w:rFonts w:ascii="Arial" w:hAnsi="Arial" w:cs="Arial"/>
          <w:sz w:val="20"/>
        </w:rPr>
        <w:t xml:space="preserve">Three GP practices, </w:t>
      </w:r>
      <w:r w:rsidR="00CC2012" w:rsidRPr="005931DB">
        <w:rPr>
          <w:rFonts w:ascii="Arial" w:hAnsi="Arial" w:cs="Arial"/>
          <w:sz w:val="20"/>
        </w:rPr>
        <w:t>H84615</w:t>
      </w:r>
      <w:r w:rsidR="00CC2012">
        <w:rPr>
          <w:rFonts w:ascii="Arial" w:hAnsi="Arial" w:cs="Arial"/>
          <w:sz w:val="20"/>
        </w:rPr>
        <w:t xml:space="preserve">, </w:t>
      </w:r>
      <w:r w:rsidR="00CC2012" w:rsidRPr="005931DB">
        <w:rPr>
          <w:rFonts w:ascii="Arial" w:hAnsi="Arial" w:cs="Arial"/>
          <w:sz w:val="20"/>
        </w:rPr>
        <w:t>H84007</w:t>
      </w:r>
      <w:r w:rsidR="00CC2012">
        <w:rPr>
          <w:rFonts w:ascii="Arial" w:hAnsi="Arial" w:cs="Arial"/>
          <w:sz w:val="20"/>
        </w:rPr>
        <w:t xml:space="preserve"> and </w:t>
      </w:r>
      <w:r w:rsidR="00CC2012" w:rsidRPr="005931DB">
        <w:rPr>
          <w:rFonts w:ascii="Arial" w:hAnsi="Arial" w:cs="Arial"/>
          <w:sz w:val="20"/>
        </w:rPr>
        <w:t>H84623</w:t>
      </w:r>
      <w:r w:rsidR="00CC2012">
        <w:rPr>
          <w:rFonts w:ascii="Arial" w:hAnsi="Arial" w:cs="Arial"/>
          <w:sz w:val="20"/>
        </w:rPr>
        <w:t xml:space="preserve">, record a </w:t>
      </w:r>
      <w:r w:rsidR="00ED53F0">
        <w:rPr>
          <w:rFonts w:ascii="Arial" w:hAnsi="Arial" w:cs="Arial"/>
          <w:sz w:val="20"/>
        </w:rPr>
        <w:t xml:space="preserve">suspected lower GI cancer </w:t>
      </w:r>
      <w:r w:rsidR="00CC2012">
        <w:rPr>
          <w:rFonts w:ascii="Arial" w:hAnsi="Arial" w:cs="Arial"/>
          <w:sz w:val="20"/>
        </w:rPr>
        <w:t xml:space="preserve">referral rate that is significantly higher than the PCT average. The highest referral rate is 713.21 per 100,000 </w:t>
      </w:r>
      <w:proofErr w:type="gramStart"/>
      <w:r w:rsidR="00CC2012">
        <w:rPr>
          <w:rFonts w:ascii="Arial" w:hAnsi="Arial" w:cs="Arial"/>
          <w:sz w:val="20"/>
        </w:rPr>
        <w:t>population</w:t>
      </w:r>
      <w:proofErr w:type="gramEnd"/>
      <w:r w:rsidR="00CC2012">
        <w:rPr>
          <w:rFonts w:ascii="Arial" w:hAnsi="Arial" w:cs="Arial"/>
          <w:sz w:val="20"/>
        </w:rPr>
        <w:t xml:space="preserve"> (95%CI 429.20 – 1113.83) at practice </w:t>
      </w:r>
      <w:r w:rsidR="00CC2012" w:rsidRPr="005931DB">
        <w:rPr>
          <w:rFonts w:ascii="Arial" w:hAnsi="Arial" w:cs="Arial"/>
          <w:sz w:val="20"/>
        </w:rPr>
        <w:t>H84615</w:t>
      </w:r>
      <w:r w:rsidR="00CC2012">
        <w:rPr>
          <w:rFonts w:ascii="Arial" w:hAnsi="Arial" w:cs="Arial"/>
          <w:sz w:val="20"/>
        </w:rPr>
        <w:t xml:space="preserve">. The lowest referral rate was 81.71 per 100,000 population (95%CI 35.18 – 161.01), a rate significantly below the PCT average. Two other GP practices record suspected lower GI cancer referral rates significantly below the PCT average. The two practices are: </w:t>
      </w:r>
      <w:r w:rsidR="00CC2012" w:rsidRPr="005931DB">
        <w:rPr>
          <w:rFonts w:ascii="Arial" w:hAnsi="Arial" w:cs="Arial"/>
          <w:sz w:val="20"/>
        </w:rPr>
        <w:t>H84005</w:t>
      </w:r>
      <w:r w:rsidR="00CC2012">
        <w:rPr>
          <w:rFonts w:ascii="Arial" w:hAnsi="Arial" w:cs="Arial"/>
          <w:sz w:val="20"/>
        </w:rPr>
        <w:t xml:space="preserve"> and </w:t>
      </w:r>
      <w:r w:rsidR="00CC2012" w:rsidRPr="005931DB">
        <w:rPr>
          <w:rFonts w:ascii="Arial" w:hAnsi="Arial" w:cs="Arial"/>
          <w:sz w:val="20"/>
        </w:rPr>
        <w:t>H84023</w:t>
      </w:r>
      <w:r w:rsidR="00CC2012">
        <w:rPr>
          <w:rFonts w:ascii="Arial" w:hAnsi="Arial" w:cs="Arial"/>
          <w:sz w:val="20"/>
        </w:rPr>
        <w:t xml:space="preserve">. </w:t>
      </w:r>
    </w:p>
    <w:p w:rsidR="00570E90" w:rsidRPr="004738C7" w:rsidRDefault="00570E90" w:rsidP="00570E90">
      <w:pPr>
        <w:rPr>
          <w:rFonts w:ascii="Arial" w:hAnsi="Arial" w:cs="Arial"/>
          <w:b/>
          <w:sz w:val="20"/>
        </w:rPr>
      </w:pPr>
      <w:r w:rsidRPr="004738C7">
        <w:rPr>
          <w:rFonts w:ascii="Arial" w:hAnsi="Arial" w:cs="Arial"/>
          <w:b/>
          <w:sz w:val="20"/>
        </w:rPr>
        <w:t>Sutton &amp; Merton</w:t>
      </w:r>
    </w:p>
    <w:p w:rsidR="00ED53F0" w:rsidRPr="00ED53F0" w:rsidRDefault="00CB6DF0" w:rsidP="00ED53F0">
      <w:pPr>
        <w:rPr>
          <w:rFonts w:ascii="Arial" w:hAnsi="Arial" w:cs="Arial"/>
          <w:sz w:val="20"/>
          <w:szCs w:val="16"/>
        </w:rPr>
      </w:pPr>
      <w:r>
        <w:rPr>
          <w:rFonts w:ascii="Arial" w:hAnsi="Arial" w:cs="Arial"/>
          <w:sz w:val="20"/>
        </w:rPr>
        <w:t xml:space="preserve">Eight GP practices recorded all cancer emergency admission rates significantly higher than the PCT average; they were H 85108, </w:t>
      </w:r>
      <w:r w:rsidRPr="009D4B98">
        <w:rPr>
          <w:rFonts w:ascii="Arial" w:hAnsi="Arial" w:cs="Arial"/>
          <w:sz w:val="20"/>
          <w:szCs w:val="20"/>
        </w:rPr>
        <w:t>H85110</w:t>
      </w:r>
      <w:r>
        <w:rPr>
          <w:rFonts w:ascii="Arial" w:hAnsi="Arial" w:cs="Arial"/>
          <w:sz w:val="20"/>
          <w:szCs w:val="20"/>
        </w:rPr>
        <w:t xml:space="preserve">, </w:t>
      </w:r>
      <w:r w:rsidRPr="009D4B98">
        <w:rPr>
          <w:rFonts w:ascii="Arial" w:hAnsi="Arial" w:cs="Arial"/>
          <w:sz w:val="20"/>
          <w:szCs w:val="20"/>
        </w:rPr>
        <w:t>H85683</w:t>
      </w:r>
      <w:r>
        <w:rPr>
          <w:rFonts w:ascii="Arial" w:hAnsi="Arial" w:cs="Arial"/>
          <w:sz w:val="20"/>
          <w:szCs w:val="20"/>
        </w:rPr>
        <w:t xml:space="preserve">, </w:t>
      </w:r>
      <w:r w:rsidRPr="009D4B98">
        <w:rPr>
          <w:rFonts w:ascii="Arial" w:hAnsi="Arial" w:cs="Arial"/>
          <w:sz w:val="20"/>
          <w:szCs w:val="20"/>
        </w:rPr>
        <w:t>H85032</w:t>
      </w:r>
      <w:r>
        <w:rPr>
          <w:rFonts w:ascii="Arial" w:hAnsi="Arial" w:cs="Arial"/>
          <w:sz w:val="20"/>
          <w:szCs w:val="20"/>
        </w:rPr>
        <w:t xml:space="preserve">, </w:t>
      </w:r>
      <w:r w:rsidRPr="009D4B98">
        <w:rPr>
          <w:rFonts w:ascii="Arial" w:hAnsi="Arial" w:cs="Arial"/>
          <w:sz w:val="20"/>
          <w:szCs w:val="20"/>
        </w:rPr>
        <w:t>H85653</w:t>
      </w:r>
      <w:r>
        <w:rPr>
          <w:rFonts w:ascii="Arial" w:hAnsi="Arial" w:cs="Arial"/>
          <w:sz w:val="20"/>
          <w:szCs w:val="20"/>
        </w:rPr>
        <w:t xml:space="preserve">, </w:t>
      </w:r>
      <w:r w:rsidRPr="009D4B98">
        <w:rPr>
          <w:rFonts w:ascii="Arial" w:hAnsi="Arial" w:cs="Arial"/>
          <w:sz w:val="20"/>
          <w:szCs w:val="20"/>
        </w:rPr>
        <w:t>H85038</w:t>
      </w:r>
      <w:r>
        <w:rPr>
          <w:rFonts w:ascii="Arial" w:hAnsi="Arial" w:cs="Arial"/>
          <w:sz w:val="20"/>
          <w:szCs w:val="20"/>
        </w:rPr>
        <w:t xml:space="preserve">, </w:t>
      </w:r>
      <w:r w:rsidRPr="009D4B98">
        <w:rPr>
          <w:rFonts w:ascii="Arial" w:hAnsi="Arial" w:cs="Arial"/>
          <w:sz w:val="20"/>
          <w:szCs w:val="20"/>
        </w:rPr>
        <w:t>H85030</w:t>
      </w:r>
      <w:r>
        <w:rPr>
          <w:rFonts w:ascii="Arial" w:hAnsi="Arial" w:cs="Arial"/>
          <w:sz w:val="20"/>
          <w:szCs w:val="20"/>
        </w:rPr>
        <w:t xml:space="preserve">, and </w:t>
      </w:r>
      <w:r w:rsidRPr="009D4B98">
        <w:rPr>
          <w:rFonts w:ascii="Arial" w:hAnsi="Arial" w:cs="Arial"/>
          <w:sz w:val="20"/>
          <w:szCs w:val="20"/>
        </w:rPr>
        <w:t>H85037</w:t>
      </w:r>
      <w:r>
        <w:rPr>
          <w:rFonts w:ascii="Arial" w:hAnsi="Arial" w:cs="Arial"/>
          <w:sz w:val="20"/>
          <w:szCs w:val="20"/>
        </w:rPr>
        <w:t xml:space="preserve">. Seven GP practices also recorded rates significantly lower than the PCT average; they were </w:t>
      </w:r>
      <w:r w:rsidRPr="009D4B98">
        <w:rPr>
          <w:rFonts w:ascii="Arial" w:hAnsi="Arial" w:cs="Arial"/>
          <w:sz w:val="20"/>
          <w:szCs w:val="16"/>
        </w:rPr>
        <w:t>H85112</w:t>
      </w:r>
      <w:r>
        <w:rPr>
          <w:rFonts w:ascii="Arial" w:hAnsi="Arial" w:cs="Arial"/>
          <w:sz w:val="20"/>
          <w:szCs w:val="16"/>
        </w:rPr>
        <w:t xml:space="preserve">, </w:t>
      </w:r>
      <w:r w:rsidRPr="009D4B98">
        <w:rPr>
          <w:rFonts w:ascii="Arial" w:hAnsi="Arial" w:cs="Arial"/>
          <w:sz w:val="20"/>
          <w:szCs w:val="16"/>
        </w:rPr>
        <w:t>H85022</w:t>
      </w:r>
      <w:r>
        <w:rPr>
          <w:rFonts w:ascii="Arial" w:hAnsi="Arial" w:cs="Arial"/>
          <w:sz w:val="20"/>
          <w:szCs w:val="16"/>
        </w:rPr>
        <w:t xml:space="preserve">, </w:t>
      </w:r>
      <w:r w:rsidRPr="009D4B98">
        <w:rPr>
          <w:rFonts w:ascii="Arial" w:hAnsi="Arial" w:cs="Arial"/>
          <w:sz w:val="20"/>
          <w:szCs w:val="16"/>
        </w:rPr>
        <w:t>H85649</w:t>
      </w:r>
      <w:r>
        <w:rPr>
          <w:rFonts w:ascii="Arial" w:hAnsi="Arial" w:cs="Arial"/>
          <w:sz w:val="20"/>
          <w:szCs w:val="16"/>
        </w:rPr>
        <w:t xml:space="preserve">, </w:t>
      </w:r>
      <w:r w:rsidRPr="009D4B98">
        <w:rPr>
          <w:rFonts w:ascii="Arial" w:hAnsi="Arial" w:cs="Arial"/>
          <w:sz w:val="20"/>
          <w:szCs w:val="16"/>
        </w:rPr>
        <w:t>H85634</w:t>
      </w:r>
      <w:r>
        <w:rPr>
          <w:rFonts w:ascii="Arial" w:hAnsi="Arial" w:cs="Arial"/>
          <w:sz w:val="20"/>
          <w:szCs w:val="16"/>
        </w:rPr>
        <w:t xml:space="preserve">, </w:t>
      </w:r>
      <w:r w:rsidRPr="009D4B98">
        <w:rPr>
          <w:rFonts w:ascii="Arial" w:hAnsi="Arial" w:cs="Arial"/>
          <w:sz w:val="20"/>
          <w:szCs w:val="16"/>
        </w:rPr>
        <w:t>H85027</w:t>
      </w:r>
      <w:r>
        <w:rPr>
          <w:rFonts w:ascii="Arial" w:hAnsi="Arial" w:cs="Arial"/>
          <w:sz w:val="20"/>
          <w:szCs w:val="16"/>
        </w:rPr>
        <w:t xml:space="preserve">, </w:t>
      </w:r>
      <w:r w:rsidRPr="009D4B98">
        <w:rPr>
          <w:rFonts w:ascii="Arial" w:hAnsi="Arial" w:cs="Arial"/>
          <w:sz w:val="20"/>
          <w:szCs w:val="16"/>
        </w:rPr>
        <w:t>H85028</w:t>
      </w:r>
      <w:r>
        <w:rPr>
          <w:rFonts w:ascii="Arial" w:hAnsi="Arial" w:cs="Arial"/>
          <w:sz w:val="20"/>
          <w:szCs w:val="16"/>
        </w:rPr>
        <w:t xml:space="preserve"> and </w:t>
      </w:r>
      <w:r w:rsidRPr="009D4B98">
        <w:rPr>
          <w:rFonts w:ascii="Arial" w:hAnsi="Arial" w:cs="Arial"/>
          <w:sz w:val="20"/>
          <w:szCs w:val="16"/>
        </w:rPr>
        <w:t>H85686</w:t>
      </w:r>
      <w:r>
        <w:rPr>
          <w:rFonts w:ascii="Arial" w:hAnsi="Arial" w:cs="Arial"/>
          <w:sz w:val="20"/>
          <w:szCs w:val="16"/>
        </w:rPr>
        <w:t xml:space="preserve">. </w:t>
      </w:r>
      <w:r w:rsidR="00ED53F0">
        <w:rPr>
          <w:rFonts w:ascii="Arial" w:hAnsi="Arial" w:cs="Arial"/>
          <w:sz w:val="20"/>
        </w:rPr>
        <w:t>Four</w:t>
      </w:r>
      <w:r w:rsidR="00ED53F0" w:rsidRPr="00846C1D">
        <w:rPr>
          <w:rFonts w:ascii="Arial" w:hAnsi="Arial" w:cs="Arial"/>
          <w:sz w:val="20"/>
        </w:rPr>
        <w:t xml:space="preserve"> GP practices, </w:t>
      </w:r>
      <w:r w:rsidR="00ED53F0" w:rsidRPr="00ED53F0">
        <w:rPr>
          <w:rFonts w:ascii="Arial" w:hAnsi="Arial" w:cs="Arial"/>
          <w:sz w:val="20"/>
        </w:rPr>
        <w:t>H85076</w:t>
      </w:r>
      <w:r w:rsidR="00ED53F0" w:rsidRPr="00846C1D">
        <w:rPr>
          <w:rFonts w:ascii="Arial" w:hAnsi="Arial" w:cs="Arial"/>
          <w:sz w:val="20"/>
        </w:rPr>
        <w:t xml:space="preserve">, </w:t>
      </w:r>
      <w:r w:rsidR="00ED53F0" w:rsidRPr="00ED53F0">
        <w:rPr>
          <w:rFonts w:ascii="Arial" w:hAnsi="Arial" w:cs="Arial"/>
          <w:sz w:val="20"/>
        </w:rPr>
        <w:t>H85030</w:t>
      </w:r>
      <w:r w:rsidR="00ED53F0">
        <w:rPr>
          <w:rFonts w:ascii="Arial" w:hAnsi="Arial" w:cs="Arial"/>
          <w:sz w:val="20"/>
        </w:rPr>
        <w:t xml:space="preserve">, </w:t>
      </w:r>
      <w:r w:rsidR="00ED53F0" w:rsidRPr="00ED53F0">
        <w:rPr>
          <w:rFonts w:ascii="Arial" w:hAnsi="Arial" w:cs="Arial"/>
          <w:sz w:val="20"/>
        </w:rPr>
        <w:t>H85035</w:t>
      </w:r>
      <w:r w:rsidR="00ED53F0">
        <w:rPr>
          <w:rFonts w:ascii="Arial" w:hAnsi="Arial" w:cs="Arial"/>
          <w:sz w:val="20"/>
        </w:rPr>
        <w:t xml:space="preserve"> and </w:t>
      </w:r>
      <w:r w:rsidR="00ED53F0" w:rsidRPr="00ED53F0">
        <w:rPr>
          <w:rFonts w:ascii="Arial" w:hAnsi="Arial" w:cs="Arial"/>
          <w:sz w:val="20"/>
        </w:rPr>
        <w:t>H85024</w:t>
      </w:r>
      <w:r w:rsidR="00ED53F0">
        <w:rPr>
          <w:rFonts w:ascii="Arial" w:hAnsi="Arial" w:cs="Arial"/>
          <w:sz w:val="20"/>
        </w:rPr>
        <w:t>,</w:t>
      </w:r>
      <w:r w:rsidR="00ED53F0" w:rsidRPr="00846C1D">
        <w:rPr>
          <w:rFonts w:ascii="Arial" w:hAnsi="Arial" w:cs="Arial"/>
          <w:sz w:val="20"/>
        </w:rPr>
        <w:t xml:space="preserve"> record </w:t>
      </w:r>
      <w:proofErr w:type="gramStart"/>
      <w:r w:rsidR="00ED53F0" w:rsidRPr="00846C1D">
        <w:rPr>
          <w:rFonts w:ascii="Arial" w:hAnsi="Arial" w:cs="Arial"/>
          <w:sz w:val="20"/>
        </w:rPr>
        <w:t>a</w:t>
      </w:r>
      <w:proofErr w:type="gramEnd"/>
      <w:r w:rsidR="00ED53F0" w:rsidRPr="00846C1D">
        <w:rPr>
          <w:rFonts w:ascii="Arial" w:hAnsi="Arial" w:cs="Arial"/>
          <w:sz w:val="20"/>
        </w:rPr>
        <w:t xml:space="preserve"> </w:t>
      </w:r>
      <w:r w:rsidR="00ED53F0">
        <w:rPr>
          <w:rFonts w:ascii="Arial" w:hAnsi="Arial" w:cs="Arial"/>
          <w:sz w:val="20"/>
        </w:rPr>
        <w:t xml:space="preserve">urgent 2WW </w:t>
      </w:r>
      <w:r w:rsidR="00ED53F0" w:rsidRPr="00846C1D">
        <w:rPr>
          <w:rFonts w:ascii="Arial" w:hAnsi="Arial" w:cs="Arial"/>
          <w:sz w:val="20"/>
        </w:rPr>
        <w:t>referral rate</w:t>
      </w:r>
      <w:r w:rsidR="00ED53F0">
        <w:rPr>
          <w:rFonts w:ascii="Arial" w:hAnsi="Arial" w:cs="Arial"/>
          <w:sz w:val="20"/>
        </w:rPr>
        <w:t xml:space="preserve"> for suspected lower GI cancer</w:t>
      </w:r>
      <w:r w:rsidR="00ED53F0" w:rsidRPr="00846C1D">
        <w:rPr>
          <w:rFonts w:ascii="Arial" w:hAnsi="Arial" w:cs="Arial"/>
          <w:sz w:val="20"/>
        </w:rPr>
        <w:t xml:space="preserve"> that is significantly higher than the PCT average. The highest referral rate is </w:t>
      </w:r>
      <w:r w:rsidR="00ED53F0">
        <w:rPr>
          <w:rFonts w:ascii="Arial" w:hAnsi="Arial" w:cs="Arial"/>
          <w:sz w:val="20"/>
        </w:rPr>
        <w:t>353.96</w:t>
      </w:r>
      <w:r w:rsidR="00ED53F0" w:rsidRPr="00846C1D">
        <w:rPr>
          <w:rFonts w:ascii="Arial" w:hAnsi="Arial" w:cs="Arial"/>
          <w:sz w:val="20"/>
        </w:rPr>
        <w:t xml:space="preserve"> per 100,000 </w:t>
      </w:r>
      <w:proofErr w:type="gramStart"/>
      <w:r w:rsidR="00ED53F0" w:rsidRPr="00846C1D">
        <w:rPr>
          <w:rFonts w:ascii="Arial" w:hAnsi="Arial" w:cs="Arial"/>
          <w:sz w:val="20"/>
        </w:rPr>
        <w:t>population</w:t>
      </w:r>
      <w:proofErr w:type="gramEnd"/>
      <w:r w:rsidR="00ED53F0" w:rsidRPr="00846C1D">
        <w:rPr>
          <w:rFonts w:ascii="Arial" w:hAnsi="Arial" w:cs="Arial"/>
          <w:sz w:val="20"/>
        </w:rPr>
        <w:t xml:space="preserve"> (95%CI </w:t>
      </w:r>
      <w:r w:rsidR="00ED53F0">
        <w:rPr>
          <w:rFonts w:ascii="Arial" w:hAnsi="Arial" w:cs="Arial"/>
          <w:sz w:val="20"/>
        </w:rPr>
        <w:t>243.61</w:t>
      </w:r>
      <w:r w:rsidR="00ED53F0" w:rsidRPr="00846C1D">
        <w:rPr>
          <w:rFonts w:ascii="Arial" w:hAnsi="Arial" w:cs="Arial"/>
          <w:sz w:val="20"/>
        </w:rPr>
        <w:t xml:space="preserve"> – </w:t>
      </w:r>
      <w:r w:rsidR="00ED53F0">
        <w:rPr>
          <w:rFonts w:ascii="Arial" w:hAnsi="Arial" w:cs="Arial"/>
          <w:sz w:val="20"/>
        </w:rPr>
        <w:t xml:space="preserve">497.11) </w:t>
      </w:r>
      <w:r w:rsidR="00ED53F0" w:rsidRPr="00846C1D">
        <w:rPr>
          <w:rFonts w:ascii="Arial" w:hAnsi="Arial" w:cs="Arial"/>
          <w:sz w:val="20"/>
        </w:rPr>
        <w:t xml:space="preserve">at practice </w:t>
      </w:r>
      <w:r w:rsidR="00ED53F0" w:rsidRPr="00ED53F0">
        <w:rPr>
          <w:rFonts w:ascii="Arial" w:hAnsi="Arial" w:cs="Arial"/>
          <w:sz w:val="20"/>
        </w:rPr>
        <w:t>H85076</w:t>
      </w:r>
      <w:r w:rsidR="00ED53F0" w:rsidRPr="00846C1D">
        <w:rPr>
          <w:rFonts w:ascii="Arial" w:hAnsi="Arial" w:cs="Arial"/>
          <w:sz w:val="20"/>
        </w:rPr>
        <w:t>.</w:t>
      </w:r>
      <w:r w:rsidR="00ED53F0">
        <w:rPr>
          <w:rFonts w:ascii="Arial" w:hAnsi="Arial" w:cs="Arial"/>
          <w:sz w:val="20"/>
          <w:szCs w:val="16"/>
        </w:rPr>
        <w:t xml:space="preserve"> </w:t>
      </w:r>
      <w:r w:rsidR="00ED53F0">
        <w:rPr>
          <w:rFonts w:ascii="Arial" w:hAnsi="Arial" w:cs="Arial"/>
          <w:sz w:val="20"/>
        </w:rPr>
        <w:t xml:space="preserve">The lowest generated rate was 62.71 per 100,000 </w:t>
      </w:r>
      <w:proofErr w:type="gramStart"/>
      <w:r w:rsidR="00ED53F0">
        <w:rPr>
          <w:rFonts w:ascii="Arial" w:hAnsi="Arial" w:cs="Arial"/>
          <w:sz w:val="20"/>
        </w:rPr>
        <w:t>population</w:t>
      </w:r>
      <w:proofErr w:type="gramEnd"/>
      <w:r w:rsidR="00ED53F0">
        <w:rPr>
          <w:rFonts w:ascii="Arial" w:hAnsi="Arial" w:cs="Arial"/>
          <w:sz w:val="20"/>
        </w:rPr>
        <w:t xml:space="preserve"> (95%CI 22.90 – 136.50) at practice H85693 and was significantly lower than the PCT average. Two other GP practices (H85115 and H85649) recorded referral rates significantly below the PCT average.</w:t>
      </w:r>
    </w:p>
    <w:p w:rsidR="00570E90" w:rsidRDefault="00570E90" w:rsidP="00570E90">
      <w:pPr>
        <w:rPr>
          <w:rFonts w:ascii="Arial" w:hAnsi="Arial" w:cs="Arial"/>
          <w:b/>
          <w:sz w:val="20"/>
        </w:rPr>
      </w:pPr>
      <w:r w:rsidRPr="006B5483">
        <w:rPr>
          <w:rFonts w:ascii="Arial" w:hAnsi="Arial" w:cs="Arial"/>
          <w:b/>
          <w:sz w:val="20"/>
        </w:rPr>
        <w:t>Wandsworth</w:t>
      </w:r>
    </w:p>
    <w:p w:rsidR="009203A6" w:rsidRDefault="00CB6DF0" w:rsidP="009203A6">
      <w:pPr>
        <w:rPr>
          <w:rFonts w:ascii="Arial" w:hAnsi="Arial" w:cs="Arial"/>
          <w:sz w:val="20"/>
        </w:rPr>
      </w:pPr>
      <w:r>
        <w:rPr>
          <w:rFonts w:ascii="Arial" w:hAnsi="Arial" w:cs="Arial"/>
          <w:sz w:val="20"/>
        </w:rPr>
        <w:t xml:space="preserve">Six GP practices recorded all cancer emergency admission rates significantly higher than the PCT average; they were </w:t>
      </w:r>
      <w:r w:rsidRPr="001B3724">
        <w:rPr>
          <w:rFonts w:ascii="Arial" w:hAnsi="Arial" w:cs="Arial"/>
          <w:sz w:val="20"/>
        </w:rPr>
        <w:t>H85006</w:t>
      </w:r>
      <w:r>
        <w:rPr>
          <w:rFonts w:ascii="Arial" w:hAnsi="Arial" w:cs="Arial"/>
          <w:sz w:val="20"/>
        </w:rPr>
        <w:t xml:space="preserve">, </w:t>
      </w:r>
      <w:r w:rsidRPr="001B3724">
        <w:rPr>
          <w:rFonts w:ascii="Arial" w:hAnsi="Arial" w:cs="Arial"/>
          <w:sz w:val="20"/>
        </w:rPr>
        <w:t>H85643</w:t>
      </w:r>
      <w:r>
        <w:rPr>
          <w:rFonts w:ascii="Arial" w:hAnsi="Arial" w:cs="Arial"/>
          <w:sz w:val="20"/>
        </w:rPr>
        <w:t xml:space="preserve">, </w:t>
      </w:r>
      <w:r w:rsidRPr="001B3724">
        <w:rPr>
          <w:rFonts w:ascii="Arial" w:hAnsi="Arial" w:cs="Arial"/>
          <w:sz w:val="20"/>
        </w:rPr>
        <w:t>H85005</w:t>
      </w:r>
      <w:r>
        <w:rPr>
          <w:rFonts w:ascii="Arial" w:hAnsi="Arial" w:cs="Arial"/>
          <w:sz w:val="20"/>
        </w:rPr>
        <w:t xml:space="preserve">, </w:t>
      </w:r>
      <w:r w:rsidRPr="001B3724">
        <w:rPr>
          <w:rFonts w:ascii="Arial" w:hAnsi="Arial" w:cs="Arial"/>
          <w:sz w:val="20"/>
        </w:rPr>
        <w:t>H85067</w:t>
      </w:r>
      <w:r>
        <w:rPr>
          <w:rFonts w:ascii="Arial" w:hAnsi="Arial" w:cs="Arial"/>
          <w:sz w:val="20"/>
        </w:rPr>
        <w:t xml:space="preserve">, </w:t>
      </w:r>
      <w:r w:rsidRPr="001B3724">
        <w:rPr>
          <w:rFonts w:ascii="Arial" w:hAnsi="Arial" w:cs="Arial"/>
          <w:sz w:val="20"/>
        </w:rPr>
        <w:t>H85008</w:t>
      </w:r>
      <w:r>
        <w:rPr>
          <w:rFonts w:ascii="Arial" w:hAnsi="Arial" w:cs="Arial"/>
          <w:sz w:val="20"/>
        </w:rPr>
        <w:t xml:space="preserve"> and </w:t>
      </w:r>
      <w:r w:rsidRPr="001B3724">
        <w:rPr>
          <w:rFonts w:ascii="Arial" w:hAnsi="Arial" w:cs="Arial"/>
          <w:sz w:val="20"/>
        </w:rPr>
        <w:t>H85045</w:t>
      </w:r>
      <w:r>
        <w:rPr>
          <w:rFonts w:ascii="Arial" w:hAnsi="Arial" w:cs="Arial"/>
          <w:sz w:val="20"/>
          <w:szCs w:val="20"/>
        </w:rPr>
        <w:t xml:space="preserve">. Five GP practices recorded admission rates significantly lower than the PCT average; they were Y01132, </w:t>
      </w:r>
      <w:r w:rsidRPr="009D4B98">
        <w:rPr>
          <w:rFonts w:ascii="Arial" w:hAnsi="Arial" w:cs="Arial"/>
          <w:sz w:val="20"/>
          <w:szCs w:val="16"/>
        </w:rPr>
        <w:t>H85</w:t>
      </w:r>
      <w:r>
        <w:rPr>
          <w:rFonts w:ascii="Arial" w:hAnsi="Arial" w:cs="Arial"/>
          <w:sz w:val="20"/>
          <w:szCs w:val="16"/>
        </w:rPr>
        <w:t>0</w:t>
      </w:r>
      <w:r w:rsidRPr="009D4B98">
        <w:rPr>
          <w:rFonts w:ascii="Arial" w:hAnsi="Arial" w:cs="Arial"/>
          <w:sz w:val="20"/>
          <w:szCs w:val="16"/>
        </w:rPr>
        <w:t>12</w:t>
      </w:r>
      <w:r>
        <w:rPr>
          <w:rFonts w:ascii="Arial" w:hAnsi="Arial" w:cs="Arial"/>
          <w:sz w:val="20"/>
          <w:szCs w:val="16"/>
        </w:rPr>
        <w:t xml:space="preserve">, </w:t>
      </w:r>
      <w:r w:rsidRPr="00A52EC1">
        <w:rPr>
          <w:rFonts w:ascii="Arial" w:hAnsi="Arial" w:cs="Arial"/>
          <w:sz w:val="20"/>
          <w:szCs w:val="16"/>
        </w:rPr>
        <w:t>H85049</w:t>
      </w:r>
      <w:r>
        <w:rPr>
          <w:rFonts w:ascii="Arial" w:hAnsi="Arial" w:cs="Arial"/>
          <w:sz w:val="20"/>
          <w:szCs w:val="16"/>
        </w:rPr>
        <w:t xml:space="preserve">, </w:t>
      </w:r>
      <w:r w:rsidRPr="00A52EC1">
        <w:rPr>
          <w:rFonts w:ascii="Arial" w:hAnsi="Arial" w:cs="Arial"/>
          <w:sz w:val="20"/>
          <w:szCs w:val="16"/>
        </w:rPr>
        <w:t>H85048</w:t>
      </w:r>
      <w:r>
        <w:rPr>
          <w:rFonts w:ascii="Arial" w:hAnsi="Arial" w:cs="Arial"/>
          <w:sz w:val="20"/>
          <w:szCs w:val="16"/>
        </w:rPr>
        <w:t xml:space="preserve"> and </w:t>
      </w:r>
      <w:r w:rsidRPr="00A52EC1">
        <w:rPr>
          <w:rFonts w:ascii="Arial" w:hAnsi="Arial" w:cs="Arial"/>
          <w:sz w:val="20"/>
          <w:szCs w:val="16"/>
        </w:rPr>
        <w:t>H85087</w:t>
      </w:r>
      <w:r>
        <w:rPr>
          <w:rFonts w:ascii="Arial" w:hAnsi="Arial" w:cs="Arial"/>
          <w:sz w:val="20"/>
          <w:szCs w:val="16"/>
        </w:rPr>
        <w:t>.</w:t>
      </w:r>
      <w:r>
        <w:rPr>
          <w:rFonts w:ascii="Arial" w:hAnsi="Arial" w:cs="Arial"/>
          <w:sz w:val="20"/>
        </w:rPr>
        <w:t xml:space="preserve"> </w:t>
      </w:r>
      <w:r w:rsidR="009203A6">
        <w:rPr>
          <w:rFonts w:ascii="Arial" w:hAnsi="Arial" w:cs="Arial"/>
          <w:sz w:val="20"/>
        </w:rPr>
        <w:t xml:space="preserve">Three GP practices in Wandsworth record a suspected lower GI cancer referral rate that is significantly higher than the PCT average. These practices are </w:t>
      </w:r>
      <w:r w:rsidR="009203A6" w:rsidRPr="0081586E">
        <w:rPr>
          <w:rFonts w:ascii="Arial" w:hAnsi="Arial" w:cs="Arial"/>
          <w:sz w:val="20"/>
        </w:rPr>
        <w:t>H85052</w:t>
      </w:r>
      <w:r w:rsidR="009203A6">
        <w:rPr>
          <w:rFonts w:ascii="Arial" w:hAnsi="Arial" w:cs="Arial"/>
          <w:sz w:val="20"/>
        </w:rPr>
        <w:t xml:space="preserve">, </w:t>
      </w:r>
      <w:r w:rsidR="009203A6" w:rsidRPr="0081586E">
        <w:rPr>
          <w:rFonts w:ascii="Arial" w:hAnsi="Arial" w:cs="Arial"/>
          <w:sz w:val="20"/>
        </w:rPr>
        <w:t>H85006</w:t>
      </w:r>
      <w:r w:rsidR="009203A6">
        <w:rPr>
          <w:rFonts w:ascii="Arial" w:hAnsi="Arial" w:cs="Arial"/>
          <w:sz w:val="20"/>
        </w:rPr>
        <w:t xml:space="preserve"> and </w:t>
      </w:r>
      <w:r w:rsidR="009203A6" w:rsidRPr="0081586E">
        <w:rPr>
          <w:rFonts w:ascii="Arial" w:hAnsi="Arial" w:cs="Arial"/>
          <w:sz w:val="20"/>
        </w:rPr>
        <w:t>H85003</w:t>
      </w:r>
      <w:r w:rsidR="009203A6">
        <w:rPr>
          <w:rFonts w:ascii="Arial" w:hAnsi="Arial" w:cs="Arial"/>
          <w:sz w:val="20"/>
        </w:rPr>
        <w:t xml:space="preserve">. The highest suspected lower GI cancer referral rate was 348.50 per 100,000 </w:t>
      </w:r>
      <w:proofErr w:type="gramStart"/>
      <w:r w:rsidR="009203A6">
        <w:rPr>
          <w:rFonts w:ascii="Arial" w:hAnsi="Arial" w:cs="Arial"/>
          <w:sz w:val="20"/>
        </w:rPr>
        <w:t>population</w:t>
      </w:r>
      <w:proofErr w:type="gramEnd"/>
      <w:r w:rsidR="009203A6">
        <w:rPr>
          <w:rFonts w:ascii="Arial" w:hAnsi="Arial" w:cs="Arial"/>
          <w:sz w:val="20"/>
        </w:rPr>
        <w:t xml:space="preserve"> (95%CI 202.90 – 558.02) at practice </w:t>
      </w:r>
      <w:r w:rsidR="009203A6" w:rsidRPr="0081586E">
        <w:rPr>
          <w:rFonts w:ascii="Arial" w:hAnsi="Arial" w:cs="Arial"/>
          <w:sz w:val="20"/>
        </w:rPr>
        <w:t>H85052</w:t>
      </w:r>
      <w:r w:rsidR="009203A6">
        <w:rPr>
          <w:rFonts w:ascii="Arial" w:hAnsi="Arial" w:cs="Arial"/>
          <w:sz w:val="20"/>
        </w:rPr>
        <w:t xml:space="preserve">. The lowest generated referral rate was 45.38 per 100,000 </w:t>
      </w:r>
      <w:proofErr w:type="gramStart"/>
      <w:r w:rsidR="009203A6">
        <w:rPr>
          <w:rFonts w:ascii="Arial" w:hAnsi="Arial" w:cs="Arial"/>
          <w:sz w:val="20"/>
        </w:rPr>
        <w:t>population</w:t>
      </w:r>
      <w:proofErr w:type="gramEnd"/>
      <w:r w:rsidR="009203A6">
        <w:rPr>
          <w:rFonts w:ascii="Arial" w:hAnsi="Arial" w:cs="Arial"/>
          <w:sz w:val="20"/>
        </w:rPr>
        <w:t xml:space="preserve"> (95%CI 14.62 – 105.90) at practice </w:t>
      </w:r>
      <w:r w:rsidR="009203A6" w:rsidRPr="00CC532A">
        <w:rPr>
          <w:rFonts w:ascii="Arial" w:hAnsi="Arial" w:cs="Arial"/>
          <w:sz w:val="20"/>
        </w:rPr>
        <w:t>H85009</w:t>
      </w:r>
      <w:r w:rsidR="009203A6">
        <w:rPr>
          <w:rFonts w:ascii="Arial" w:hAnsi="Arial" w:cs="Arial"/>
          <w:sz w:val="20"/>
        </w:rPr>
        <w:t xml:space="preserve">. Along with practice </w:t>
      </w:r>
      <w:r w:rsidR="009203A6" w:rsidRPr="00CC532A">
        <w:rPr>
          <w:rFonts w:ascii="Arial" w:hAnsi="Arial" w:cs="Arial"/>
          <w:sz w:val="20"/>
        </w:rPr>
        <w:t>H85061</w:t>
      </w:r>
      <w:r w:rsidR="009203A6">
        <w:rPr>
          <w:rFonts w:ascii="Arial" w:hAnsi="Arial" w:cs="Arial"/>
          <w:sz w:val="20"/>
        </w:rPr>
        <w:t xml:space="preserve"> the referral rates recorded for these two practices were significantly below the PCT average.</w:t>
      </w:r>
    </w:p>
    <w:p w:rsidR="00784E76" w:rsidRDefault="00784E76" w:rsidP="007309C1">
      <w:pPr>
        <w:pStyle w:val="Heading2"/>
        <w:numPr>
          <w:ilvl w:val="1"/>
          <w:numId w:val="1"/>
        </w:numPr>
        <w:spacing w:after="240"/>
        <w:rPr>
          <w:rFonts w:ascii="Arial" w:hAnsi="Arial" w:cs="Arial"/>
          <w:color w:val="auto"/>
          <w:sz w:val="24"/>
          <w:szCs w:val="24"/>
        </w:rPr>
      </w:pPr>
      <w:bookmarkStart w:id="118" w:name="_Toc276037874"/>
      <w:r>
        <w:rPr>
          <w:rFonts w:ascii="Arial" w:hAnsi="Arial" w:cs="Arial"/>
          <w:color w:val="auto"/>
          <w:sz w:val="24"/>
          <w:szCs w:val="24"/>
        </w:rPr>
        <w:t>PCT summaries</w:t>
      </w:r>
      <w:bookmarkEnd w:id="118"/>
    </w:p>
    <w:p w:rsidR="00DB3378" w:rsidRPr="00DB3378" w:rsidRDefault="00DB3378" w:rsidP="00DB3378">
      <w:pPr>
        <w:rPr>
          <w:rFonts w:ascii="Arial" w:hAnsi="Arial" w:cs="Arial"/>
          <w:sz w:val="20"/>
        </w:rPr>
      </w:pPr>
      <w:r w:rsidRPr="00DB3378">
        <w:rPr>
          <w:rFonts w:ascii="Arial" w:hAnsi="Arial" w:cs="Arial"/>
          <w:sz w:val="20"/>
        </w:rPr>
        <w:t>Detailed figures of each PCT are shown in the matrix below (</w:t>
      </w:r>
      <w:fldSimple w:instr=" REF _Ref272490877 \h  \* MERGEFORMAT ">
        <w:r w:rsidR="004E6A50" w:rsidRPr="004E6A50">
          <w:rPr>
            <w:rFonts w:ascii="Arial" w:hAnsi="Arial" w:cs="Arial"/>
            <w:sz w:val="20"/>
            <w:szCs w:val="20"/>
          </w:rPr>
          <w:t xml:space="preserve">Figure </w:t>
        </w:r>
        <w:r w:rsidR="004E6A50" w:rsidRPr="004E6A50">
          <w:rPr>
            <w:rFonts w:ascii="Arial" w:hAnsi="Arial" w:cs="Arial"/>
            <w:noProof/>
            <w:sz w:val="20"/>
            <w:szCs w:val="20"/>
          </w:rPr>
          <w:t>40</w:t>
        </w:r>
      </w:fldSimple>
      <w:r w:rsidRPr="00DB3378">
        <w:rPr>
          <w:rFonts w:ascii="Arial" w:hAnsi="Arial" w:cs="Arial"/>
          <w:sz w:val="20"/>
        </w:rPr>
        <w:t>).</w:t>
      </w:r>
    </w:p>
    <w:p w:rsidR="00BE77B3" w:rsidRPr="00BE77B3" w:rsidRDefault="00BE77B3" w:rsidP="00BE77B3">
      <w:pPr>
        <w:rPr>
          <w:rFonts w:ascii="Arial" w:hAnsi="Arial" w:cs="Arial"/>
          <w:b/>
          <w:sz w:val="20"/>
          <w:szCs w:val="20"/>
        </w:rPr>
      </w:pPr>
      <w:r w:rsidRPr="00BE77B3">
        <w:rPr>
          <w:rFonts w:ascii="Arial" w:hAnsi="Arial" w:cs="Arial"/>
          <w:b/>
          <w:sz w:val="20"/>
          <w:szCs w:val="20"/>
        </w:rPr>
        <w:t>Croydon</w:t>
      </w:r>
    </w:p>
    <w:p w:rsidR="00A00017" w:rsidRDefault="00566BE3" w:rsidP="00566BE3">
      <w:pPr>
        <w:rPr>
          <w:rFonts w:ascii="Arial" w:hAnsi="Arial" w:cs="Arial"/>
          <w:sz w:val="20"/>
          <w:szCs w:val="20"/>
        </w:rPr>
      </w:pPr>
      <w:r w:rsidRPr="00566BE3">
        <w:rPr>
          <w:rFonts w:ascii="Arial" w:hAnsi="Arial" w:cs="Arial"/>
          <w:sz w:val="20"/>
          <w:szCs w:val="20"/>
        </w:rPr>
        <w:t xml:space="preserve">Croydon </w:t>
      </w:r>
      <w:r>
        <w:rPr>
          <w:rFonts w:ascii="Arial" w:hAnsi="Arial" w:cs="Arial"/>
          <w:sz w:val="20"/>
          <w:szCs w:val="20"/>
        </w:rPr>
        <w:t xml:space="preserve">has the lowest estimated fruit </w:t>
      </w:r>
      <w:r w:rsidR="00B36E01">
        <w:rPr>
          <w:rFonts w:ascii="Arial" w:hAnsi="Arial" w:cs="Arial"/>
          <w:sz w:val="20"/>
          <w:szCs w:val="20"/>
        </w:rPr>
        <w:t xml:space="preserve">and vegetable </w:t>
      </w:r>
      <w:r>
        <w:rPr>
          <w:rFonts w:ascii="Arial" w:hAnsi="Arial" w:cs="Arial"/>
          <w:sz w:val="20"/>
          <w:szCs w:val="20"/>
        </w:rPr>
        <w:t>consumption in SWL since the estimates are based on population parameters such as deprivation, i.e. Croydon experiences the highest and most</w:t>
      </w:r>
      <w:r w:rsidR="0062625E">
        <w:rPr>
          <w:rFonts w:ascii="Arial" w:hAnsi="Arial" w:cs="Arial"/>
          <w:sz w:val="20"/>
          <w:szCs w:val="20"/>
        </w:rPr>
        <w:t xml:space="preserve"> widespread deprivation in SWL. After Sutton</w:t>
      </w:r>
      <w:r w:rsidR="00BE77B3">
        <w:rPr>
          <w:rFonts w:ascii="Arial" w:hAnsi="Arial" w:cs="Arial"/>
          <w:sz w:val="20"/>
          <w:szCs w:val="20"/>
        </w:rPr>
        <w:t>,</w:t>
      </w:r>
      <w:r w:rsidR="0062625E">
        <w:rPr>
          <w:rFonts w:ascii="Arial" w:hAnsi="Arial" w:cs="Arial"/>
          <w:sz w:val="20"/>
          <w:szCs w:val="20"/>
        </w:rPr>
        <w:t xml:space="preserve"> Croydon has the highest projected proportion of people aged 65 and over.</w:t>
      </w:r>
      <w:r w:rsidR="00BE77B3">
        <w:rPr>
          <w:rFonts w:ascii="Arial" w:hAnsi="Arial" w:cs="Arial"/>
          <w:sz w:val="20"/>
          <w:szCs w:val="20"/>
        </w:rPr>
        <w:t xml:space="preserve"> </w:t>
      </w:r>
    </w:p>
    <w:p w:rsidR="00566BE3" w:rsidRDefault="00BE77B3" w:rsidP="00566BE3">
      <w:pPr>
        <w:rPr>
          <w:rFonts w:ascii="Arial" w:hAnsi="Arial" w:cs="Arial"/>
          <w:sz w:val="20"/>
          <w:szCs w:val="20"/>
        </w:rPr>
      </w:pPr>
      <w:r>
        <w:rPr>
          <w:rFonts w:ascii="Arial" w:hAnsi="Arial" w:cs="Arial"/>
          <w:sz w:val="20"/>
          <w:szCs w:val="20"/>
        </w:rPr>
        <w:t xml:space="preserve">Croydon has the second lowest bowel screening uptake rate. Croydon has the highest male incidence of colorectal cancer in </w:t>
      </w:r>
      <w:proofErr w:type="gramStart"/>
      <w:r>
        <w:rPr>
          <w:rFonts w:ascii="Arial" w:hAnsi="Arial" w:cs="Arial"/>
          <w:sz w:val="20"/>
          <w:szCs w:val="20"/>
        </w:rPr>
        <w:t>SWL,</w:t>
      </w:r>
      <w:proofErr w:type="gramEnd"/>
      <w:r>
        <w:rPr>
          <w:rFonts w:ascii="Arial" w:hAnsi="Arial" w:cs="Arial"/>
          <w:sz w:val="20"/>
          <w:szCs w:val="20"/>
        </w:rPr>
        <w:t xml:space="preserve"> however it is not a statistically significant difference compared to the national and London averages. Contrastingly, female incidence is the lowest in SWL and is significantly lower than the national average. </w:t>
      </w:r>
      <w:r w:rsidR="007204F2">
        <w:rPr>
          <w:rFonts w:ascii="Arial" w:hAnsi="Arial" w:cs="Arial"/>
          <w:sz w:val="20"/>
          <w:szCs w:val="20"/>
        </w:rPr>
        <w:t>Almost half of</w:t>
      </w:r>
      <w:r>
        <w:rPr>
          <w:rFonts w:ascii="Arial" w:hAnsi="Arial" w:cs="Arial"/>
          <w:sz w:val="20"/>
          <w:szCs w:val="20"/>
        </w:rPr>
        <w:t xml:space="preserve"> male and female </w:t>
      </w:r>
      <w:r w:rsidR="007204F2">
        <w:rPr>
          <w:rFonts w:ascii="Arial" w:hAnsi="Arial" w:cs="Arial"/>
          <w:sz w:val="20"/>
          <w:szCs w:val="20"/>
        </w:rPr>
        <w:t>cases were not staged by the Thames Cancer Registry (TCR) therefore it is not appropriate to comment on the impact of staging. Croydon does have the highest one-year survival rate while the male mortality rate is one of the highest in SWL and female mortality is one of the lowest in SWL. The reduction in mortality since 1993</w:t>
      </w:r>
      <w:r w:rsidR="00BF6555">
        <w:rPr>
          <w:rFonts w:ascii="Arial" w:hAnsi="Arial" w:cs="Arial"/>
          <w:sz w:val="20"/>
          <w:szCs w:val="20"/>
        </w:rPr>
        <w:t>-95</w:t>
      </w:r>
      <w:r w:rsidR="007204F2">
        <w:rPr>
          <w:rFonts w:ascii="Arial" w:hAnsi="Arial" w:cs="Arial"/>
          <w:sz w:val="20"/>
          <w:szCs w:val="20"/>
        </w:rPr>
        <w:t xml:space="preserve"> has been nearly 20% for males and 27% for females. Following the overall trend in SWL Croydon has an emergency bed day rate that </w:t>
      </w:r>
      <w:r w:rsidR="00FF5CC7">
        <w:rPr>
          <w:rFonts w:ascii="Arial" w:hAnsi="Arial" w:cs="Arial"/>
          <w:sz w:val="20"/>
          <w:szCs w:val="20"/>
        </w:rPr>
        <w:t>is above the national average</w:t>
      </w:r>
      <w:r w:rsidR="008F7947">
        <w:rPr>
          <w:rFonts w:ascii="Arial" w:hAnsi="Arial" w:cs="Arial"/>
          <w:sz w:val="20"/>
          <w:szCs w:val="20"/>
        </w:rPr>
        <w:t xml:space="preserve"> by 10%.</w:t>
      </w:r>
      <w:r w:rsidR="00FF5CC7">
        <w:rPr>
          <w:rFonts w:ascii="Arial" w:hAnsi="Arial" w:cs="Arial"/>
          <w:sz w:val="20"/>
          <w:szCs w:val="20"/>
        </w:rPr>
        <w:t xml:space="preserve"> </w:t>
      </w:r>
      <w:r w:rsidR="00A21AC0">
        <w:rPr>
          <w:rFonts w:ascii="Arial" w:hAnsi="Arial" w:cs="Arial"/>
          <w:sz w:val="20"/>
          <w:szCs w:val="20"/>
        </w:rPr>
        <w:t xml:space="preserve">The crude rate for all cancer emergency admissions was 610.41 per 100,000 </w:t>
      </w:r>
      <w:proofErr w:type="gramStart"/>
      <w:r w:rsidR="00A21AC0">
        <w:rPr>
          <w:rFonts w:ascii="Arial" w:hAnsi="Arial" w:cs="Arial"/>
          <w:sz w:val="20"/>
          <w:szCs w:val="20"/>
        </w:rPr>
        <w:t>population</w:t>
      </w:r>
      <w:proofErr w:type="gramEnd"/>
      <w:r w:rsidR="00A21AC0">
        <w:rPr>
          <w:rFonts w:ascii="Arial" w:hAnsi="Arial" w:cs="Arial"/>
          <w:sz w:val="20"/>
          <w:szCs w:val="20"/>
        </w:rPr>
        <w:t xml:space="preserve">. </w:t>
      </w:r>
      <w:r w:rsidR="008F7947">
        <w:rPr>
          <w:rFonts w:ascii="Arial" w:hAnsi="Arial" w:cs="Arial"/>
          <w:sz w:val="20"/>
          <w:szCs w:val="20"/>
        </w:rPr>
        <w:t xml:space="preserve">There were 52.8% of diagnosed </w:t>
      </w:r>
      <w:r w:rsidR="00A21AC0">
        <w:rPr>
          <w:rFonts w:ascii="Arial" w:hAnsi="Arial" w:cs="Arial"/>
          <w:sz w:val="20"/>
          <w:szCs w:val="20"/>
        </w:rPr>
        <w:t xml:space="preserve">lower GI </w:t>
      </w:r>
      <w:r w:rsidR="00332F01">
        <w:rPr>
          <w:rFonts w:ascii="Arial" w:hAnsi="Arial" w:cs="Arial"/>
          <w:sz w:val="20"/>
          <w:szCs w:val="20"/>
        </w:rPr>
        <w:t xml:space="preserve">cancer </w:t>
      </w:r>
      <w:r w:rsidR="008F7947">
        <w:rPr>
          <w:rFonts w:ascii="Arial" w:hAnsi="Arial" w:cs="Arial"/>
          <w:sz w:val="20"/>
          <w:szCs w:val="20"/>
        </w:rPr>
        <w:t>cases that were considered to be non-urgent, a rate above the national average</w:t>
      </w:r>
      <w:r w:rsidR="00FF5CC7">
        <w:rPr>
          <w:rFonts w:ascii="Arial" w:hAnsi="Arial" w:cs="Arial"/>
          <w:sz w:val="20"/>
          <w:szCs w:val="20"/>
        </w:rPr>
        <w:t xml:space="preserve">. </w:t>
      </w:r>
      <w:r w:rsidR="006116F3" w:rsidRPr="00846C1D">
        <w:rPr>
          <w:rFonts w:ascii="Arial" w:hAnsi="Arial" w:cs="Arial"/>
          <w:sz w:val="20"/>
        </w:rPr>
        <w:t xml:space="preserve">The average 2WW crude referral rate </w:t>
      </w:r>
      <w:r w:rsidR="006116F3">
        <w:rPr>
          <w:rFonts w:ascii="Arial" w:hAnsi="Arial" w:cs="Arial"/>
          <w:sz w:val="20"/>
        </w:rPr>
        <w:t xml:space="preserve">for suspected lower GI cancer </w:t>
      </w:r>
      <w:r w:rsidR="006116F3" w:rsidRPr="00846C1D">
        <w:rPr>
          <w:rFonts w:ascii="Arial" w:hAnsi="Arial" w:cs="Arial"/>
          <w:sz w:val="20"/>
        </w:rPr>
        <w:t xml:space="preserve">in Croydon for 2009 was </w:t>
      </w:r>
      <w:r w:rsidR="006116F3">
        <w:rPr>
          <w:rFonts w:ascii="Arial" w:hAnsi="Arial" w:cs="Arial"/>
          <w:sz w:val="20"/>
        </w:rPr>
        <w:t>137.60</w:t>
      </w:r>
      <w:r w:rsidR="00297D6A">
        <w:rPr>
          <w:rFonts w:ascii="Arial" w:hAnsi="Arial" w:cs="Arial"/>
          <w:sz w:val="20"/>
        </w:rPr>
        <w:t xml:space="preserve"> per 100,000 </w:t>
      </w:r>
      <w:proofErr w:type="gramStart"/>
      <w:r w:rsidR="00297D6A">
        <w:rPr>
          <w:rFonts w:ascii="Arial" w:hAnsi="Arial" w:cs="Arial"/>
          <w:sz w:val="20"/>
        </w:rPr>
        <w:t>population</w:t>
      </w:r>
      <w:proofErr w:type="gramEnd"/>
      <w:r w:rsidR="00297D6A">
        <w:rPr>
          <w:rFonts w:ascii="Arial" w:hAnsi="Arial" w:cs="Arial"/>
          <w:sz w:val="20"/>
        </w:rPr>
        <w:t>.</w:t>
      </w:r>
      <w:r w:rsidR="00422E87">
        <w:rPr>
          <w:rFonts w:ascii="Arial" w:hAnsi="Arial" w:cs="Arial"/>
          <w:sz w:val="20"/>
          <w:szCs w:val="20"/>
        </w:rPr>
        <w:t xml:space="preserve"> </w:t>
      </w:r>
      <w:r w:rsidR="00BF6555">
        <w:rPr>
          <w:rFonts w:ascii="Arial" w:hAnsi="Arial" w:cs="Arial"/>
          <w:sz w:val="20"/>
          <w:szCs w:val="20"/>
        </w:rPr>
        <w:t>Eleven percent</w:t>
      </w:r>
      <w:r w:rsidR="00FF5CC7">
        <w:rPr>
          <w:rFonts w:ascii="Arial" w:hAnsi="Arial" w:cs="Arial"/>
          <w:sz w:val="20"/>
          <w:szCs w:val="20"/>
        </w:rPr>
        <w:t xml:space="preserve"> of urgent referrals result in a colorectal cancer diagnosis, a higher rate than the national average.</w:t>
      </w:r>
    </w:p>
    <w:p w:rsidR="00C21B03" w:rsidRPr="00BE77B3" w:rsidRDefault="00C21B03" w:rsidP="00C21B03">
      <w:pPr>
        <w:rPr>
          <w:rFonts w:ascii="Arial" w:hAnsi="Arial" w:cs="Arial"/>
          <w:b/>
          <w:sz w:val="20"/>
          <w:szCs w:val="20"/>
        </w:rPr>
      </w:pPr>
      <w:r>
        <w:rPr>
          <w:rFonts w:ascii="Arial" w:hAnsi="Arial" w:cs="Arial"/>
          <w:b/>
          <w:sz w:val="20"/>
          <w:szCs w:val="20"/>
        </w:rPr>
        <w:t>Kingston</w:t>
      </w:r>
    </w:p>
    <w:p w:rsidR="00A00017" w:rsidRDefault="004261E0" w:rsidP="00566BE3">
      <w:pPr>
        <w:rPr>
          <w:rFonts w:ascii="Arial" w:hAnsi="Arial" w:cs="Arial"/>
          <w:sz w:val="20"/>
          <w:szCs w:val="20"/>
        </w:rPr>
      </w:pPr>
      <w:r>
        <w:rPr>
          <w:rFonts w:ascii="Arial" w:hAnsi="Arial" w:cs="Arial"/>
          <w:sz w:val="20"/>
          <w:szCs w:val="20"/>
        </w:rPr>
        <w:t xml:space="preserve">In Kingston the estimated fruit and vegetable consumption is amongst the highest in SWL while prevalence of binge drinking is estimated to be significantly below the national average. Kingston has a low number of areas considered to be deprived, while the proportion of the population aged 65 and over is at 12.0%, comparable to the other PCTs (except Wandsworth) in SWL. </w:t>
      </w:r>
    </w:p>
    <w:p w:rsidR="00C21B03" w:rsidRDefault="004261E0" w:rsidP="00566BE3">
      <w:pPr>
        <w:rPr>
          <w:rFonts w:ascii="Arial" w:hAnsi="Arial" w:cs="Arial"/>
          <w:sz w:val="20"/>
          <w:szCs w:val="20"/>
        </w:rPr>
      </w:pPr>
      <w:r>
        <w:rPr>
          <w:rFonts w:ascii="Arial" w:hAnsi="Arial" w:cs="Arial"/>
          <w:sz w:val="20"/>
          <w:szCs w:val="20"/>
        </w:rPr>
        <w:t xml:space="preserve">Also similar to the other PCTs in the sector Kingston’s bowel screening uptake rate is below the national average and well below the 60% target. Male incidence is the lowest in SWL, however the difference </w:t>
      </w:r>
      <w:r w:rsidR="00A07850">
        <w:rPr>
          <w:rFonts w:ascii="Arial" w:hAnsi="Arial" w:cs="Arial"/>
          <w:sz w:val="20"/>
          <w:szCs w:val="20"/>
        </w:rPr>
        <w:t xml:space="preserve">is not significantly different, while female incidence is mid-ranged. Staging data for Kingston (as for all other PCTs except Croydon) is more evenly distributed compared to lung and breast cancer cases. Only 23% of cases are not staged by the TCR. The highest proportion is seen at stage 2 (over 20%) for both male and female </w:t>
      </w:r>
      <w:r w:rsidR="001B1BCC">
        <w:rPr>
          <w:rFonts w:ascii="Arial" w:hAnsi="Arial" w:cs="Arial"/>
          <w:sz w:val="20"/>
          <w:szCs w:val="20"/>
        </w:rPr>
        <w:t xml:space="preserve">while </w:t>
      </w:r>
      <w:r w:rsidR="00A07850">
        <w:rPr>
          <w:rFonts w:ascii="Arial" w:hAnsi="Arial" w:cs="Arial"/>
          <w:sz w:val="20"/>
          <w:szCs w:val="20"/>
        </w:rPr>
        <w:t xml:space="preserve">17-18% </w:t>
      </w:r>
      <w:proofErr w:type="gramStart"/>
      <w:r w:rsidR="00A07850">
        <w:rPr>
          <w:rFonts w:ascii="Arial" w:hAnsi="Arial" w:cs="Arial"/>
          <w:sz w:val="20"/>
          <w:szCs w:val="20"/>
        </w:rPr>
        <w:t>are</w:t>
      </w:r>
      <w:proofErr w:type="gramEnd"/>
      <w:r w:rsidR="00A07850">
        <w:rPr>
          <w:rFonts w:ascii="Arial" w:hAnsi="Arial" w:cs="Arial"/>
          <w:sz w:val="20"/>
          <w:szCs w:val="20"/>
        </w:rPr>
        <w:t xml:space="preserve"> diagnosed at stage 4. </w:t>
      </w:r>
      <w:r w:rsidR="001B1BCC">
        <w:rPr>
          <w:rFonts w:ascii="Arial" w:hAnsi="Arial" w:cs="Arial"/>
          <w:sz w:val="20"/>
          <w:szCs w:val="20"/>
        </w:rPr>
        <w:t>The one-year survival rate is one of the highest in SWL at 73.8%</w:t>
      </w:r>
      <w:r w:rsidR="002B45D4">
        <w:rPr>
          <w:rFonts w:ascii="Arial" w:hAnsi="Arial" w:cs="Arial"/>
          <w:sz w:val="20"/>
          <w:szCs w:val="20"/>
        </w:rPr>
        <w:t>, while the male and female mortality rate is the lowest in SWL. However since 1993</w:t>
      </w:r>
      <w:r w:rsidR="00BF6555">
        <w:rPr>
          <w:rFonts w:ascii="Arial" w:hAnsi="Arial" w:cs="Arial"/>
          <w:sz w:val="20"/>
          <w:szCs w:val="20"/>
        </w:rPr>
        <w:t>-95</w:t>
      </w:r>
      <w:r w:rsidR="002B45D4">
        <w:rPr>
          <w:rFonts w:ascii="Arial" w:hAnsi="Arial" w:cs="Arial"/>
          <w:sz w:val="20"/>
          <w:szCs w:val="20"/>
        </w:rPr>
        <w:t xml:space="preserve"> Kingston has achieved the lowest reduction in male (all ages) mortality at 13.8%, while female all age mortality has decreased by 32.0%, the highest reduction in SWL. Kingston also</w:t>
      </w:r>
      <w:r w:rsidR="00BF6555">
        <w:rPr>
          <w:rFonts w:ascii="Arial" w:hAnsi="Arial" w:cs="Arial"/>
          <w:sz w:val="20"/>
          <w:szCs w:val="20"/>
        </w:rPr>
        <w:t xml:space="preserve"> records</w:t>
      </w:r>
      <w:r w:rsidR="002B45D4">
        <w:rPr>
          <w:rFonts w:ascii="Arial" w:hAnsi="Arial" w:cs="Arial"/>
          <w:sz w:val="20"/>
          <w:szCs w:val="20"/>
        </w:rPr>
        <w:t xml:space="preserve"> the lowest emergency bed day rate at 383 per 100,000 but </w:t>
      </w:r>
      <w:r w:rsidR="00BF6555">
        <w:rPr>
          <w:rFonts w:ascii="Arial" w:hAnsi="Arial" w:cs="Arial"/>
          <w:sz w:val="20"/>
          <w:szCs w:val="20"/>
        </w:rPr>
        <w:t xml:space="preserve">it </w:t>
      </w:r>
      <w:r w:rsidR="002B45D4">
        <w:rPr>
          <w:rFonts w:ascii="Arial" w:hAnsi="Arial" w:cs="Arial"/>
          <w:sz w:val="20"/>
          <w:szCs w:val="20"/>
        </w:rPr>
        <w:t xml:space="preserve">is still higher than the national average. </w:t>
      </w:r>
      <w:r w:rsidR="00A21AC0">
        <w:rPr>
          <w:rFonts w:ascii="Arial" w:hAnsi="Arial" w:cs="Arial"/>
          <w:sz w:val="20"/>
          <w:szCs w:val="20"/>
        </w:rPr>
        <w:t xml:space="preserve">The crude rate for all cancer emergency admissions was 506.50 per 100,000 </w:t>
      </w:r>
      <w:proofErr w:type="gramStart"/>
      <w:r w:rsidR="00A21AC0">
        <w:rPr>
          <w:rFonts w:ascii="Arial" w:hAnsi="Arial" w:cs="Arial"/>
          <w:sz w:val="20"/>
          <w:szCs w:val="20"/>
        </w:rPr>
        <w:t>population</w:t>
      </w:r>
      <w:proofErr w:type="gramEnd"/>
      <w:r w:rsidR="00A21AC0">
        <w:rPr>
          <w:rFonts w:ascii="Arial" w:hAnsi="Arial" w:cs="Arial"/>
          <w:sz w:val="20"/>
          <w:szCs w:val="20"/>
        </w:rPr>
        <w:t xml:space="preserve">.  </w:t>
      </w:r>
      <w:r w:rsidR="008F7947">
        <w:rPr>
          <w:rFonts w:ascii="Arial" w:hAnsi="Arial" w:cs="Arial"/>
          <w:sz w:val="20"/>
          <w:szCs w:val="20"/>
        </w:rPr>
        <w:t xml:space="preserve">Kingston had the lowest proportion of diagnosed </w:t>
      </w:r>
      <w:r w:rsidR="00A21AC0">
        <w:rPr>
          <w:rFonts w:ascii="Arial" w:hAnsi="Arial" w:cs="Arial"/>
          <w:sz w:val="20"/>
          <w:szCs w:val="20"/>
        </w:rPr>
        <w:t xml:space="preserve">lower GI </w:t>
      </w:r>
      <w:r w:rsidR="00332F01">
        <w:rPr>
          <w:rFonts w:ascii="Arial" w:hAnsi="Arial" w:cs="Arial"/>
          <w:sz w:val="20"/>
          <w:szCs w:val="20"/>
        </w:rPr>
        <w:t xml:space="preserve">cancer </w:t>
      </w:r>
      <w:r w:rsidR="008F7947">
        <w:rPr>
          <w:rFonts w:ascii="Arial" w:hAnsi="Arial" w:cs="Arial"/>
          <w:sz w:val="20"/>
          <w:szCs w:val="20"/>
        </w:rPr>
        <w:t>cases through non-urgent ref</w:t>
      </w:r>
      <w:r w:rsidR="00CC2012">
        <w:rPr>
          <w:rFonts w:ascii="Arial" w:hAnsi="Arial" w:cs="Arial"/>
          <w:sz w:val="20"/>
          <w:szCs w:val="20"/>
        </w:rPr>
        <w:t xml:space="preserve">errals in SWL at 40.7%. </w:t>
      </w:r>
      <w:r w:rsidR="00CC2012">
        <w:rPr>
          <w:rFonts w:ascii="Arial" w:hAnsi="Arial" w:cs="Arial"/>
          <w:sz w:val="20"/>
        </w:rPr>
        <w:t xml:space="preserve">The PCT average urgent 2WW suspected lower GI referral rate is 206.90 per 100,000 </w:t>
      </w:r>
      <w:proofErr w:type="gramStart"/>
      <w:r w:rsidR="00CC2012">
        <w:rPr>
          <w:rFonts w:ascii="Arial" w:hAnsi="Arial" w:cs="Arial"/>
          <w:sz w:val="20"/>
        </w:rPr>
        <w:t>population</w:t>
      </w:r>
      <w:proofErr w:type="gramEnd"/>
      <w:r w:rsidR="00CC2012">
        <w:rPr>
          <w:rFonts w:ascii="Arial" w:hAnsi="Arial" w:cs="Arial"/>
          <w:sz w:val="20"/>
        </w:rPr>
        <w:t xml:space="preserve">. </w:t>
      </w:r>
      <w:r w:rsidR="008F7947">
        <w:rPr>
          <w:rFonts w:ascii="Arial" w:hAnsi="Arial" w:cs="Arial"/>
          <w:sz w:val="20"/>
          <w:szCs w:val="20"/>
        </w:rPr>
        <w:t xml:space="preserve">Nearly </w:t>
      </w:r>
      <w:r w:rsidR="002105A3">
        <w:rPr>
          <w:rFonts w:ascii="Arial" w:hAnsi="Arial" w:cs="Arial"/>
          <w:sz w:val="20"/>
          <w:szCs w:val="20"/>
        </w:rPr>
        <w:t xml:space="preserve">10% </w:t>
      </w:r>
      <w:r w:rsidR="00C0668E">
        <w:rPr>
          <w:rFonts w:ascii="Arial" w:hAnsi="Arial" w:cs="Arial"/>
          <w:sz w:val="20"/>
          <w:szCs w:val="20"/>
        </w:rPr>
        <w:t xml:space="preserve">of </w:t>
      </w:r>
      <w:r w:rsidR="00C7761A">
        <w:rPr>
          <w:rFonts w:ascii="Arial" w:hAnsi="Arial" w:cs="Arial"/>
          <w:sz w:val="20"/>
          <w:szCs w:val="20"/>
        </w:rPr>
        <w:t xml:space="preserve">urgent </w:t>
      </w:r>
      <w:r w:rsidR="00C0668E">
        <w:rPr>
          <w:rFonts w:ascii="Arial" w:hAnsi="Arial" w:cs="Arial"/>
          <w:sz w:val="20"/>
          <w:szCs w:val="20"/>
        </w:rPr>
        <w:t>referrals result in a cancer diagnosis, a propor</w:t>
      </w:r>
      <w:r w:rsidR="00564D7D">
        <w:rPr>
          <w:rFonts w:ascii="Arial" w:hAnsi="Arial" w:cs="Arial"/>
          <w:sz w:val="20"/>
          <w:szCs w:val="20"/>
        </w:rPr>
        <w:t>tion above the national average.</w:t>
      </w:r>
    </w:p>
    <w:p w:rsidR="00564D7D" w:rsidRDefault="00564D7D" w:rsidP="00566BE3">
      <w:pPr>
        <w:rPr>
          <w:rFonts w:ascii="Arial" w:hAnsi="Arial" w:cs="Arial"/>
          <w:b/>
          <w:sz w:val="20"/>
          <w:szCs w:val="20"/>
        </w:rPr>
      </w:pPr>
      <w:r>
        <w:rPr>
          <w:rFonts w:ascii="Arial" w:hAnsi="Arial" w:cs="Arial"/>
          <w:b/>
          <w:sz w:val="20"/>
          <w:szCs w:val="20"/>
        </w:rPr>
        <w:t>Richmond &amp; Twickenham</w:t>
      </w:r>
    </w:p>
    <w:p w:rsidR="00A00017" w:rsidRDefault="00166674" w:rsidP="00566BE3">
      <w:pPr>
        <w:rPr>
          <w:rFonts w:ascii="Arial" w:hAnsi="Arial" w:cs="Arial"/>
          <w:sz w:val="20"/>
          <w:szCs w:val="20"/>
        </w:rPr>
      </w:pPr>
      <w:r w:rsidRPr="00166674">
        <w:rPr>
          <w:rFonts w:ascii="Arial" w:hAnsi="Arial" w:cs="Arial"/>
          <w:sz w:val="20"/>
          <w:szCs w:val="20"/>
        </w:rPr>
        <w:t xml:space="preserve">As </w:t>
      </w:r>
      <w:r>
        <w:rPr>
          <w:rFonts w:ascii="Arial" w:hAnsi="Arial" w:cs="Arial"/>
          <w:sz w:val="20"/>
          <w:szCs w:val="20"/>
        </w:rPr>
        <w:t xml:space="preserve">fruit and vegetable estimates are based on population characteristics it is estimated that people </w:t>
      </w:r>
      <w:r w:rsidR="006F725A">
        <w:rPr>
          <w:rFonts w:ascii="Arial" w:hAnsi="Arial" w:cs="Arial"/>
          <w:sz w:val="20"/>
          <w:szCs w:val="20"/>
        </w:rPr>
        <w:t xml:space="preserve">in </w:t>
      </w:r>
      <w:r>
        <w:rPr>
          <w:rFonts w:ascii="Arial" w:hAnsi="Arial" w:cs="Arial"/>
          <w:sz w:val="20"/>
          <w:szCs w:val="20"/>
        </w:rPr>
        <w:t>Richmond &amp; Twickenham consum</w:t>
      </w:r>
      <w:r w:rsidR="006F725A">
        <w:rPr>
          <w:rFonts w:ascii="Arial" w:hAnsi="Arial" w:cs="Arial"/>
          <w:sz w:val="20"/>
          <w:szCs w:val="20"/>
        </w:rPr>
        <w:t>e</w:t>
      </w:r>
      <w:r>
        <w:rPr>
          <w:rFonts w:ascii="Arial" w:hAnsi="Arial" w:cs="Arial"/>
          <w:sz w:val="20"/>
          <w:szCs w:val="20"/>
        </w:rPr>
        <w:t xml:space="preserve"> the most in SWL at 37.1%. It is the least deprived PCT in the sector with only 4% of small areas classed as high deprivation. Besides Wandsworth (which has a relatively young population) Richmond &amp; Twickenham is projected to experience the least increase in the 65 and over population, about half of the other PCTs (except Wandsworth) in SWL. This is despite currently having a proportion of 65s and over similar to the other PCTs (except Wandsworth). </w:t>
      </w:r>
    </w:p>
    <w:p w:rsidR="00040C2F" w:rsidRDefault="00166674" w:rsidP="00566BE3">
      <w:pPr>
        <w:rPr>
          <w:rFonts w:ascii="Arial" w:hAnsi="Arial" w:cs="Arial"/>
          <w:sz w:val="20"/>
          <w:szCs w:val="20"/>
        </w:rPr>
      </w:pPr>
      <w:r>
        <w:rPr>
          <w:rFonts w:ascii="Arial" w:hAnsi="Arial" w:cs="Arial"/>
          <w:sz w:val="20"/>
          <w:szCs w:val="20"/>
        </w:rPr>
        <w:t>Richmond &amp; Twickenham record the highest bowel screening uptake in SWL but is still below the national average and target</w:t>
      </w:r>
      <w:r w:rsidR="00F4455D">
        <w:rPr>
          <w:rFonts w:ascii="Arial" w:hAnsi="Arial" w:cs="Arial"/>
          <w:sz w:val="20"/>
          <w:szCs w:val="20"/>
        </w:rPr>
        <w:t xml:space="preserve"> uptake</w:t>
      </w:r>
      <w:r>
        <w:rPr>
          <w:rFonts w:ascii="Arial" w:hAnsi="Arial" w:cs="Arial"/>
          <w:sz w:val="20"/>
          <w:szCs w:val="20"/>
        </w:rPr>
        <w:t xml:space="preserve">. </w:t>
      </w:r>
      <w:r w:rsidR="00F4455D">
        <w:rPr>
          <w:rFonts w:ascii="Arial" w:hAnsi="Arial" w:cs="Arial"/>
          <w:sz w:val="20"/>
          <w:szCs w:val="20"/>
        </w:rPr>
        <w:t xml:space="preserve">Male and female incidence are the highest in SWL, however the confidence intervals are wide. The majority of colorectal cancers in Richmond &amp; Twickenham have been staged at stage 4 for both male (25.1%) and female (22.0%). Only 11.7% of male tumours were diagnosed at stage 1, while female staging fairs better at 19.5% of tumours. Just </w:t>
      </w:r>
      <w:proofErr w:type="gramStart"/>
      <w:r w:rsidR="00F4455D">
        <w:rPr>
          <w:rFonts w:ascii="Arial" w:hAnsi="Arial" w:cs="Arial"/>
          <w:sz w:val="20"/>
          <w:szCs w:val="20"/>
        </w:rPr>
        <w:t>under</w:t>
      </w:r>
      <w:proofErr w:type="gramEnd"/>
      <w:r w:rsidR="00F4455D">
        <w:rPr>
          <w:rFonts w:ascii="Arial" w:hAnsi="Arial" w:cs="Arial"/>
          <w:sz w:val="20"/>
          <w:szCs w:val="20"/>
        </w:rPr>
        <w:t xml:space="preserve"> 23% of male cases were not staged compared to 17.5% of females. One-year survival is at </w:t>
      </w:r>
      <w:r w:rsidR="006F725A">
        <w:rPr>
          <w:rFonts w:ascii="Arial" w:hAnsi="Arial" w:cs="Arial"/>
          <w:sz w:val="20"/>
          <w:szCs w:val="20"/>
        </w:rPr>
        <w:t>73.3%, mid-ranked in SWL as is m</w:t>
      </w:r>
      <w:r w:rsidR="00F4455D">
        <w:rPr>
          <w:rFonts w:ascii="Arial" w:hAnsi="Arial" w:cs="Arial"/>
          <w:sz w:val="20"/>
          <w:szCs w:val="20"/>
        </w:rPr>
        <w:t>ale and female mortality, while Richmond &amp; Twickenham shows the highest reduction in the all age male mortality rate between 1993</w:t>
      </w:r>
      <w:r w:rsidR="006F725A">
        <w:rPr>
          <w:rFonts w:ascii="Arial" w:hAnsi="Arial" w:cs="Arial"/>
          <w:sz w:val="20"/>
          <w:szCs w:val="20"/>
        </w:rPr>
        <w:t>-95</w:t>
      </w:r>
      <w:r w:rsidR="00F4455D">
        <w:rPr>
          <w:rFonts w:ascii="Arial" w:hAnsi="Arial" w:cs="Arial"/>
          <w:sz w:val="20"/>
          <w:szCs w:val="20"/>
        </w:rPr>
        <w:t xml:space="preserve"> and 20</w:t>
      </w:r>
      <w:r w:rsidR="006F725A">
        <w:rPr>
          <w:rFonts w:ascii="Arial" w:hAnsi="Arial" w:cs="Arial"/>
          <w:sz w:val="20"/>
          <w:szCs w:val="20"/>
        </w:rPr>
        <w:t>06-</w:t>
      </w:r>
      <w:r w:rsidR="00F4455D">
        <w:rPr>
          <w:rFonts w:ascii="Arial" w:hAnsi="Arial" w:cs="Arial"/>
          <w:sz w:val="20"/>
          <w:szCs w:val="20"/>
        </w:rPr>
        <w:t>08 at 29.4%, while the female rate reveals the lowest reduction in SWL for the same period at 19.5%.</w:t>
      </w:r>
      <w:r w:rsidR="003601A9">
        <w:rPr>
          <w:rFonts w:ascii="Arial" w:hAnsi="Arial" w:cs="Arial"/>
          <w:sz w:val="20"/>
          <w:szCs w:val="20"/>
        </w:rPr>
        <w:t xml:space="preserve"> Analogous to the other PCTs in SWL Richmond &amp; Twickenham record an emergency bed day rate that is higher than the national average. </w:t>
      </w:r>
      <w:r w:rsidR="00A21AC0">
        <w:rPr>
          <w:rFonts w:ascii="Arial" w:hAnsi="Arial" w:cs="Arial"/>
          <w:sz w:val="20"/>
          <w:szCs w:val="20"/>
        </w:rPr>
        <w:t xml:space="preserve">The crude rate for all cancer emergency admissions was 536.97 per 100,000 </w:t>
      </w:r>
      <w:proofErr w:type="gramStart"/>
      <w:r w:rsidR="00A21AC0">
        <w:rPr>
          <w:rFonts w:ascii="Arial" w:hAnsi="Arial" w:cs="Arial"/>
          <w:sz w:val="20"/>
          <w:szCs w:val="20"/>
        </w:rPr>
        <w:t>population</w:t>
      </w:r>
      <w:proofErr w:type="gramEnd"/>
      <w:r w:rsidR="00A21AC0">
        <w:rPr>
          <w:rFonts w:ascii="Arial" w:hAnsi="Arial" w:cs="Arial"/>
          <w:sz w:val="20"/>
          <w:szCs w:val="20"/>
        </w:rPr>
        <w:t xml:space="preserve">. </w:t>
      </w:r>
      <w:r w:rsidR="00422E87">
        <w:rPr>
          <w:rFonts w:ascii="Arial" w:hAnsi="Arial" w:cs="Arial"/>
          <w:sz w:val="20"/>
          <w:szCs w:val="20"/>
        </w:rPr>
        <w:t xml:space="preserve">Fifty-seven percent of diagnosed </w:t>
      </w:r>
      <w:r w:rsidR="00A21AC0">
        <w:rPr>
          <w:rFonts w:ascii="Arial" w:hAnsi="Arial" w:cs="Arial"/>
          <w:sz w:val="20"/>
          <w:szCs w:val="20"/>
        </w:rPr>
        <w:t xml:space="preserve">lower GI </w:t>
      </w:r>
      <w:r w:rsidR="00332F01">
        <w:rPr>
          <w:rFonts w:ascii="Arial" w:hAnsi="Arial" w:cs="Arial"/>
          <w:sz w:val="20"/>
          <w:szCs w:val="20"/>
        </w:rPr>
        <w:t xml:space="preserve">cancer </w:t>
      </w:r>
      <w:r w:rsidR="00422E87">
        <w:rPr>
          <w:rFonts w:ascii="Arial" w:hAnsi="Arial" w:cs="Arial"/>
          <w:sz w:val="20"/>
          <w:szCs w:val="20"/>
        </w:rPr>
        <w:t xml:space="preserve">cases were non-urgent referrals. </w:t>
      </w:r>
      <w:r w:rsidR="00CC2012">
        <w:rPr>
          <w:rFonts w:ascii="Arial" w:hAnsi="Arial" w:cs="Arial"/>
          <w:sz w:val="20"/>
        </w:rPr>
        <w:t xml:space="preserve">The average urgent 2WW crude referral rate in Richmond &amp; Twickenham for suspected lower GI cancer for 2009 was 205.55 per 100,000 </w:t>
      </w:r>
      <w:proofErr w:type="gramStart"/>
      <w:r w:rsidR="00CC2012">
        <w:rPr>
          <w:rFonts w:ascii="Arial" w:hAnsi="Arial" w:cs="Arial"/>
          <w:sz w:val="20"/>
        </w:rPr>
        <w:t>population</w:t>
      </w:r>
      <w:proofErr w:type="gramEnd"/>
      <w:r w:rsidR="00CC2012">
        <w:rPr>
          <w:rFonts w:ascii="Arial" w:hAnsi="Arial" w:cs="Arial"/>
          <w:sz w:val="20"/>
        </w:rPr>
        <w:t xml:space="preserve">. </w:t>
      </w:r>
      <w:r w:rsidR="002105A3">
        <w:rPr>
          <w:rFonts w:ascii="Arial" w:hAnsi="Arial" w:cs="Arial"/>
          <w:sz w:val="20"/>
          <w:szCs w:val="20"/>
        </w:rPr>
        <w:t>O</w:t>
      </w:r>
      <w:r w:rsidR="003601A9">
        <w:rPr>
          <w:rFonts w:ascii="Arial" w:hAnsi="Arial" w:cs="Arial"/>
          <w:sz w:val="20"/>
          <w:szCs w:val="20"/>
        </w:rPr>
        <w:t xml:space="preserve">nly 7.6% of </w:t>
      </w:r>
      <w:r w:rsidR="00C7761A">
        <w:rPr>
          <w:rFonts w:ascii="Arial" w:hAnsi="Arial" w:cs="Arial"/>
          <w:sz w:val="20"/>
          <w:szCs w:val="20"/>
        </w:rPr>
        <w:t xml:space="preserve">urgent </w:t>
      </w:r>
      <w:r w:rsidR="003601A9">
        <w:rPr>
          <w:rFonts w:ascii="Arial" w:hAnsi="Arial" w:cs="Arial"/>
          <w:sz w:val="20"/>
          <w:szCs w:val="20"/>
        </w:rPr>
        <w:t>referral</w:t>
      </w:r>
      <w:r w:rsidR="00040C2F">
        <w:rPr>
          <w:rFonts w:ascii="Arial" w:hAnsi="Arial" w:cs="Arial"/>
          <w:sz w:val="20"/>
          <w:szCs w:val="20"/>
        </w:rPr>
        <w:t>s result in a cancer diagnosis</w:t>
      </w:r>
      <w:r w:rsidR="006F725A">
        <w:rPr>
          <w:rFonts w:ascii="Arial" w:hAnsi="Arial" w:cs="Arial"/>
          <w:sz w:val="20"/>
          <w:szCs w:val="20"/>
        </w:rPr>
        <w:t>,</w:t>
      </w:r>
      <w:r w:rsidR="00040C2F">
        <w:rPr>
          <w:rFonts w:ascii="Arial" w:hAnsi="Arial" w:cs="Arial"/>
          <w:sz w:val="20"/>
          <w:szCs w:val="20"/>
        </w:rPr>
        <w:t xml:space="preserve"> below the average of 8.8%. This low figure may indicate poor primary care interpretation of the 2 week referral of NICE Referral Guidelines and may require investigation.</w:t>
      </w:r>
    </w:p>
    <w:p w:rsidR="003601A9" w:rsidRDefault="003601A9" w:rsidP="00566BE3">
      <w:pPr>
        <w:rPr>
          <w:rFonts w:ascii="Arial" w:hAnsi="Arial" w:cs="Arial"/>
          <w:b/>
          <w:sz w:val="20"/>
          <w:szCs w:val="20"/>
        </w:rPr>
      </w:pPr>
      <w:r>
        <w:rPr>
          <w:rFonts w:ascii="Arial" w:hAnsi="Arial" w:cs="Arial"/>
          <w:b/>
          <w:sz w:val="20"/>
          <w:szCs w:val="20"/>
        </w:rPr>
        <w:t>Sutton &amp; Merton</w:t>
      </w:r>
    </w:p>
    <w:p w:rsidR="00A00017" w:rsidRDefault="00040C2F" w:rsidP="00566BE3">
      <w:pPr>
        <w:rPr>
          <w:rFonts w:ascii="Arial" w:hAnsi="Arial" w:cs="Arial"/>
          <w:sz w:val="20"/>
          <w:szCs w:val="20"/>
        </w:rPr>
      </w:pPr>
      <w:r>
        <w:rPr>
          <w:rFonts w:ascii="Arial" w:hAnsi="Arial" w:cs="Arial"/>
          <w:sz w:val="20"/>
          <w:szCs w:val="20"/>
        </w:rPr>
        <w:t xml:space="preserve">The </w:t>
      </w:r>
      <w:r w:rsidR="00A00017">
        <w:rPr>
          <w:rFonts w:ascii="Arial" w:hAnsi="Arial" w:cs="Arial"/>
          <w:sz w:val="20"/>
          <w:szCs w:val="20"/>
        </w:rPr>
        <w:t>proportion of people in Sutton &amp; Merton is</w:t>
      </w:r>
      <w:r w:rsidR="003601A9">
        <w:rPr>
          <w:rFonts w:ascii="Arial" w:hAnsi="Arial" w:cs="Arial"/>
          <w:sz w:val="20"/>
          <w:szCs w:val="20"/>
        </w:rPr>
        <w:t xml:space="preserve"> estimated to consume </w:t>
      </w:r>
      <w:r>
        <w:rPr>
          <w:rFonts w:ascii="Arial" w:hAnsi="Arial" w:cs="Arial"/>
          <w:sz w:val="20"/>
          <w:szCs w:val="20"/>
        </w:rPr>
        <w:t xml:space="preserve">sufficient amounts of fruit and vegetables at comparable rates to the other PCTs in SWL.  Binge drinking prevalence is also estimated to be similar to other PCTs at around one in eight adults. The PCT has less deprived areas compared to Croydon and Wandsworth but more than Kingston and Richmond &amp; Twickenham. The 65 and over population is comparable to the other PCTs (except Wandsworth) at around 13% of the total population, while the projected increase over the next 20 years varies between Sutton and Merton, 3.1% and 3.9% respectively. </w:t>
      </w:r>
    </w:p>
    <w:p w:rsidR="003601A9" w:rsidRDefault="00040C2F" w:rsidP="00566BE3">
      <w:pPr>
        <w:rPr>
          <w:rFonts w:ascii="Arial" w:hAnsi="Arial" w:cs="Arial"/>
          <w:sz w:val="20"/>
          <w:szCs w:val="20"/>
        </w:rPr>
      </w:pPr>
      <w:r>
        <w:rPr>
          <w:rFonts w:ascii="Arial" w:hAnsi="Arial" w:cs="Arial"/>
          <w:sz w:val="20"/>
          <w:szCs w:val="20"/>
        </w:rPr>
        <w:t>As with all PCTs in SWL the uptake of bowel screening is below the national average as well as the target of 60%. Male and female incidence is comparable with the other PCTs</w:t>
      </w:r>
      <w:r w:rsidR="002334E1">
        <w:rPr>
          <w:rFonts w:ascii="Arial" w:hAnsi="Arial" w:cs="Arial"/>
          <w:sz w:val="20"/>
          <w:szCs w:val="20"/>
        </w:rPr>
        <w:t xml:space="preserve"> at 36.5 and 25.2 per 100,000 respectively for </w:t>
      </w:r>
      <w:proofErr w:type="gramStart"/>
      <w:r w:rsidR="002334E1">
        <w:rPr>
          <w:rFonts w:ascii="Arial" w:hAnsi="Arial" w:cs="Arial"/>
          <w:sz w:val="20"/>
          <w:szCs w:val="20"/>
        </w:rPr>
        <w:t>under</w:t>
      </w:r>
      <w:proofErr w:type="gramEnd"/>
      <w:r w:rsidR="002334E1">
        <w:rPr>
          <w:rFonts w:ascii="Arial" w:hAnsi="Arial" w:cs="Arial"/>
          <w:sz w:val="20"/>
          <w:szCs w:val="20"/>
        </w:rPr>
        <w:t xml:space="preserve"> 75 incidence</w:t>
      </w:r>
      <w:r>
        <w:rPr>
          <w:rFonts w:ascii="Arial" w:hAnsi="Arial" w:cs="Arial"/>
          <w:sz w:val="20"/>
          <w:szCs w:val="20"/>
        </w:rPr>
        <w:t xml:space="preserve">. The majority of tumours were staged at stage 4 but the staging is likely to be skewed since around a third of tumours were not staged due to a lack of information. </w:t>
      </w:r>
      <w:r w:rsidR="006F725A">
        <w:rPr>
          <w:rFonts w:ascii="Arial" w:hAnsi="Arial" w:cs="Arial"/>
          <w:sz w:val="20"/>
          <w:szCs w:val="20"/>
        </w:rPr>
        <w:t>Sutton</w:t>
      </w:r>
      <w:r>
        <w:rPr>
          <w:rFonts w:ascii="Arial" w:hAnsi="Arial" w:cs="Arial"/>
          <w:sz w:val="20"/>
          <w:szCs w:val="20"/>
        </w:rPr>
        <w:t xml:space="preserve"> </w:t>
      </w:r>
      <w:r w:rsidR="006F725A">
        <w:rPr>
          <w:rFonts w:ascii="Arial" w:hAnsi="Arial" w:cs="Arial"/>
          <w:sz w:val="20"/>
          <w:szCs w:val="20"/>
        </w:rPr>
        <w:t>&amp;</w:t>
      </w:r>
      <w:r>
        <w:rPr>
          <w:rFonts w:ascii="Arial" w:hAnsi="Arial" w:cs="Arial"/>
          <w:sz w:val="20"/>
          <w:szCs w:val="20"/>
        </w:rPr>
        <w:t xml:space="preserve"> </w:t>
      </w:r>
      <w:r w:rsidR="006F725A">
        <w:rPr>
          <w:rFonts w:ascii="Arial" w:hAnsi="Arial" w:cs="Arial"/>
          <w:sz w:val="20"/>
          <w:szCs w:val="20"/>
        </w:rPr>
        <w:t>Merton</w:t>
      </w:r>
      <w:r>
        <w:rPr>
          <w:rFonts w:ascii="Arial" w:hAnsi="Arial" w:cs="Arial"/>
          <w:sz w:val="20"/>
          <w:szCs w:val="20"/>
        </w:rPr>
        <w:t xml:space="preserve"> has the lowest one-year survival rate in SWL at 71.4%, 3.1% lower than the highest in Croydon.</w:t>
      </w:r>
      <w:r w:rsidR="00E52959">
        <w:rPr>
          <w:rFonts w:ascii="Arial" w:hAnsi="Arial" w:cs="Arial"/>
          <w:sz w:val="20"/>
          <w:szCs w:val="20"/>
        </w:rPr>
        <w:t xml:space="preserve"> Both male and female mortality rates are comparable to the other PCTs and the national average. Sutton &amp; Merton record the highest rate for emergency bed days for colorectal cancer at 448 per 100,000, the national average is 374. </w:t>
      </w:r>
      <w:r w:rsidR="00A21AC0">
        <w:rPr>
          <w:rFonts w:ascii="Arial" w:hAnsi="Arial" w:cs="Arial"/>
          <w:sz w:val="20"/>
          <w:szCs w:val="20"/>
        </w:rPr>
        <w:t xml:space="preserve">The crude rate for all cancer emergency admissions was 634.87 per 100,000 </w:t>
      </w:r>
      <w:proofErr w:type="gramStart"/>
      <w:r w:rsidR="00A21AC0">
        <w:rPr>
          <w:rFonts w:ascii="Arial" w:hAnsi="Arial" w:cs="Arial"/>
          <w:sz w:val="20"/>
          <w:szCs w:val="20"/>
        </w:rPr>
        <w:t>population</w:t>
      </w:r>
      <w:proofErr w:type="gramEnd"/>
      <w:r w:rsidR="00A21AC0">
        <w:rPr>
          <w:rFonts w:ascii="Arial" w:hAnsi="Arial" w:cs="Arial"/>
          <w:sz w:val="20"/>
          <w:szCs w:val="20"/>
        </w:rPr>
        <w:t xml:space="preserve">. </w:t>
      </w:r>
      <w:r w:rsidR="002105A3">
        <w:rPr>
          <w:rFonts w:ascii="Arial" w:hAnsi="Arial" w:cs="Arial"/>
          <w:sz w:val="20"/>
          <w:szCs w:val="20"/>
        </w:rPr>
        <w:t xml:space="preserve">Fifty-seven percent of diagnosed </w:t>
      </w:r>
      <w:r w:rsidR="00A21AC0">
        <w:rPr>
          <w:rFonts w:ascii="Arial" w:hAnsi="Arial" w:cs="Arial"/>
          <w:sz w:val="20"/>
          <w:szCs w:val="20"/>
        </w:rPr>
        <w:t xml:space="preserve">lower GI </w:t>
      </w:r>
      <w:r w:rsidR="00332F01">
        <w:rPr>
          <w:rFonts w:ascii="Arial" w:hAnsi="Arial" w:cs="Arial"/>
          <w:sz w:val="20"/>
          <w:szCs w:val="20"/>
        </w:rPr>
        <w:t xml:space="preserve">cancer </w:t>
      </w:r>
      <w:r w:rsidR="00D73BFA">
        <w:rPr>
          <w:rFonts w:ascii="Arial" w:hAnsi="Arial" w:cs="Arial"/>
          <w:sz w:val="20"/>
          <w:szCs w:val="20"/>
        </w:rPr>
        <w:t>cases were non-urgent referrals</w:t>
      </w:r>
      <w:r w:rsidR="00CC2012">
        <w:rPr>
          <w:rFonts w:ascii="Arial" w:hAnsi="Arial" w:cs="Arial"/>
          <w:sz w:val="20"/>
          <w:szCs w:val="20"/>
        </w:rPr>
        <w:t>.</w:t>
      </w:r>
      <w:r w:rsidR="00D73BFA">
        <w:rPr>
          <w:rFonts w:ascii="Arial" w:hAnsi="Arial" w:cs="Arial"/>
          <w:sz w:val="20"/>
          <w:szCs w:val="20"/>
        </w:rPr>
        <w:t xml:space="preserve"> </w:t>
      </w:r>
      <w:r w:rsidR="00ED53F0" w:rsidRPr="00846C1D">
        <w:rPr>
          <w:rFonts w:ascii="Arial" w:hAnsi="Arial" w:cs="Arial"/>
          <w:sz w:val="20"/>
        </w:rPr>
        <w:t xml:space="preserve">The average 2WW crude referral rate </w:t>
      </w:r>
      <w:r w:rsidR="00ED53F0">
        <w:rPr>
          <w:rFonts w:ascii="Arial" w:hAnsi="Arial" w:cs="Arial"/>
          <w:sz w:val="20"/>
        </w:rPr>
        <w:t xml:space="preserve">for suspected lower GI cancer </w:t>
      </w:r>
      <w:r w:rsidR="00ED53F0" w:rsidRPr="00846C1D">
        <w:rPr>
          <w:rFonts w:ascii="Arial" w:hAnsi="Arial" w:cs="Arial"/>
          <w:sz w:val="20"/>
        </w:rPr>
        <w:t xml:space="preserve">in </w:t>
      </w:r>
      <w:r w:rsidR="00ED53F0">
        <w:rPr>
          <w:rFonts w:ascii="Arial" w:hAnsi="Arial" w:cs="Arial"/>
          <w:sz w:val="20"/>
        </w:rPr>
        <w:t>Sutton &amp; Merton</w:t>
      </w:r>
      <w:r w:rsidR="00ED53F0" w:rsidRPr="00846C1D">
        <w:rPr>
          <w:rFonts w:ascii="Arial" w:hAnsi="Arial" w:cs="Arial"/>
          <w:sz w:val="20"/>
        </w:rPr>
        <w:t xml:space="preserve"> for 2009 was </w:t>
      </w:r>
      <w:r w:rsidR="00ED53F0">
        <w:rPr>
          <w:rFonts w:ascii="Arial" w:hAnsi="Arial" w:cs="Arial"/>
          <w:sz w:val="20"/>
        </w:rPr>
        <w:t>162.77</w:t>
      </w:r>
      <w:r w:rsidR="00ED53F0" w:rsidRPr="00846C1D">
        <w:rPr>
          <w:rFonts w:ascii="Arial" w:hAnsi="Arial" w:cs="Arial"/>
          <w:sz w:val="20"/>
        </w:rPr>
        <w:t xml:space="preserve"> per 100,000 </w:t>
      </w:r>
      <w:proofErr w:type="gramStart"/>
      <w:r w:rsidR="00ED53F0" w:rsidRPr="00846C1D">
        <w:rPr>
          <w:rFonts w:ascii="Arial" w:hAnsi="Arial" w:cs="Arial"/>
          <w:sz w:val="20"/>
        </w:rPr>
        <w:t>population</w:t>
      </w:r>
      <w:proofErr w:type="gramEnd"/>
      <w:r w:rsidR="00ED53F0">
        <w:rPr>
          <w:rFonts w:ascii="Arial" w:hAnsi="Arial" w:cs="Arial"/>
          <w:sz w:val="20"/>
        </w:rPr>
        <w:t xml:space="preserve">. </w:t>
      </w:r>
      <w:r w:rsidR="00C7761A">
        <w:rPr>
          <w:rFonts w:ascii="Arial" w:hAnsi="Arial" w:cs="Arial"/>
          <w:sz w:val="20"/>
          <w:szCs w:val="20"/>
        </w:rPr>
        <w:t>T</w:t>
      </w:r>
      <w:r w:rsidR="00E52959">
        <w:rPr>
          <w:rFonts w:ascii="Arial" w:hAnsi="Arial" w:cs="Arial"/>
          <w:sz w:val="20"/>
          <w:szCs w:val="20"/>
        </w:rPr>
        <w:t xml:space="preserve">he proportion of </w:t>
      </w:r>
      <w:r w:rsidR="00C7761A">
        <w:rPr>
          <w:rFonts w:ascii="Arial" w:hAnsi="Arial" w:cs="Arial"/>
          <w:sz w:val="20"/>
          <w:szCs w:val="20"/>
        </w:rPr>
        <w:t xml:space="preserve">urgent </w:t>
      </w:r>
      <w:r w:rsidR="00E52959">
        <w:rPr>
          <w:rFonts w:ascii="Arial" w:hAnsi="Arial" w:cs="Arial"/>
          <w:sz w:val="20"/>
          <w:szCs w:val="20"/>
        </w:rPr>
        <w:t>referrals resulting in a cancer diagnosis was above the national rate at 9.2%.</w:t>
      </w:r>
    </w:p>
    <w:p w:rsidR="00E52959" w:rsidRDefault="00E52959" w:rsidP="00566BE3">
      <w:pPr>
        <w:rPr>
          <w:rFonts w:ascii="Arial" w:hAnsi="Arial" w:cs="Arial"/>
          <w:b/>
          <w:sz w:val="20"/>
          <w:szCs w:val="20"/>
        </w:rPr>
      </w:pPr>
      <w:r>
        <w:rPr>
          <w:rFonts w:ascii="Arial" w:hAnsi="Arial" w:cs="Arial"/>
          <w:b/>
          <w:sz w:val="20"/>
          <w:szCs w:val="20"/>
        </w:rPr>
        <w:t>Wandsworth</w:t>
      </w:r>
    </w:p>
    <w:p w:rsidR="00A00017" w:rsidRDefault="00451703" w:rsidP="00566BE3">
      <w:pPr>
        <w:rPr>
          <w:rFonts w:ascii="Arial" w:hAnsi="Arial" w:cs="Arial"/>
          <w:sz w:val="20"/>
          <w:szCs w:val="20"/>
        </w:rPr>
      </w:pPr>
      <w:r>
        <w:rPr>
          <w:rFonts w:ascii="Arial" w:hAnsi="Arial" w:cs="Arial"/>
          <w:sz w:val="20"/>
          <w:szCs w:val="20"/>
        </w:rPr>
        <w:t xml:space="preserve">Wandsworth has a similar </w:t>
      </w:r>
      <w:r w:rsidR="00FD5FC2">
        <w:rPr>
          <w:rFonts w:ascii="Arial" w:hAnsi="Arial" w:cs="Arial"/>
          <w:sz w:val="20"/>
          <w:szCs w:val="20"/>
        </w:rPr>
        <w:t xml:space="preserve">estimated </w:t>
      </w:r>
      <w:r>
        <w:rPr>
          <w:rFonts w:ascii="Arial" w:hAnsi="Arial" w:cs="Arial"/>
          <w:sz w:val="20"/>
          <w:szCs w:val="20"/>
        </w:rPr>
        <w:t>proportion</w:t>
      </w:r>
      <w:r w:rsidRPr="00451703">
        <w:rPr>
          <w:rFonts w:ascii="Arial" w:hAnsi="Arial" w:cs="Arial"/>
          <w:sz w:val="20"/>
          <w:szCs w:val="20"/>
        </w:rPr>
        <w:t xml:space="preserve"> </w:t>
      </w:r>
      <w:r>
        <w:rPr>
          <w:rFonts w:ascii="Arial" w:hAnsi="Arial" w:cs="Arial"/>
          <w:sz w:val="20"/>
          <w:szCs w:val="20"/>
        </w:rPr>
        <w:t>of the population, compared to the other SWL PCTs, consuming sufficient amounts of fruit and vegetables a</w:t>
      </w:r>
      <w:r w:rsidR="00FD5FC2">
        <w:rPr>
          <w:rFonts w:ascii="Arial" w:hAnsi="Arial" w:cs="Arial"/>
          <w:sz w:val="20"/>
          <w:szCs w:val="20"/>
        </w:rPr>
        <w:t xml:space="preserve">t 31.1% of the total population, while the proportion binge drinking is also similar at 13.9% (lower than national average). Twenty-nine percent of small areas in Wandsworth are classed as highly deprived, the second highest proportion after </w:t>
      </w:r>
      <w:r w:rsidR="006F725A">
        <w:rPr>
          <w:rFonts w:ascii="Arial" w:hAnsi="Arial" w:cs="Arial"/>
          <w:sz w:val="20"/>
          <w:szCs w:val="20"/>
        </w:rPr>
        <w:t>Croydon</w:t>
      </w:r>
      <w:r w:rsidR="00FD5FC2">
        <w:rPr>
          <w:rFonts w:ascii="Arial" w:hAnsi="Arial" w:cs="Arial"/>
          <w:sz w:val="20"/>
          <w:szCs w:val="20"/>
        </w:rPr>
        <w:t>.</w:t>
      </w:r>
      <w:r w:rsidR="00EC1D7B">
        <w:rPr>
          <w:rFonts w:ascii="Arial" w:hAnsi="Arial" w:cs="Arial"/>
          <w:sz w:val="20"/>
          <w:szCs w:val="20"/>
        </w:rPr>
        <w:t xml:space="preserve"> Wandsworth is characterised by a young population and as su</w:t>
      </w:r>
      <w:r w:rsidR="006F725A">
        <w:rPr>
          <w:rFonts w:ascii="Arial" w:hAnsi="Arial" w:cs="Arial"/>
          <w:sz w:val="20"/>
          <w:szCs w:val="20"/>
        </w:rPr>
        <w:t>ch only 8.2% of the population is</w:t>
      </w:r>
      <w:r w:rsidR="00EC1D7B">
        <w:rPr>
          <w:rFonts w:ascii="Arial" w:hAnsi="Arial" w:cs="Arial"/>
          <w:sz w:val="20"/>
          <w:szCs w:val="20"/>
        </w:rPr>
        <w:t xml:space="preserve"> currently projected to be aged 65 or over, while this population group is only projected to increase by 0.4% over the next twenty years.</w:t>
      </w:r>
      <w:r w:rsidR="00BD0239">
        <w:rPr>
          <w:rFonts w:ascii="Arial" w:hAnsi="Arial" w:cs="Arial"/>
          <w:sz w:val="20"/>
          <w:szCs w:val="20"/>
        </w:rPr>
        <w:t xml:space="preserve"> </w:t>
      </w:r>
    </w:p>
    <w:p w:rsidR="00E52959" w:rsidRDefault="00BD0239" w:rsidP="00566BE3">
      <w:pPr>
        <w:rPr>
          <w:rFonts w:ascii="Arial" w:hAnsi="Arial" w:cs="Arial"/>
          <w:sz w:val="20"/>
          <w:szCs w:val="20"/>
        </w:rPr>
      </w:pPr>
      <w:r>
        <w:rPr>
          <w:rFonts w:ascii="Arial" w:hAnsi="Arial" w:cs="Arial"/>
          <w:sz w:val="20"/>
          <w:szCs w:val="20"/>
        </w:rPr>
        <w:t xml:space="preserve">The uptake of bowel screening in the PCT is low and is the lowest in the sector at 38.6%, over 20% lower than the target of 60%. Male and female incidence is comparable to other PCTs in the sector. Most male tumours have been staged at stage 2 while females record a highest proportion at stage 4. Twenty percent of male tumours were not staged by the </w:t>
      </w:r>
      <w:proofErr w:type="gramStart"/>
      <w:r>
        <w:rPr>
          <w:rFonts w:ascii="Arial" w:hAnsi="Arial" w:cs="Arial"/>
          <w:sz w:val="20"/>
          <w:szCs w:val="20"/>
        </w:rPr>
        <w:t>TCR,</w:t>
      </w:r>
      <w:proofErr w:type="gramEnd"/>
      <w:r>
        <w:rPr>
          <w:rFonts w:ascii="Arial" w:hAnsi="Arial" w:cs="Arial"/>
          <w:sz w:val="20"/>
          <w:szCs w:val="20"/>
        </w:rPr>
        <w:t xml:space="preserve"> while a quarter of females tumours were not. The one-year survival rate is 72.5%, while male and female mortality is the highest in SWL. The decrease in the mortality rate between 1993</w:t>
      </w:r>
      <w:r w:rsidR="006F725A">
        <w:rPr>
          <w:rFonts w:ascii="Arial" w:hAnsi="Arial" w:cs="Arial"/>
          <w:sz w:val="20"/>
          <w:szCs w:val="20"/>
        </w:rPr>
        <w:t>-95</w:t>
      </w:r>
      <w:r>
        <w:rPr>
          <w:rFonts w:ascii="Arial" w:hAnsi="Arial" w:cs="Arial"/>
          <w:sz w:val="20"/>
          <w:szCs w:val="20"/>
        </w:rPr>
        <w:t xml:space="preserve"> and 20</w:t>
      </w:r>
      <w:r w:rsidR="006F725A">
        <w:rPr>
          <w:rFonts w:ascii="Arial" w:hAnsi="Arial" w:cs="Arial"/>
          <w:sz w:val="20"/>
          <w:szCs w:val="20"/>
        </w:rPr>
        <w:t>06-</w:t>
      </w:r>
      <w:r>
        <w:rPr>
          <w:rFonts w:ascii="Arial" w:hAnsi="Arial" w:cs="Arial"/>
          <w:sz w:val="20"/>
          <w:szCs w:val="20"/>
        </w:rPr>
        <w:t>08 is comparable to the other PCTs</w:t>
      </w:r>
      <w:r w:rsidR="00580938">
        <w:rPr>
          <w:rFonts w:ascii="Arial" w:hAnsi="Arial" w:cs="Arial"/>
          <w:sz w:val="20"/>
          <w:szCs w:val="20"/>
        </w:rPr>
        <w:t xml:space="preserve">, at 20.1% for males and 23.9% for females. Again, </w:t>
      </w:r>
      <w:proofErr w:type="spellStart"/>
      <w:r w:rsidR="00580938">
        <w:rPr>
          <w:rFonts w:ascii="Arial" w:hAnsi="Arial" w:cs="Arial"/>
          <w:sz w:val="20"/>
          <w:szCs w:val="20"/>
        </w:rPr>
        <w:t>Wandsworth’s</w:t>
      </w:r>
      <w:proofErr w:type="spellEnd"/>
      <w:r w:rsidR="00580938">
        <w:rPr>
          <w:rFonts w:ascii="Arial" w:hAnsi="Arial" w:cs="Arial"/>
          <w:sz w:val="20"/>
          <w:szCs w:val="20"/>
        </w:rPr>
        <w:t xml:space="preserve"> emergency bed day rate is higher than the national average at 415 per 100,000. </w:t>
      </w:r>
      <w:r w:rsidR="00A21AC0">
        <w:rPr>
          <w:rFonts w:ascii="Arial" w:hAnsi="Arial" w:cs="Arial"/>
          <w:sz w:val="20"/>
          <w:szCs w:val="20"/>
        </w:rPr>
        <w:t xml:space="preserve">The crude rate for all cancer emergency admissions was 634.87 per 100,000 </w:t>
      </w:r>
      <w:proofErr w:type="gramStart"/>
      <w:r w:rsidR="00A21AC0">
        <w:rPr>
          <w:rFonts w:ascii="Arial" w:hAnsi="Arial" w:cs="Arial"/>
          <w:sz w:val="20"/>
          <w:szCs w:val="20"/>
        </w:rPr>
        <w:t>population</w:t>
      </w:r>
      <w:proofErr w:type="gramEnd"/>
      <w:r w:rsidR="00A21AC0">
        <w:rPr>
          <w:rFonts w:ascii="Arial" w:hAnsi="Arial" w:cs="Arial"/>
          <w:sz w:val="20"/>
          <w:szCs w:val="20"/>
        </w:rPr>
        <w:t xml:space="preserve">. </w:t>
      </w:r>
      <w:r w:rsidR="00D73BFA">
        <w:rPr>
          <w:rFonts w:ascii="Arial" w:hAnsi="Arial" w:cs="Arial"/>
          <w:sz w:val="20"/>
          <w:szCs w:val="20"/>
        </w:rPr>
        <w:t xml:space="preserve">Wandsworth had a high proportion of diagnosed </w:t>
      </w:r>
      <w:r w:rsidR="00A21AC0">
        <w:rPr>
          <w:rFonts w:ascii="Arial" w:hAnsi="Arial" w:cs="Arial"/>
          <w:sz w:val="20"/>
          <w:szCs w:val="20"/>
        </w:rPr>
        <w:t xml:space="preserve">lower GI </w:t>
      </w:r>
      <w:r w:rsidR="00332F01">
        <w:rPr>
          <w:rFonts w:ascii="Arial" w:hAnsi="Arial" w:cs="Arial"/>
          <w:sz w:val="20"/>
          <w:szCs w:val="20"/>
        </w:rPr>
        <w:t xml:space="preserve">cancer </w:t>
      </w:r>
      <w:r w:rsidR="00D73BFA">
        <w:rPr>
          <w:rFonts w:ascii="Arial" w:hAnsi="Arial" w:cs="Arial"/>
          <w:sz w:val="20"/>
          <w:szCs w:val="20"/>
        </w:rPr>
        <w:t xml:space="preserve">cases, 61.7%, </w:t>
      </w:r>
      <w:proofErr w:type="gramStart"/>
      <w:r w:rsidR="00D73BFA">
        <w:rPr>
          <w:rFonts w:ascii="Arial" w:hAnsi="Arial" w:cs="Arial"/>
          <w:sz w:val="20"/>
          <w:szCs w:val="20"/>
        </w:rPr>
        <w:t>come</w:t>
      </w:r>
      <w:proofErr w:type="gramEnd"/>
      <w:r w:rsidR="00D73BFA">
        <w:rPr>
          <w:rFonts w:ascii="Arial" w:hAnsi="Arial" w:cs="Arial"/>
          <w:sz w:val="20"/>
          <w:szCs w:val="20"/>
        </w:rPr>
        <w:t xml:space="preserve"> throug</w:t>
      </w:r>
      <w:r w:rsidR="009203A6">
        <w:rPr>
          <w:rFonts w:ascii="Arial" w:hAnsi="Arial" w:cs="Arial"/>
          <w:sz w:val="20"/>
          <w:szCs w:val="20"/>
        </w:rPr>
        <w:t>h the non-urgent referral route.</w:t>
      </w:r>
      <w:r w:rsidR="00D73BFA">
        <w:rPr>
          <w:rFonts w:ascii="Arial" w:hAnsi="Arial" w:cs="Arial"/>
          <w:sz w:val="20"/>
          <w:szCs w:val="20"/>
        </w:rPr>
        <w:t xml:space="preserve"> </w:t>
      </w:r>
      <w:r w:rsidR="009203A6">
        <w:rPr>
          <w:rFonts w:ascii="Arial" w:hAnsi="Arial" w:cs="Arial"/>
          <w:sz w:val="20"/>
        </w:rPr>
        <w:t>The PCT average for urgent 2WW refer</w:t>
      </w:r>
      <w:r w:rsidR="004E3030">
        <w:rPr>
          <w:rFonts w:ascii="Arial" w:hAnsi="Arial" w:cs="Arial"/>
          <w:sz w:val="20"/>
        </w:rPr>
        <w:t>rals</w:t>
      </w:r>
      <w:r w:rsidR="009203A6">
        <w:rPr>
          <w:rFonts w:ascii="Arial" w:hAnsi="Arial" w:cs="Arial"/>
          <w:sz w:val="20"/>
        </w:rPr>
        <w:t xml:space="preserve"> for suspected lower GI cancer is 142.48 per 100,000 </w:t>
      </w:r>
      <w:proofErr w:type="gramStart"/>
      <w:r w:rsidR="009203A6">
        <w:rPr>
          <w:rFonts w:ascii="Arial" w:hAnsi="Arial" w:cs="Arial"/>
          <w:sz w:val="20"/>
        </w:rPr>
        <w:t>population</w:t>
      </w:r>
      <w:proofErr w:type="gramEnd"/>
      <w:r w:rsidR="009203A6">
        <w:rPr>
          <w:rFonts w:ascii="Arial" w:hAnsi="Arial" w:cs="Arial"/>
          <w:sz w:val="20"/>
        </w:rPr>
        <w:t xml:space="preserve">. </w:t>
      </w:r>
      <w:r w:rsidR="00D73BFA">
        <w:rPr>
          <w:rFonts w:ascii="Arial" w:hAnsi="Arial" w:cs="Arial"/>
          <w:sz w:val="20"/>
          <w:szCs w:val="20"/>
        </w:rPr>
        <w:t xml:space="preserve">Only 6.1% of referrals result in a cancer diagnosis, a proportion below the national average. </w:t>
      </w:r>
      <w:r w:rsidR="00580938">
        <w:rPr>
          <w:rFonts w:ascii="Arial" w:hAnsi="Arial" w:cs="Arial"/>
          <w:sz w:val="20"/>
          <w:szCs w:val="20"/>
        </w:rPr>
        <w:t>This low figure may indicate poor primary care interpretation of the 2 week referral of NICE Referral Guidelines and may require investigation.</w:t>
      </w:r>
    </w:p>
    <w:p w:rsidR="007B5BD5" w:rsidRDefault="007B5BD5" w:rsidP="00566BE3">
      <w:pPr>
        <w:rPr>
          <w:rFonts w:ascii="Arial" w:hAnsi="Arial" w:cs="Arial"/>
          <w:sz w:val="20"/>
          <w:szCs w:val="20"/>
        </w:rPr>
      </w:pPr>
    </w:p>
    <w:p w:rsidR="007B5BD5" w:rsidRDefault="007B5BD5" w:rsidP="00566BE3">
      <w:pPr>
        <w:rPr>
          <w:rFonts w:ascii="Arial" w:hAnsi="Arial" w:cs="Arial"/>
          <w:sz w:val="20"/>
          <w:szCs w:val="20"/>
        </w:rPr>
      </w:pPr>
    </w:p>
    <w:p w:rsidR="007B5BD5" w:rsidRDefault="007B5BD5" w:rsidP="00566BE3">
      <w:pPr>
        <w:rPr>
          <w:rFonts w:ascii="Arial" w:hAnsi="Arial" w:cs="Arial"/>
          <w:sz w:val="20"/>
          <w:szCs w:val="20"/>
        </w:rPr>
      </w:pPr>
    </w:p>
    <w:p w:rsidR="007B5BD5" w:rsidRDefault="007B5BD5" w:rsidP="00566BE3">
      <w:pPr>
        <w:rPr>
          <w:rFonts w:ascii="Arial" w:hAnsi="Arial" w:cs="Arial"/>
          <w:sz w:val="20"/>
          <w:szCs w:val="20"/>
        </w:rPr>
      </w:pPr>
    </w:p>
    <w:p w:rsidR="007B5BD5" w:rsidRDefault="007B5BD5" w:rsidP="00566BE3">
      <w:pPr>
        <w:rPr>
          <w:rFonts w:ascii="Arial" w:hAnsi="Arial" w:cs="Arial"/>
          <w:sz w:val="20"/>
          <w:szCs w:val="20"/>
        </w:rPr>
      </w:pPr>
    </w:p>
    <w:p w:rsidR="007B5BD5" w:rsidRDefault="007B5BD5" w:rsidP="00566BE3">
      <w:pPr>
        <w:rPr>
          <w:rFonts w:ascii="Arial" w:hAnsi="Arial" w:cs="Arial"/>
          <w:sz w:val="20"/>
          <w:szCs w:val="20"/>
        </w:rPr>
      </w:pPr>
    </w:p>
    <w:p w:rsidR="007B5BD5" w:rsidRDefault="007B5BD5" w:rsidP="00566BE3">
      <w:pPr>
        <w:rPr>
          <w:rFonts w:ascii="Arial" w:hAnsi="Arial" w:cs="Arial"/>
          <w:sz w:val="20"/>
          <w:szCs w:val="20"/>
        </w:rPr>
      </w:pPr>
    </w:p>
    <w:p w:rsidR="007B5BD5" w:rsidRDefault="007B5BD5" w:rsidP="00566BE3">
      <w:pPr>
        <w:rPr>
          <w:rFonts w:ascii="Arial" w:hAnsi="Arial" w:cs="Arial"/>
          <w:sz w:val="20"/>
          <w:szCs w:val="20"/>
        </w:rPr>
      </w:pPr>
    </w:p>
    <w:p w:rsidR="007B5BD5" w:rsidRDefault="007B5BD5" w:rsidP="00566BE3">
      <w:pPr>
        <w:rPr>
          <w:rFonts w:ascii="Arial" w:hAnsi="Arial" w:cs="Arial"/>
          <w:sz w:val="20"/>
          <w:szCs w:val="20"/>
        </w:rPr>
      </w:pPr>
    </w:p>
    <w:p w:rsidR="007B5BD5" w:rsidRDefault="007B5BD5" w:rsidP="00566BE3">
      <w:pPr>
        <w:rPr>
          <w:rFonts w:ascii="Arial" w:hAnsi="Arial" w:cs="Arial"/>
          <w:sz w:val="20"/>
          <w:szCs w:val="20"/>
        </w:rPr>
      </w:pPr>
    </w:p>
    <w:p w:rsidR="007B5BD5" w:rsidRDefault="007B5BD5" w:rsidP="00566BE3">
      <w:pPr>
        <w:rPr>
          <w:rFonts w:ascii="Arial" w:hAnsi="Arial" w:cs="Arial"/>
          <w:sz w:val="20"/>
          <w:szCs w:val="20"/>
        </w:rPr>
      </w:pPr>
    </w:p>
    <w:p w:rsidR="007B5BD5" w:rsidRDefault="007B5BD5" w:rsidP="00566BE3">
      <w:pPr>
        <w:rPr>
          <w:rFonts w:ascii="Arial" w:hAnsi="Arial" w:cs="Arial"/>
          <w:sz w:val="20"/>
          <w:szCs w:val="20"/>
        </w:rPr>
      </w:pPr>
    </w:p>
    <w:p w:rsidR="007B5BD5" w:rsidRDefault="007B5BD5" w:rsidP="00566BE3">
      <w:pPr>
        <w:rPr>
          <w:rFonts w:ascii="Arial" w:hAnsi="Arial" w:cs="Arial"/>
          <w:sz w:val="20"/>
          <w:szCs w:val="20"/>
        </w:rPr>
      </w:pPr>
    </w:p>
    <w:p w:rsidR="007B5BD5" w:rsidRDefault="007B5BD5" w:rsidP="00566BE3">
      <w:pPr>
        <w:rPr>
          <w:rFonts w:ascii="Arial" w:hAnsi="Arial" w:cs="Arial"/>
          <w:sz w:val="20"/>
          <w:szCs w:val="20"/>
        </w:rPr>
      </w:pPr>
    </w:p>
    <w:p w:rsidR="002A56A8" w:rsidRPr="002A56A8" w:rsidRDefault="002A56A8" w:rsidP="006F725A">
      <w:pPr>
        <w:pStyle w:val="Caption"/>
        <w:spacing w:after="0"/>
        <w:rPr>
          <w:rFonts w:ascii="Arial" w:hAnsi="Arial" w:cs="Arial"/>
          <w:color w:val="auto"/>
        </w:rPr>
      </w:pPr>
      <w:bookmarkStart w:id="119" w:name="_Ref272490877"/>
      <w:r w:rsidRPr="002A56A8">
        <w:rPr>
          <w:rFonts w:ascii="Arial" w:hAnsi="Arial" w:cs="Arial"/>
          <w:color w:val="auto"/>
        </w:rPr>
        <w:t xml:space="preserve">Figure </w:t>
      </w:r>
      <w:r w:rsidR="00AF55AD" w:rsidRPr="002A56A8">
        <w:rPr>
          <w:rFonts w:ascii="Arial" w:hAnsi="Arial" w:cs="Arial"/>
          <w:color w:val="auto"/>
        </w:rPr>
        <w:fldChar w:fldCharType="begin"/>
      </w:r>
      <w:r w:rsidRPr="002A56A8">
        <w:rPr>
          <w:rFonts w:ascii="Arial" w:hAnsi="Arial" w:cs="Arial"/>
          <w:color w:val="auto"/>
        </w:rPr>
        <w:instrText xml:space="preserve"> SEQ Figure \* ARABIC </w:instrText>
      </w:r>
      <w:r w:rsidR="00AF55AD" w:rsidRPr="002A56A8">
        <w:rPr>
          <w:rFonts w:ascii="Arial" w:hAnsi="Arial" w:cs="Arial"/>
          <w:color w:val="auto"/>
        </w:rPr>
        <w:fldChar w:fldCharType="separate"/>
      </w:r>
      <w:r w:rsidR="004E6A50">
        <w:rPr>
          <w:rFonts w:ascii="Arial" w:hAnsi="Arial" w:cs="Arial"/>
          <w:noProof/>
          <w:color w:val="auto"/>
        </w:rPr>
        <w:t>40</w:t>
      </w:r>
      <w:r w:rsidR="00AF55AD" w:rsidRPr="002A56A8">
        <w:rPr>
          <w:rFonts w:ascii="Arial" w:hAnsi="Arial" w:cs="Arial"/>
          <w:color w:val="auto"/>
        </w:rPr>
        <w:fldChar w:fldCharType="end"/>
      </w:r>
      <w:bookmarkEnd w:id="119"/>
      <w:r w:rsidRPr="002A56A8">
        <w:rPr>
          <w:rFonts w:ascii="Arial" w:hAnsi="Arial" w:cs="Arial"/>
          <w:color w:val="auto"/>
        </w:rPr>
        <w:t xml:space="preserve">: Matrix of key </w:t>
      </w:r>
      <w:r w:rsidR="007204F2">
        <w:rPr>
          <w:rFonts w:ascii="Arial" w:hAnsi="Arial" w:cs="Arial"/>
          <w:color w:val="auto"/>
        </w:rPr>
        <w:t>colorectal</w:t>
      </w:r>
      <w:r w:rsidRPr="002A56A8">
        <w:rPr>
          <w:rFonts w:ascii="Arial" w:hAnsi="Arial" w:cs="Arial"/>
          <w:color w:val="auto"/>
        </w:rPr>
        <w:t xml:space="preserve"> cancer figures for South West London.</w:t>
      </w:r>
    </w:p>
    <w:tbl>
      <w:tblPr>
        <w:tblW w:w="10774" w:type="dxa"/>
        <w:tblInd w:w="-88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1900"/>
        <w:gridCol w:w="1361"/>
        <w:gridCol w:w="1276"/>
        <w:gridCol w:w="1263"/>
        <w:gridCol w:w="808"/>
        <w:gridCol w:w="747"/>
        <w:gridCol w:w="1293"/>
        <w:gridCol w:w="992"/>
        <w:gridCol w:w="1134"/>
      </w:tblGrid>
      <w:tr w:rsidR="002A56A8" w:rsidRPr="002A56A8" w:rsidTr="00E85DAA">
        <w:trPr>
          <w:trHeight w:val="315"/>
        </w:trPr>
        <w:tc>
          <w:tcPr>
            <w:tcW w:w="1900" w:type="dxa"/>
            <w:shd w:val="clear" w:color="auto" w:fill="auto"/>
            <w:noWrap/>
            <w:vAlign w:val="bottom"/>
            <w:hideMark/>
          </w:tcPr>
          <w:p w:rsidR="002A56A8" w:rsidRPr="002A56A8" w:rsidRDefault="002A56A8" w:rsidP="002A56A8">
            <w:pPr>
              <w:spacing w:after="0" w:line="240" w:lineRule="auto"/>
              <w:rPr>
                <w:rFonts w:ascii="Calibri" w:eastAsia="Times New Roman" w:hAnsi="Calibri" w:cs="Times New Roman"/>
                <w:color w:val="000000"/>
                <w:sz w:val="16"/>
                <w:szCs w:val="16"/>
                <w:lang w:eastAsia="en-GB"/>
              </w:rPr>
            </w:pPr>
          </w:p>
        </w:tc>
        <w:tc>
          <w:tcPr>
            <w:tcW w:w="1361" w:type="dxa"/>
            <w:shd w:val="clear" w:color="auto" w:fill="auto"/>
            <w:noWrap/>
            <w:vAlign w:val="bottom"/>
            <w:hideMark/>
          </w:tcPr>
          <w:p w:rsidR="002A56A8" w:rsidRPr="002A56A8" w:rsidRDefault="002A56A8" w:rsidP="002A56A8">
            <w:pPr>
              <w:spacing w:after="0" w:line="240" w:lineRule="auto"/>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Croydon</w:t>
            </w:r>
          </w:p>
        </w:tc>
        <w:tc>
          <w:tcPr>
            <w:tcW w:w="1276" w:type="dxa"/>
            <w:shd w:val="clear" w:color="auto" w:fill="auto"/>
            <w:noWrap/>
            <w:vAlign w:val="bottom"/>
            <w:hideMark/>
          </w:tcPr>
          <w:p w:rsidR="002A56A8" w:rsidRPr="002A56A8" w:rsidRDefault="002A56A8" w:rsidP="002A56A8">
            <w:pPr>
              <w:spacing w:after="0" w:line="240" w:lineRule="auto"/>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Kingston</w:t>
            </w:r>
          </w:p>
        </w:tc>
        <w:tc>
          <w:tcPr>
            <w:tcW w:w="1263" w:type="dxa"/>
            <w:shd w:val="clear" w:color="auto" w:fill="auto"/>
            <w:noWrap/>
            <w:vAlign w:val="bottom"/>
            <w:hideMark/>
          </w:tcPr>
          <w:p w:rsidR="002A56A8" w:rsidRPr="002A56A8" w:rsidRDefault="002A56A8" w:rsidP="002A56A8">
            <w:pPr>
              <w:spacing w:after="0" w:line="240" w:lineRule="auto"/>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Richmond &amp; Twickenham</w:t>
            </w:r>
          </w:p>
        </w:tc>
        <w:tc>
          <w:tcPr>
            <w:tcW w:w="1555" w:type="dxa"/>
            <w:gridSpan w:val="2"/>
            <w:shd w:val="clear" w:color="auto" w:fill="auto"/>
            <w:noWrap/>
            <w:vAlign w:val="bottom"/>
            <w:hideMark/>
          </w:tcPr>
          <w:p w:rsidR="002A56A8" w:rsidRPr="002A56A8" w:rsidRDefault="002A56A8" w:rsidP="002A56A8">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Sutton &amp; Merton</w:t>
            </w:r>
          </w:p>
        </w:tc>
        <w:tc>
          <w:tcPr>
            <w:tcW w:w="1293" w:type="dxa"/>
            <w:shd w:val="clear" w:color="auto" w:fill="auto"/>
            <w:noWrap/>
            <w:vAlign w:val="bottom"/>
            <w:hideMark/>
          </w:tcPr>
          <w:p w:rsidR="002A56A8" w:rsidRPr="002A56A8" w:rsidRDefault="002A56A8" w:rsidP="002A56A8">
            <w:pPr>
              <w:spacing w:after="0" w:line="240" w:lineRule="auto"/>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Wandsworth</w:t>
            </w:r>
          </w:p>
        </w:tc>
        <w:tc>
          <w:tcPr>
            <w:tcW w:w="2126" w:type="dxa"/>
            <w:gridSpan w:val="2"/>
            <w:shd w:val="clear" w:color="auto" w:fill="auto"/>
            <w:noWrap/>
            <w:vAlign w:val="bottom"/>
            <w:hideMark/>
          </w:tcPr>
          <w:p w:rsidR="002A56A8" w:rsidRPr="002A56A8" w:rsidRDefault="002A56A8" w:rsidP="002A56A8">
            <w:pPr>
              <w:spacing w:after="0" w:line="240" w:lineRule="auto"/>
              <w:jc w:val="center"/>
              <w:rPr>
                <w:rFonts w:ascii="Calibri" w:eastAsia="Times New Roman" w:hAnsi="Calibri" w:cs="Times New Roman"/>
                <w:color w:val="000000"/>
                <w:lang w:eastAsia="en-GB"/>
              </w:rPr>
            </w:pPr>
            <w:r w:rsidRPr="002A56A8">
              <w:rPr>
                <w:rFonts w:ascii="Calibri" w:eastAsia="Times New Roman" w:hAnsi="Calibri" w:cs="Times New Roman"/>
                <w:color w:val="000000"/>
                <w:lang w:eastAsia="en-GB"/>
              </w:rPr>
              <w:t> </w:t>
            </w:r>
          </w:p>
        </w:tc>
      </w:tr>
      <w:tr w:rsidR="002A56A8" w:rsidRPr="002A56A8" w:rsidTr="00385D54">
        <w:trPr>
          <w:trHeight w:val="375"/>
        </w:trPr>
        <w:tc>
          <w:tcPr>
            <w:tcW w:w="1900" w:type="dxa"/>
            <w:shd w:val="clear" w:color="auto" w:fill="auto"/>
            <w:vAlign w:val="bottom"/>
            <w:hideMark/>
          </w:tcPr>
          <w:p w:rsidR="002A56A8" w:rsidRPr="002A56A8" w:rsidRDefault="00385D54" w:rsidP="00A07FD1">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 xml:space="preserve">Estimated fruit &amp; </w:t>
            </w:r>
            <w:proofErr w:type="spellStart"/>
            <w:r>
              <w:rPr>
                <w:rFonts w:ascii="Calibri" w:eastAsia="Times New Roman" w:hAnsi="Calibri" w:cs="Times New Roman"/>
                <w:color w:val="000000"/>
                <w:sz w:val="16"/>
                <w:szCs w:val="16"/>
                <w:lang w:eastAsia="en-GB"/>
              </w:rPr>
              <w:t>veg</w:t>
            </w:r>
            <w:proofErr w:type="spellEnd"/>
            <w:r w:rsidR="002A56A8" w:rsidRPr="002A56A8">
              <w:rPr>
                <w:rFonts w:ascii="Calibri" w:eastAsia="Times New Roman" w:hAnsi="Calibri" w:cs="Times New Roman"/>
                <w:color w:val="000000"/>
                <w:sz w:val="16"/>
                <w:szCs w:val="16"/>
                <w:lang w:eastAsia="en-GB"/>
              </w:rPr>
              <w:t xml:space="preserve"> consumption</w:t>
            </w:r>
            <w:r>
              <w:rPr>
                <w:rFonts w:ascii="Calibri" w:eastAsia="Times New Roman" w:hAnsi="Calibri" w:cs="Times New Roman"/>
                <w:color w:val="000000"/>
                <w:sz w:val="16"/>
                <w:szCs w:val="16"/>
                <w:lang w:eastAsia="en-GB"/>
              </w:rPr>
              <w:t xml:space="preserve"> (20</w:t>
            </w:r>
            <w:r w:rsidR="00A07FD1">
              <w:rPr>
                <w:rFonts w:ascii="Calibri" w:eastAsia="Times New Roman" w:hAnsi="Calibri" w:cs="Times New Roman"/>
                <w:color w:val="000000"/>
                <w:sz w:val="16"/>
                <w:szCs w:val="16"/>
                <w:lang w:eastAsia="en-GB"/>
              </w:rPr>
              <w:t>03-</w:t>
            </w:r>
            <w:r>
              <w:rPr>
                <w:rFonts w:ascii="Calibri" w:eastAsia="Times New Roman" w:hAnsi="Calibri" w:cs="Times New Roman"/>
                <w:color w:val="000000"/>
                <w:sz w:val="16"/>
                <w:szCs w:val="16"/>
                <w:lang w:eastAsia="en-GB"/>
              </w:rPr>
              <w:t>05)</w:t>
            </w:r>
          </w:p>
        </w:tc>
        <w:tc>
          <w:tcPr>
            <w:tcW w:w="1361" w:type="dxa"/>
            <w:shd w:val="clear" w:color="auto" w:fill="FF0000"/>
            <w:noWrap/>
            <w:vAlign w:val="center"/>
            <w:hideMark/>
          </w:tcPr>
          <w:p w:rsidR="002A56A8" w:rsidRPr="002A56A8" w:rsidRDefault="002A56A8" w:rsidP="008F7947">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27.8%</w:t>
            </w:r>
          </w:p>
        </w:tc>
        <w:tc>
          <w:tcPr>
            <w:tcW w:w="1276" w:type="dxa"/>
            <w:shd w:val="clear" w:color="auto" w:fill="auto"/>
            <w:noWrap/>
            <w:vAlign w:val="center"/>
            <w:hideMark/>
          </w:tcPr>
          <w:p w:rsidR="002A56A8" w:rsidRPr="002A56A8" w:rsidRDefault="002A56A8" w:rsidP="008F7947">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33.4%</w:t>
            </w:r>
          </w:p>
        </w:tc>
        <w:tc>
          <w:tcPr>
            <w:tcW w:w="1263" w:type="dxa"/>
            <w:shd w:val="clear" w:color="auto" w:fill="00B050"/>
            <w:noWrap/>
            <w:vAlign w:val="center"/>
            <w:hideMark/>
          </w:tcPr>
          <w:p w:rsidR="002A56A8" w:rsidRPr="002A56A8" w:rsidRDefault="002A56A8" w:rsidP="008F7947">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37.1%</w:t>
            </w:r>
          </w:p>
        </w:tc>
        <w:tc>
          <w:tcPr>
            <w:tcW w:w="1555" w:type="dxa"/>
            <w:gridSpan w:val="2"/>
            <w:shd w:val="clear" w:color="auto" w:fill="auto"/>
            <w:noWrap/>
            <w:vAlign w:val="center"/>
            <w:hideMark/>
          </w:tcPr>
          <w:p w:rsidR="002A56A8" w:rsidRPr="002A56A8" w:rsidRDefault="002A56A8" w:rsidP="008F7947">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30.4%</w:t>
            </w:r>
          </w:p>
        </w:tc>
        <w:tc>
          <w:tcPr>
            <w:tcW w:w="1293" w:type="dxa"/>
            <w:shd w:val="clear" w:color="auto" w:fill="auto"/>
            <w:noWrap/>
            <w:vAlign w:val="center"/>
            <w:hideMark/>
          </w:tcPr>
          <w:p w:rsidR="002A56A8" w:rsidRPr="002A56A8" w:rsidRDefault="002A56A8" w:rsidP="008F7947">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31.1%</w:t>
            </w:r>
          </w:p>
        </w:tc>
        <w:tc>
          <w:tcPr>
            <w:tcW w:w="992" w:type="dxa"/>
            <w:shd w:val="clear" w:color="auto" w:fill="auto"/>
            <w:noWrap/>
            <w:vAlign w:val="bottom"/>
            <w:hideMark/>
          </w:tcPr>
          <w:p w:rsidR="002A56A8" w:rsidRPr="002A56A8" w:rsidRDefault="002A56A8" w:rsidP="002A56A8">
            <w:pPr>
              <w:spacing w:after="0" w:line="240" w:lineRule="auto"/>
              <w:jc w:val="center"/>
              <w:rPr>
                <w:rFonts w:ascii="Calibri" w:eastAsia="Times New Roman" w:hAnsi="Calibri" w:cs="Times New Roman"/>
                <w:color w:val="000000"/>
                <w:lang w:eastAsia="en-GB"/>
              </w:rPr>
            </w:pPr>
            <w:r w:rsidRPr="002A56A8">
              <w:rPr>
                <w:rFonts w:ascii="Calibri" w:eastAsia="Times New Roman" w:hAnsi="Calibri" w:cs="Times New Roman"/>
                <w:color w:val="000000"/>
                <w:lang w:eastAsia="en-GB"/>
              </w:rPr>
              <w:t> </w:t>
            </w:r>
          </w:p>
        </w:tc>
        <w:tc>
          <w:tcPr>
            <w:tcW w:w="1134" w:type="dxa"/>
            <w:shd w:val="clear" w:color="auto" w:fill="auto"/>
            <w:noWrap/>
            <w:vAlign w:val="bottom"/>
            <w:hideMark/>
          </w:tcPr>
          <w:p w:rsidR="002A56A8" w:rsidRPr="002A56A8" w:rsidRDefault="002A56A8" w:rsidP="002A56A8">
            <w:pPr>
              <w:spacing w:after="0" w:line="240" w:lineRule="auto"/>
              <w:jc w:val="center"/>
              <w:rPr>
                <w:rFonts w:ascii="Calibri" w:eastAsia="Times New Roman" w:hAnsi="Calibri" w:cs="Times New Roman"/>
                <w:color w:val="000000"/>
                <w:lang w:eastAsia="en-GB"/>
              </w:rPr>
            </w:pPr>
            <w:r w:rsidRPr="002A56A8">
              <w:rPr>
                <w:rFonts w:ascii="Calibri" w:eastAsia="Times New Roman" w:hAnsi="Calibri" w:cs="Times New Roman"/>
                <w:color w:val="000000"/>
                <w:lang w:eastAsia="en-GB"/>
              </w:rPr>
              <w:t> </w:t>
            </w:r>
          </w:p>
        </w:tc>
      </w:tr>
      <w:tr w:rsidR="002A56A8" w:rsidRPr="002A56A8" w:rsidTr="00385D54">
        <w:trPr>
          <w:trHeight w:val="395"/>
        </w:trPr>
        <w:tc>
          <w:tcPr>
            <w:tcW w:w="1900" w:type="dxa"/>
            <w:shd w:val="clear" w:color="auto" w:fill="auto"/>
            <w:vAlign w:val="bottom"/>
            <w:hideMark/>
          </w:tcPr>
          <w:p w:rsidR="002A56A8" w:rsidRPr="002A56A8" w:rsidRDefault="00B200A5" w:rsidP="00A07FD1">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Estimated prevale</w:t>
            </w:r>
            <w:r w:rsidR="002A56A8" w:rsidRPr="002A56A8">
              <w:rPr>
                <w:rFonts w:ascii="Calibri" w:eastAsia="Times New Roman" w:hAnsi="Calibri" w:cs="Times New Roman"/>
                <w:color w:val="000000"/>
                <w:sz w:val="16"/>
                <w:szCs w:val="16"/>
                <w:lang w:eastAsia="en-GB"/>
              </w:rPr>
              <w:t>nce of binge drinking</w:t>
            </w:r>
            <w:r w:rsidR="00385D54">
              <w:rPr>
                <w:rFonts w:ascii="Calibri" w:eastAsia="Times New Roman" w:hAnsi="Calibri" w:cs="Times New Roman"/>
                <w:color w:val="000000"/>
                <w:sz w:val="16"/>
                <w:szCs w:val="16"/>
                <w:lang w:eastAsia="en-GB"/>
              </w:rPr>
              <w:t xml:space="preserve"> (20</w:t>
            </w:r>
            <w:r w:rsidR="00A07FD1">
              <w:rPr>
                <w:rFonts w:ascii="Calibri" w:eastAsia="Times New Roman" w:hAnsi="Calibri" w:cs="Times New Roman"/>
                <w:color w:val="000000"/>
                <w:sz w:val="16"/>
                <w:szCs w:val="16"/>
                <w:lang w:eastAsia="en-GB"/>
              </w:rPr>
              <w:t>03-</w:t>
            </w:r>
            <w:r w:rsidR="00385D54">
              <w:rPr>
                <w:rFonts w:ascii="Calibri" w:eastAsia="Times New Roman" w:hAnsi="Calibri" w:cs="Times New Roman"/>
                <w:color w:val="000000"/>
                <w:sz w:val="16"/>
                <w:szCs w:val="16"/>
                <w:lang w:eastAsia="en-GB"/>
              </w:rPr>
              <w:t>05)</w:t>
            </w:r>
          </w:p>
        </w:tc>
        <w:tc>
          <w:tcPr>
            <w:tcW w:w="1361" w:type="dxa"/>
            <w:shd w:val="clear" w:color="000000" w:fill="00B050"/>
            <w:noWrap/>
            <w:vAlign w:val="center"/>
            <w:hideMark/>
          </w:tcPr>
          <w:p w:rsidR="002A56A8" w:rsidRPr="002A56A8" w:rsidRDefault="002A56A8" w:rsidP="008F7947">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11.0%</w:t>
            </w:r>
          </w:p>
        </w:tc>
        <w:tc>
          <w:tcPr>
            <w:tcW w:w="1276" w:type="dxa"/>
            <w:shd w:val="clear" w:color="000000" w:fill="00B050"/>
            <w:noWrap/>
            <w:vAlign w:val="center"/>
            <w:hideMark/>
          </w:tcPr>
          <w:p w:rsidR="002A56A8" w:rsidRPr="002A56A8" w:rsidRDefault="002A56A8" w:rsidP="008F7947">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12.3%</w:t>
            </w:r>
          </w:p>
        </w:tc>
        <w:tc>
          <w:tcPr>
            <w:tcW w:w="1263" w:type="dxa"/>
            <w:shd w:val="clear" w:color="000000" w:fill="00B050"/>
            <w:noWrap/>
            <w:vAlign w:val="center"/>
            <w:hideMark/>
          </w:tcPr>
          <w:p w:rsidR="002A56A8" w:rsidRPr="002A56A8" w:rsidRDefault="002A56A8" w:rsidP="008F7947">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12.3%</w:t>
            </w:r>
          </w:p>
        </w:tc>
        <w:tc>
          <w:tcPr>
            <w:tcW w:w="808" w:type="dxa"/>
            <w:shd w:val="clear" w:color="000000" w:fill="00B050"/>
            <w:noWrap/>
            <w:vAlign w:val="center"/>
            <w:hideMark/>
          </w:tcPr>
          <w:p w:rsidR="002A56A8" w:rsidRPr="002A56A8" w:rsidRDefault="002A56A8" w:rsidP="008F7947">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11.4%</w:t>
            </w:r>
          </w:p>
        </w:tc>
        <w:tc>
          <w:tcPr>
            <w:tcW w:w="747" w:type="dxa"/>
            <w:shd w:val="clear" w:color="000000" w:fill="00B050"/>
            <w:noWrap/>
            <w:vAlign w:val="center"/>
            <w:hideMark/>
          </w:tcPr>
          <w:p w:rsidR="002A56A8" w:rsidRPr="002A56A8" w:rsidRDefault="002A56A8" w:rsidP="008F7947">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12.3%</w:t>
            </w:r>
          </w:p>
        </w:tc>
        <w:tc>
          <w:tcPr>
            <w:tcW w:w="1293" w:type="dxa"/>
            <w:shd w:val="clear" w:color="000000" w:fill="00B050"/>
            <w:noWrap/>
            <w:vAlign w:val="center"/>
            <w:hideMark/>
          </w:tcPr>
          <w:p w:rsidR="002A56A8" w:rsidRPr="002A56A8" w:rsidRDefault="002A56A8" w:rsidP="008F7947">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13.9%</w:t>
            </w:r>
          </w:p>
        </w:tc>
        <w:tc>
          <w:tcPr>
            <w:tcW w:w="992" w:type="dxa"/>
            <w:shd w:val="clear" w:color="000000" w:fill="00B050"/>
            <w:vAlign w:val="center"/>
            <w:hideMark/>
          </w:tcPr>
          <w:p w:rsidR="002A56A8" w:rsidRPr="002A56A8" w:rsidRDefault="002A56A8" w:rsidP="002A56A8">
            <w:pPr>
              <w:spacing w:after="0" w:line="240" w:lineRule="auto"/>
              <w:jc w:val="center"/>
              <w:rPr>
                <w:rFonts w:ascii="Calibri" w:eastAsia="Times New Roman" w:hAnsi="Calibri" w:cs="Times New Roman"/>
                <w:color w:val="000000"/>
                <w:sz w:val="12"/>
                <w:szCs w:val="12"/>
                <w:lang w:eastAsia="en-GB"/>
              </w:rPr>
            </w:pPr>
            <w:r w:rsidRPr="002A56A8">
              <w:rPr>
                <w:rFonts w:ascii="Calibri" w:eastAsia="Times New Roman" w:hAnsi="Calibri" w:cs="Times New Roman"/>
                <w:color w:val="000000"/>
                <w:sz w:val="12"/>
                <w:szCs w:val="12"/>
                <w:lang w:eastAsia="en-GB"/>
              </w:rPr>
              <w:t>Significantly lower national average</w:t>
            </w:r>
          </w:p>
        </w:tc>
        <w:tc>
          <w:tcPr>
            <w:tcW w:w="1134" w:type="dxa"/>
            <w:shd w:val="clear" w:color="auto" w:fill="auto"/>
            <w:noWrap/>
            <w:vAlign w:val="bottom"/>
            <w:hideMark/>
          </w:tcPr>
          <w:p w:rsidR="002A56A8" w:rsidRPr="002A56A8" w:rsidRDefault="002A56A8" w:rsidP="002A56A8">
            <w:pPr>
              <w:spacing w:after="0" w:line="240" w:lineRule="auto"/>
              <w:jc w:val="center"/>
              <w:rPr>
                <w:rFonts w:ascii="Calibri" w:eastAsia="Times New Roman" w:hAnsi="Calibri" w:cs="Times New Roman"/>
                <w:color w:val="000000"/>
                <w:lang w:eastAsia="en-GB"/>
              </w:rPr>
            </w:pPr>
            <w:r w:rsidRPr="002A56A8">
              <w:rPr>
                <w:rFonts w:ascii="Calibri" w:eastAsia="Times New Roman" w:hAnsi="Calibri" w:cs="Times New Roman"/>
                <w:color w:val="000000"/>
                <w:lang w:eastAsia="en-GB"/>
              </w:rPr>
              <w:t> </w:t>
            </w:r>
          </w:p>
        </w:tc>
      </w:tr>
      <w:tr w:rsidR="002A56A8" w:rsidRPr="002A56A8" w:rsidTr="008F7947">
        <w:trPr>
          <w:trHeight w:val="315"/>
        </w:trPr>
        <w:tc>
          <w:tcPr>
            <w:tcW w:w="1900" w:type="dxa"/>
            <w:shd w:val="clear" w:color="auto" w:fill="auto"/>
            <w:vAlign w:val="bottom"/>
            <w:hideMark/>
          </w:tcPr>
          <w:p w:rsidR="002A56A8" w:rsidRPr="002A56A8" w:rsidRDefault="002A56A8" w:rsidP="00A07FD1">
            <w:pPr>
              <w:spacing w:after="0" w:line="240" w:lineRule="auto"/>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Smoking prevalence</w:t>
            </w:r>
            <w:r w:rsidR="00A07FD1">
              <w:rPr>
                <w:rFonts w:ascii="Calibri" w:eastAsia="Times New Roman" w:hAnsi="Calibri" w:cs="Times New Roman"/>
                <w:color w:val="000000"/>
                <w:sz w:val="16"/>
                <w:szCs w:val="16"/>
                <w:lang w:eastAsia="en-GB"/>
              </w:rPr>
              <w:t xml:space="preserve"> (2003-05</w:t>
            </w:r>
            <w:r w:rsidR="00385D54">
              <w:rPr>
                <w:rFonts w:ascii="Calibri" w:eastAsia="Times New Roman" w:hAnsi="Calibri" w:cs="Times New Roman"/>
                <w:color w:val="000000"/>
                <w:sz w:val="16"/>
                <w:szCs w:val="16"/>
                <w:lang w:eastAsia="en-GB"/>
              </w:rPr>
              <w:t>)</w:t>
            </w:r>
          </w:p>
        </w:tc>
        <w:tc>
          <w:tcPr>
            <w:tcW w:w="1361" w:type="dxa"/>
            <w:shd w:val="clear" w:color="auto" w:fill="auto"/>
            <w:noWrap/>
            <w:vAlign w:val="center"/>
            <w:hideMark/>
          </w:tcPr>
          <w:p w:rsidR="002A56A8" w:rsidRPr="002A56A8" w:rsidRDefault="002A56A8" w:rsidP="008F7947">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21.0 - 25.7%</w:t>
            </w:r>
          </w:p>
        </w:tc>
        <w:tc>
          <w:tcPr>
            <w:tcW w:w="1276" w:type="dxa"/>
            <w:shd w:val="clear" w:color="auto" w:fill="auto"/>
            <w:noWrap/>
            <w:vAlign w:val="center"/>
            <w:hideMark/>
          </w:tcPr>
          <w:p w:rsidR="002A56A8" w:rsidRPr="002A56A8" w:rsidRDefault="002A56A8" w:rsidP="008F7947">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18.7-24.9%</w:t>
            </w:r>
          </w:p>
        </w:tc>
        <w:tc>
          <w:tcPr>
            <w:tcW w:w="1263" w:type="dxa"/>
            <w:shd w:val="clear" w:color="auto" w:fill="auto"/>
            <w:noWrap/>
            <w:vAlign w:val="center"/>
            <w:hideMark/>
          </w:tcPr>
          <w:p w:rsidR="002A56A8" w:rsidRPr="002A56A8" w:rsidRDefault="002A56A8" w:rsidP="008F7947">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16.1 - 23.0%</w:t>
            </w:r>
          </w:p>
        </w:tc>
        <w:tc>
          <w:tcPr>
            <w:tcW w:w="1555" w:type="dxa"/>
            <w:gridSpan w:val="2"/>
            <w:shd w:val="clear" w:color="auto" w:fill="auto"/>
            <w:noWrap/>
            <w:vAlign w:val="center"/>
            <w:hideMark/>
          </w:tcPr>
          <w:p w:rsidR="002A56A8" w:rsidRPr="002A56A8" w:rsidRDefault="002A56A8" w:rsidP="008F7947">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18.7 - 23.3%</w:t>
            </w:r>
          </w:p>
        </w:tc>
        <w:tc>
          <w:tcPr>
            <w:tcW w:w="1293" w:type="dxa"/>
            <w:shd w:val="clear" w:color="auto" w:fill="auto"/>
            <w:noWrap/>
            <w:vAlign w:val="center"/>
            <w:hideMark/>
          </w:tcPr>
          <w:p w:rsidR="002A56A8" w:rsidRPr="002A56A8" w:rsidRDefault="002A56A8" w:rsidP="008F7947">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21.0 - 27.7%</w:t>
            </w:r>
          </w:p>
        </w:tc>
        <w:tc>
          <w:tcPr>
            <w:tcW w:w="992" w:type="dxa"/>
            <w:shd w:val="clear" w:color="auto" w:fill="auto"/>
            <w:noWrap/>
            <w:vAlign w:val="bottom"/>
            <w:hideMark/>
          </w:tcPr>
          <w:p w:rsidR="002A56A8" w:rsidRPr="002A56A8" w:rsidRDefault="002A56A8" w:rsidP="002A56A8">
            <w:pPr>
              <w:spacing w:after="0" w:line="240" w:lineRule="auto"/>
              <w:rPr>
                <w:rFonts w:ascii="Calibri" w:eastAsia="Times New Roman" w:hAnsi="Calibri" w:cs="Times New Roman"/>
                <w:color w:val="000000"/>
                <w:lang w:eastAsia="en-GB"/>
              </w:rPr>
            </w:pPr>
            <w:r w:rsidRPr="002A56A8">
              <w:rPr>
                <w:rFonts w:ascii="Calibri" w:eastAsia="Times New Roman" w:hAnsi="Calibri" w:cs="Times New Roman"/>
                <w:color w:val="000000"/>
                <w:lang w:eastAsia="en-GB"/>
              </w:rPr>
              <w:t> </w:t>
            </w:r>
          </w:p>
        </w:tc>
        <w:tc>
          <w:tcPr>
            <w:tcW w:w="1134" w:type="dxa"/>
            <w:shd w:val="clear" w:color="auto" w:fill="auto"/>
            <w:noWrap/>
            <w:vAlign w:val="bottom"/>
            <w:hideMark/>
          </w:tcPr>
          <w:p w:rsidR="002A56A8" w:rsidRPr="002A56A8" w:rsidRDefault="002A56A8" w:rsidP="002A56A8">
            <w:pPr>
              <w:spacing w:after="0" w:line="240" w:lineRule="auto"/>
              <w:rPr>
                <w:rFonts w:ascii="Calibri" w:eastAsia="Times New Roman" w:hAnsi="Calibri" w:cs="Times New Roman"/>
                <w:color w:val="000000"/>
                <w:lang w:eastAsia="en-GB"/>
              </w:rPr>
            </w:pPr>
            <w:r w:rsidRPr="002A56A8">
              <w:rPr>
                <w:rFonts w:ascii="Calibri" w:eastAsia="Times New Roman" w:hAnsi="Calibri" w:cs="Times New Roman"/>
                <w:color w:val="000000"/>
                <w:lang w:eastAsia="en-GB"/>
              </w:rPr>
              <w:t> </w:t>
            </w:r>
          </w:p>
        </w:tc>
      </w:tr>
      <w:tr w:rsidR="0062625E" w:rsidRPr="002A56A8" w:rsidTr="00A00017">
        <w:trPr>
          <w:trHeight w:val="455"/>
        </w:trPr>
        <w:tc>
          <w:tcPr>
            <w:tcW w:w="1900" w:type="dxa"/>
            <w:shd w:val="clear" w:color="auto" w:fill="auto"/>
            <w:vAlign w:val="bottom"/>
            <w:hideMark/>
          </w:tcPr>
          <w:p w:rsidR="0062625E" w:rsidRPr="002A56A8" w:rsidRDefault="0062625E" w:rsidP="002A56A8">
            <w:pPr>
              <w:spacing w:after="0" w:line="240" w:lineRule="auto"/>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 of small areas (LSOA) classed as highest deprivation</w:t>
            </w:r>
            <w:r w:rsidR="00385D54">
              <w:rPr>
                <w:rFonts w:ascii="Calibri" w:eastAsia="Times New Roman" w:hAnsi="Calibri" w:cs="Times New Roman"/>
                <w:color w:val="000000"/>
                <w:sz w:val="16"/>
                <w:szCs w:val="16"/>
                <w:lang w:eastAsia="en-GB"/>
              </w:rPr>
              <w:t xml:space="preserve"> (2007)</w:t>
            </w:r>
          </w:p>
        </w:tc>
        <w:tc>
          <w:tcPr>
            <w:tcW w:w="1361" w:type="dxa"/>
            <w:shd w:val="clear" w:color="auto" w:fill="FF0000"/>
            <w:noWrap/>
            <w:vAlign w:val="center"/>
            <w:hideMark/>
          </w:tcPr>
          <w:p w:rsidR="0062625E" w:rsidRPr="002A56A8" w:rsidRDefault="0062625E" w:rsidP="008F7947">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33%</w:t>
            </w:r>
          </w:p>
        </w:tc>
        <w:tc>
          <w:tcPr>
            <w:tcW w:w="1276" w:type="dxa"/>
            <w:shd w:val="clear" w:color="auto" w:fill="auto"/>
            <w:noWrap/>
            <w:vAlign w:val="center"/>
            <w:hideMark/>
          </w:tcPr>
          <w:p w:rsidR="0062625E" w:rsidRPr="002A56A8" w:rsidRDefault="0062625E" w:rsidP="008F7947">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5%</w:t>
            </w:r>
          </w:p>
        </w:tc>
        <w:tc>
          <w:tcPr>
            <w:tcW w:w="1263" w:type="dxa"/>
            <w:shd w:val="clear" w:color="auto" w:fill="00B050"/>
            <w:noWrap/>
            <w:vAlign w:val="center"/>
            <w:hideMark/>
          </w:tcPr>
          <w:p w:rsidR="0062625E" w:rsidRPr="002A56A8" w:rsidRDefault="0062625E" w:rsidP="008F7947">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4%</w:t>
            </w:r>
          </w:p>
        </w:tc>
        <w:tc>
          <w:tcPr>
            <w:tcW w:w="1555" w:type="dxa"/>
            <w:gridSpan w:val="2"/>
            <w:shd w:val="clear" w:color="auto" w:fill="auto"/>
            <w:noWrap/>
            <w:vAlign w:val="center"/>
            <w:hideMark/>
          </w:tcPr>
          <w:p w:rsidR="0062625E" w:rsidRPr="002A56A8" w:rsidRDefault="0062625E" w:rsidP="008F7947">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15%</w:t>
            </w:r>
          </w:p>
        </w:tc>
        <w:tc>
          <w:tcPr>
            <w:tcW w:w="1293" w:type="dxa"/>
            <w:shd w:val="clear" w:color="auto" w:fill="auto"/>
            <w:noWrap/>
            <w:vAlign w:val="center"/>
            <w:hideMark/>
          </w:tcPr>
          <w:p w:rsidR="0062625E" w:rsidRPr="002A56A8" w:rsidRDefault="0062625E" w:rsidP="008F7947">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29%</w:t>
            </w:r>
          </w:p>
        </w:tc>
        <w:tc>
          <w:tcPr>
            <w:tcW w:w="992" w:type="dxa"/>
            <w:shd w:val="clear" w:color="auto" w:fill="00B050"/>
            <w:noWrap/>
            <w:vAlign w:val="center"/>
            <w:hideMark/>
          </w:tcPr>
          <w:p w:rsidR="0062625E" w:rsidRPr="007A13B0" w:rsidRDefault="0062625E" w:rsidP="0062625E">
            <w:pPr>
              <w:spacing w:after="0" w:line="240" w:lineRule="auto"/>
              <w:jc w:val="center"/>
              <w:rPr>
                <w:rFonts w:ascii="Calibri" w:eastAsia="Times New Roman" w:hAnsi="Calibri" w:cs="Times New Roman"/>
                <w:color w:val="000000"/>
                <w:sz w:val="12"/>
                <w:szCs w:val="12"/>
                <w:lang w:eastAsia="en-GB"/>
              </w:rPr>
            </w:pPr>
            <w:r w:rsidRPr="007A13B0">
              <w:rPr>
                <w:rFonts w:ascii="Calibri" w:eastAsia="Times New Roman" w:hAnsi="Calibri" w:cs="Times New Roman"/>
                <w:color w:val="000000"/>
                <w:sz w:val="12"/>
                <w:szCs w:val="12"/>
                <w:lang w:eastAsia="en-GB"/>
              </w:rPr>
              <w:t>Lowest</w:t>
            </w:r>
          </w:p>
        </w:tc>
        <w:tc>
          <w:tcPr>
            <w:tcW w:w="1134" w:type="dxa"/>
            <w:shd w:val="clear" w:color="auto" w:fill="FF0000"/>
            <w:noWrap/>
            <w:vAlign w:val="center"/>
            <w:hideMark/>
          </w:tcPr>
          <w:p w:rsidR="0062625E" w:rsidRPr="007A13B0" w:rsidRDefault="0062625E" w:rsidP="0062625E">
            <w:pPr>
              <w:spacing w:after="0" w:line="240" w:lineRule="auto"/>
              <w:jc w:val="center"/>
              <w:rPr>
                <w:rFonts w:ascii="Calibri" w:eastAsia="Times New Roman" w:hAnsi="Calibri" w:cs="Times New Roman"/>
                <w:color w:val="000000"/>
                <w:sz w:val="12"/>
                <w:szCs w:val="12"/>
                <w:lang w:eastAsia="en-GB"/>
              </w:rPr>
            </w:pPr>
            <w:r w:rsidRPr="007A13B0">
              <w:rPr>
                <w:rFonts w:ascii="Calibri" w:eastAsia="Times New Roman" w:hAnsi="Calibri" w:cs="Times New Roman"/>
                <w:color w:val="000000"/>
                <w:sz w:val="12"/>
                <w:szCs w:val="12"/>
                <w:lang w:eastAsia="en-GB"/>
              </w:rPr>
              <w:t>Highest</w:t>
            </w:r>
          </w:p>
        </w:tc>
      </w:tr>
      <w:tr w:rsidR="0062625E" w:rsidRPr="002A56A8" w:rsidTr="00A00017">
        <w:trPr>
          <w:trHeight w:val="279"/>
        </w:trPr>
        <w:tc>
          <w:tcPr>
            <w:tcW w:w="1900" w:type="dxa"/>
            <w:shd w:val="clear" w:color="auto" w:fill="auto"/>
            <w:vAlign w:val="bottom"/>
            <w:hideMark/>
          </w:tcPr>
          <w:p w:rsidR="0062625E" w:rsidRPr="002A56A8" w:rsidRDefault="0062625E" w:rsidP="00385D54">
            <w:pPr>
              <w:spacing w:after="0" w:line="240" w:lineRule="auto"/>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65+ Population as % of PCT population</w:t>
            </w:r>
            <w:r w:rsidR="00385D54">
              <w:rPr>
                <w:rFonts w:ascii="Calibri" w:eastAsia="Times New Roman" w:hAnsi="Calibri" w:cs="Times New Roman"/>
                <w:color w:val="000000"/>
                <w:sz w:val="16"/>
                <w:szCs w:val="16"/>
                <w:lang w:eastAsia="en-GB"/>
              </w:rPr>
              <w:t xml:space="preserve"> </w:t>
            </w:r>
            <w:r w:rsidR="00385D54" w:rsidRPr="002A56A8">
              <w:rPr>
                <w:rFonts w:ascii="Calibri" w:eastAsia="Times New Roman" w:hAnsi="Calibri" w:cs="Times New Roman"/>
                <w:color w:val="000000"/>
                <w:sz w:val="16"/>
                <w:szCs w:val="16"/>
                <w:lang w:eastAsia="en-GB"/>
              </w:rPr>
              <w:t>(2010)</w:t>
            </w:r>
          </w:p>
        </w:tc>
        <w:tc>
          <w:tcPr>
            <w:tcW w:w="1361" w:type="dxa"/>
            <w:shd w:val="clear" w:color="auto" w:fill="auto"/>
            <w:noWrap/>
            <w:vAlign w:val="center"/>
            <w:hideMark/>
          </w:tcPr>
          <w:p w:rsidR="0062625E" w:rsidRPr="002A56A8" w:rsidRDefault="0062625E" w:rsidP="008F7947">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12.9%</w:t>
            </w:r>
          </w:p>
        </w:tc>
        <w:tc>
          <w:tcPr>
            <w:tcW w:w="1276" w:type="dxa"/>
            <w:shd w:val="clear" w:color="auto" w:fill="auto"/>
            <w:noWrap/>
            <w:vAlign w:val="center"/>
            <w:hideMark/>
          </w:tcPr>
          <w:p w:rsidR="0062625E" w:rsidRPr="002A56A8" w:rsidRDefault="0062625E" w:rsidP="008F7947">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12.0%</w:t>
            </w:r>
          </w:p>
        </w:tc>
        <w:tc>
          <w:tcPr>
            <w:tcW w:w="1263" w:type="dxa"/>
            <w:shd w:val="clear" w:color="auto" w:fill="auto"/>
            <w:noWrap/>
            <w:vAlign w:val="center"/>
            <w:hideMark/>
          </w:tcPr>
          <w:p w:rsidR="0062625E" w:rsidRPr="002A56A8" w:rsidRDefault="0062625E" w:rsidP="008F7947">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12.1%</w:t>
            </w:r>
          </w:p>
        </w:tc>
        <w:tc>
          <w:tcPr>
            <w:tcW w:w="808" w:type="dxa"/>
            <w:shd w:val="clear" w:color="auto" w:fill="auto"/>
            <w:vAlign w:val="center"/>
            <w:hideMark/>
          </w:tcPr>
          <w:p w:rsidR="0062625E" w:rsidRPr="002A56A8" w:rsidRDefault="0062625E" w:rsidP="008F7947">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12% (Merton)</w:t>
            </w:r>
          </w:p>
        </w:tc>
        <w:tc>
          <w:tcPr>
            <w:tcW w:w="747" w:type="dxa"/>
            <w:shd w:val="clear" w:color="auto" w:fill="auto"/>
            <w:vAlign w:val="center"/>
            <w:hideMark/>
          </w:tcPr>
          <w:p w:rsidR="0062625E" w:rsidRPr="002A56A8" w:rsidRDefault="0062625E" w:rsidP="008F7947">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13.5% (Sutton)</w:t>
            </w:r>
          </w:p>
        </w:tc>
        <w:tc>
          <w:tcPr>
            <w:tcW w:w="1293" w:type="dxa"/>
            <w:shd w:val="clear" w:color="auto" w:fill="auto"/>
            <w:noWrap/>
            <w:vAlign w:val="center"/>
            <w:hideMark/>
          </w:tcPr>
          <w:p w:rsidR="0062625E" w:rsidRPr="002A56A8" w:rsidRDefault="0062625E" w:rsidP="008F7947">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8.2%</w:t>
            </w:r>
          </w:p>
        </w:tc>
        <w:tc>
          <w:tcPr>
            <w:tcW w:w="992" w:type="dxa"/>
            <w:shd w:val="clear" w:color="auto" w:fill="auto"/>
            <w:noWrap/>
            <w:vAlign w:val="bottom"/>
            <w:hideMark/>
          </w:tcPr>
          <w:p w:rsidR="0062625E" w:rsidRPr="002A56A8" w:rsidRDefault="0062625E" w:rsidP="002A56A8">
            <w:pPr>
              <w:spacing w:after="0" w:line="240" w:lineRule="auto"/>
              <w:rPr>
                <w:rFonts w:ascii="Calibri" w:eastAsia="Times New Roman" w:hAnsi="Calibri" w:cs="Times New Roman"/>
                <w:color w:val="000000"/>
                <w:lang w:eastAsia="en-GB"/>
              </w:rPr>
            </w:pPr>
            <w:r w:rsidRPr="002A56A8">
              <w:rPr>
                <w:rFonts w:ascii="Calibri" w:eastAsia="Times New Roman" w:hAnsi="Calibri" w:cs="Times New Roman"/>
                <w:color w:val="000000"/>
                <w:lang w:eastAsia="en-GB"/>
              </w:rPr>
              <w:t> </w:t>
            </w:r>
          </w:p>
        </w:tc>
        <w:tc>
          <w:tcPr>
            <w:tcW w:w="1134" w:type="dxa"/>
            <w:shd w:val="clear" w:color="auto" w:fill="auto"/>
            <w:noWrap/>
            <w:vAlign w:val="bottom"/>
            <w:hideMark/>
          </w:tcPr>
          <w:p w:rsidR="0062625E" w:rsidRPr="002A56A8" w:rsidRDefault="0062625E" w:rsidP="002A56A8">
            <w:pPr>
              <w:spacing w:after="0" w:line="240" w:lineRule="auto"/>
              <w:rPr>
                <w:rFonts w:ascii="Calibri" w:eastAsia="Times New Roman" w:hAnsi="Calibri" w:cs="Times New Roman"/>
                <w:color w:val="000000"/>
                <w:lang w:eastAsia="en-GB"/>
              </w:rPr>
            </w:pPr>
            <w:r w:rsidRPr="002A56A8">
              <w:rPr>
                <w:rFonts w:ascii="Calibri" w:eastAsia="Times New Roman" w:hAnsi="Calibri" w:cs="Times New Roman"/>
                <w:color w:val="000000"/>
                <w:lang w:eastAsia="en-GB"/>
              </w:rPr>
              <w:t> </w:t>
            </w:r>
          </w:p>
        </w:tc>
      </w:tr>
      <w:tr w:rsidR="0062625E" w:rsidRPr="002A56A8" w:rsidTr="00A00017">
        <w:trPr>
          <w:trHeight w:val="299"/>
        </w:trPr>
        <w:tc>
          <w:tcPr>
            <w:tcW w:w="1900" w:type="dxa"/>
            <w:shd w:val="clear" w:color="auto" w:fill="auto"/>
            <w:vAlign w:val="bottom"/>
            <w:hideMark/>
          </w:tcPr>
          <w:p w:rsidR="0062625E" w:rsidRPr="002A56A8" w:rsidRDefault="0062625E" w:rsidP="002A56A8">
            <w:pPr>
              <w:spacing w:after="0" w:line="240" w:lineRule="auto"/>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65+ Population increase (2010-2030)</w:t>
            </w:r>
          </w:p>
        </w:tc>
        <w:tc>
          <w:tcPr>
            <w:tcW w:w="1361" w:type="dxa"/>
            <w:shd w:val="clear" w:color="auto" w:fill="auto"/>
            <w:noWrap/>
            <w:vAlign w:val="center"/>
            <w:hideMark/>
          </w:tcPr>
          <w:p w:rsidR="0062625E" w:rsidRPr="002A56A8" w:rsidRDefault="0062625E" w:rsidP="008F7947">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3.6%</w:t>
            </w:r>
          </w:p>
        </w:tc>
        <w:tc>
          <w:tcPr>
            <w:tcW w:w="1276" w:type="dxa"/>
            <w:shd w:val="clear" w:color="auto" w:fill="auto"/>
            <w:noWrap/>
            <w:vAlign w:val="center"/>
            <w:hideMark/>
          </w:tcPr>
          <w:p w:rsidR="0062625E" w:rsidRPr="002A56A8" w:rsidRDefault="0062625E" w:rsidP="008F7947">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3.0%</w:t>
            </w:r>
          </w:p>
        </w:tc>
        <w:tc>
          <w:tcPr>
            <w:tcW w:w="1263" w:type="dxa"/>
            <w:shd w:val="clear" w:color="auto" w:fill="auto"/>
            <w:noWrap/>
            <w:vAlign w:val="center"/>
            <w:hideMark/>
          </w:tcPr>
          <w:p w:rsidR="0062625E" w:rsidRPr="002A56A8" w:rsidRDefault="0062625E" w:rsidP="008F7947">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1.5%</w:t>
            </w:r>
          </w:p>
        </w:tc>
        <w:tc>
          <w:tcPr>
            <w:tcW w:w="808" w:type="dxa"/>
            <w:shd w:val="clear" w:color="auto" w:fill="auto"/>
            <w:vAlign w:val="center"/>
            <w:hideMark/>
          </w:tcPr>
          <w:p w:rsidR="0062625E" w:rsidRPr="002A56A8" w:rsidRDefault="0062625E" w:rsidP="008F7947">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3.1% (Merton)</w:t>
            </w:r>
          </w:p>
        </w:tc>
        <w:tc>
          <w:tcPr>
            <w:tcW w:w="747" w:type="dxa"/>
            <w:shd w:val="clear" w:color="auto" w:fill="auto"/>
            <w:vAlign w:val="center"/>
            <w:hideMark/>
          </w:tcPr>
          <w:p w:rsidR="0062625E" w:rsidRPr="002A56A8" w:rsidRDefault="0062625E" w:rsidP="008F7947">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3.9% (Sutton)</w:t>
            </w:r>
          </w:p>
        </w:tc>
        <w:tc>
          <w:tcPr>
            <w:tcW w:w="1293" w:type="dxa"/>
            <w:shd w:val="clear" w:color="auto" w:fill="auto"/>
            <w:noWrap/>
            <w:vAlign w:val="center"/>
            <w:hideMark/>
          </w:tcPr>
          <w:p w:rsidR="0062625E" w:rsidRPr="002A56A8" w:rsidRDefault="0062625E" w:rsidP="008F7947">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0.4%</w:t>
            </w:r>
          </w:p>
        </w:tc>
        <w:tc>
          <w:tcPr>
            <w:tcW w:w="992" w:type="dxa"/>
            <w:shd w:val="clear" w:color="auto" w:fill="auto"/>
            <w:noWrap/>
            <w:vAlign w:val="bottom"/>
            <w:hideMark/>
          </w:tcPr>
          <w:p w:rsidR="0062625E" w:rsidRPr="002A56A8" w:rsidRDefault="0062625E" w:rsidP="002A56A8">
            <w:pPr>
              <w:spacing w:after="0" w:line="240" w:lineRule="auto"/>
              <w:rPr>
                <w:rFonts w:ascii="Calibri" w:eastAsia="Times New Roman" w:hAnsi="Calibri" w:cs="Times New Roman"/>
                <w:color w:val="000000"/>
                <w:lang w:eastAsia="en-GB"/>
              </w:rPr>
            </w:pPr>
            <w:r w:rsidRPr="002A56A8">
              <w:rPr>
                <w:rFonts w:ascii="Calibri" w:eastAsia="Times New Roman" w:hAnsi="Calibri" w:cs="Times New Roman"/>
                <w:color w:val="000000"/>
                <w:lang w:eastAsia="en-GB"/>
              </w:rPr>
              <w:t> </w:t>
            </w:r>
          </w:p>
        </w:tc>
        <w:tc>
          <w:tcPr>
            <w:tcW w:w="1134" w:type="dxa"/>
            <w:shd w:val="clear" w:color="auto" w:fill="auto"/>
            <w:noWrap/>
            <w:vAlign w:val="bottom"/>
            <w:hideMark/>
          </w:tcPr>
          <w:p w:rsidR="0062625E" w:rsidRPr="002A56A8" w:rsidRDefault="0062625E" w:rsidP="002A56A8">
            <w:pPr>
              <w:spacing w:after="0" w:line="240" w:lineRule="auto"/>
              <w:rPr>
                <w:rFonts w:ascii="Calibri" w:eastAsia="Times New Roman" w:hAnsi="Calibri" w:cs="Times New Roman"/>
                <w:color w:val="000000"/>
                <w:lang w:eastAsia="en-GB"/>
              </w:rPr>
            </w:pPr>
            <w:r w:rsidRPr="002A56A8">
              <w:rPr>
                <w:rFonts w:ascii="Calibri" w:eastAsia="Times New Roman" w:hAnsi="Calibri" w:cs="Times New Roman"/>
                <w:color w:val="000000"/>
                <w:lang w:eastAsia="en-GB"/>
              </w:rPr>
              <w:t> </w:t>
            </w:r>
          </w:p>
        </w:tc>
      </w:tr>
      <w:tr w:rsidR="0062625E" w:rsidRPr="002A56A8" w:rsidTr="00A00017">
        <w:trPr>
          <w:trHeight w:val="446"/>
        </w:trPr>
        <w:tc>
          <w:tcPr>
            <w:tcW w:w="1900" w:type="dxa"/>
            <w:shd w:val="clear" w:color="auto" w:fill="auto"/>
            <w:vAlign w:val="bottom"/>
            <w:hideMark/>
          </w:tcPr>
          <w:p w:rsidR="0062625E" w:rsidRPr="002A56A8" w:rsidRDefault="0062625E" w:rsidP="002A56A8">
            <w:pPr>
              <w:spacing w:after="0" w:line="240" w:lineRule="auto"/>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Estimated Moderate intensity sport &amp; active recreation</w:t>
            </w:r>
            <w:r w:rsidR="00385D54">
              <w:rPr>
                <w:rFonts w:ascii="Calibri" w:eastAsia="Times New Roman" w:hAnsi="Calibri" w:cs="Times New Roman"/>
                <w:color w:val="000000"/>
                <w:sz w:val="16"/>
                <w:szCs w:val="16"/>
                <w:lang w:eastAsia="en-GB"/>
              </w:rPr>
              <w:t xml:space="preserve">  (2008-09)</w:t>
            </w:r>
          </w:p>
        </w:tc>
        <w:tc>
          <w:tcPr>
            <w:tcW w:w="1361" w:type="dxa"/>
            <w:shd w:val="clear" w:color="auto" w:fill="FF0000"/>
            <w:noWrap/>
            <w:vAlign w:val="center"/>
            <w:hideMark/>
          </w:tcPr>
          <w:p w:rsidR="0062625E" w:rsidRPr="002A56A8" w:rsidRDefault="0062625E" w:rsidP="008F7947">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17.8%</w:t>
            </w:r>
          </w:p>
        </w:tc>
        <w:tc>
          <w:tcPr>
            <w:tcW w:w="1276" w:type="dxa"/>
            <w:shd w:val="clear" w:color="auto" w:fill="auto"/>
            <w:noWrap/>
            <w:vAlign w:val="center"/>
            <w:hideMark/>
          </w:tcPr>
          <w:p w:rsidR="0062625E" w:rsidRPr="002A56A8" w:rsidRDefault="0062625E" w:rsidP="008F7947">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27.3%</w:t>
            </w:r>
          </w:p>
        </w:tc>
        <w:tc>
          <w:tcPr>
            <w:tcW w:w="1263" w:type="dxa"/>
            <w:shd w:val="clear" w:color="auto" w:fill="00B050"/>
            <w:noWrap/>
            <w:vAlign w:val="center"/>
            <w:hideMark/>
          </w:tcPr>
          <w:p w:rsidR="0062625E" w:rsidRPr="002A56A8" w:rsidRDefault="0062625E" w:rsidP="008F7947">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28.5%</w:t>
            </w:r>
          </w:p>
        </w:tc>
        <w:tc>
          <w:tcPr>
            <w:tcW w:w="808" w:type="dxa"/>
            <w:shd w:val="clear" w:color="auto" w:fill="auto"/>
            <w:vAlign w:val="center"/>
            <w:hideMark/>
          </w:tcPr>
          <w:p w:rsidR="0062625E" w:rsidRPr="002A56A8" w:rsidRDefault="0062625E" w:rsidP="008F7947">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22.7% (Merton)</w:t>
            </w:r>
          </w:p>
        </w:tc>
        <w:tc>
          <w:tcPr>
            <w:tcW w:w="747" w:type="dxa"/>
            <w:shd w:val="clear" w:color="auto" w:fill="auto"/>
            <w:vAlign w:val="center"/>
            <w:hideMark/>
          </w:tcPr>
          <w:p w:rsidR="0062625E" w:rsidRPr="002A56A8" w:rsidRDefault="0062625E" w:rsidP="008F7947">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21.1% (Sutton)</w:t>
            </w:r>
          </w:p>
        </w:tc>
        <w:tc>
          <w:tcPr>
            <w:tcW w:w="1293" w:type="dxa"/>
            <w:shd w:val="clear" w:color="auto" w:fill="auto"/>
            <w:noWrap/>
            <w:vAlign w:val="center"/>
            <w:hideMark/>
          </w:tcPr>
          <w:p w:rsidR="0062625E" w:rsidRPr="002A56A8" w:rsidRDefault="0062625E" w:rsidP="008F7947">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27.0%</w:t>
            </w:r>
          </w:p>
        </w:tc>
        <w:tc>
          <w:tcPr>
            <w:tcW w:w="992" w:type="dxa"/>
            <w:shd w:val="clear" w:color="auto" w:fill="00B050"/>
            <w:noWrap/>
            <w:vAlign w:val="center"/>
            <w:hideMark/>
          </w:tcPr>
          <w:p w:rsidR="0062625E" w:rsidRPr="007A13B0" w:rsidRDefault="0062625E" w:rsidP="0062625E">
            <w:pPr>
              <w:spacing w:after="0" w:line="240" w:lineRule="auto"/>
              <w:jc w:val="center"/>
              <w:rPr>
                <w:rFonts w:ascii="Calibri" w:eastAsia="Times New Roman" w:hAnsi="Calibri" w:cs="Times New Roman"/>
                <w:color w:val="000000"/>
                <w:sz w:val="12"/>
                <w:szCs w:val="12"/>
                <w:lang w:eastAsia="en-GB"/>
              </w:rPr>
            </w:pPr>
            <w:r w:rsidRPr="007A13B0">
              <w:rPr>
                <w:rFonts w:ascii="Calibri" w:eastAsia="Times New Roman" w:hAnsi="Calibri" w:cs="Times New Roman"/>
                <w:color w:val="000000"/>
                <w:sz w:val="12"/>
                <w:szCs w:val="12"/>
                <w:lang w:eastAsia="en-GB"/>
              </w:rPr>
              <w:t>Lowest</w:t>
            </w:r>
          </w:p>
        </w:tc>
        <w:tc>
          <w:tcPr>
            <w:tcW w:w="1134" w:type="dxa"/>
            <w:shd w:val="clear" w:color="auto" w:fill="FF0000"/>
            <w:noWrap/>
            <w:vAlign w:val="center"/>
            <w:hideMark/>
          </w:tcPr>
          <w:p w:rsidR="0062625E" w:rsidRPr="007A13B0" w:rsidRDefault="0062625E" w:rsidP="0062625E">
            <w:pPr>
              <w:spacing w:after="0" w:line="240" w:lineRule="auto"/>
              <w:jc w:val="center"/>
              <w:rPr>
                <w:rFonts w:ascii="Calibri" w:eastAsia="Times New Roman" w:hAnsi="Calibri" w:cs="Times New Roman"/>
                <w:color w:val="000000"/>
                <w:sz w:val="12"/>
                <w:szCs w:val="12"/>
                <w:lang w:eastAsia="en-GB"/>
              </w:rPr>
            </w:pPr>
            <w:r w:rsidRPr="007A13B0">
              <w:rPr>
                <w:rFonts w:ascii="Calibri" w:eastAsia="Times New Roman" w:hAnsi="Calibri" w:cs="Times New Roman"/>
                <w:color w:val="000000"/>
                <w:sz w:val="12"/>
                <w:szCs w:val="12"/>
                <w:lang w:eastAsia="en-GB"/>
              </w:rPr>
              <w:t>Highest</w:t>
            </w:r>
          </w:p>
        </w:tc>
      </w:tr>
      <w:tr w:rsidR="0062625E" w:rsidRPr="002A56A8" w:rsidTr="008F7947">
        <w:trPr>
          <w:trHeight w:val="675"/>
        </w:trPr>
        <w:tc>
          <w:tcPr>
            <w:tcW w:w="1900" w:type="dxa"/>
            <w:shd w:val="clear" w:color="auto" w:fill="auto"/>
            <w:vAlign w:val="bottom"/>
            <w:hideMark/>
          </w:tcPr>
          <w:p w:rsidR="0062625E" w:rsidRPr="002A56A8" w:rsidRDefault="0062625E" w:rsidP="002A56A8">
            <w:pPr>
              <w:spacing w:after="0" w:line="240" w:lineRule="auto"/>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Bowel screening uptake</w:t>
            </w:r>
            <w:r w:rsidR="00385D54">
              <w:rPr>
                <w:rFonts w:ascii="Calibri" w:eastAsia="Times New Roman" w:hAnsi="Calibri" w:cs="Times New Roman"/>
                <w:color w:val="000000"/>
                <w:sz w:val="16"/>
                <w:szCs w:val="16"/>
                <w:lang w:eastAsia="en-GB"/>
              </w:rPr>
              <w:t xml:space="preserve"> (up to June 2009)</w:t>
            </w:r>
          </w:p>
        </w:tc>
        <w:tc>
          <w:tcPr>
            <w:tcW w:w="1361" w:type="dxa"/>
            <w:shd w:val="clear" w:color="000000" w:fill="FF0000"/>
            <w:noWrap/>
            <w:vAlign w:val="center"/>
            <w:hideMark/>
          </w:tcPr>
          <w:p w:rsidR="0062625E" w:rsidRPr="002A56A8" w:rsidRDefault="0062625E" w:rsidP="008F7947">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44.5%</w:t>
            </w:r>
          </w:p>
        </w:tc>
        <w:tc>
          <w:tcPr>
            <w:tcW w:w="1276" w:type="dxa"/>
            <w:shd w:val="clear" w:color="000000" w:fill="FF0000"/>
            <w:noWrap/>
            <w:vAlign w:val="center"/>
            <w:hideMark/>
          </w:tcPr>
          <w:p w:rsidR="0062625E" w:rsidRPr="002A56A8" w:rsidRDefault="0062625E" w:rsidP="008F7947">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48.3%</w:t>
            </w:r>
          </w:p>
        </w:tc>
        <w:tc>
          <w:tcPr>
            <w:tcW w:w="1263" w:type="dxa"/>
            <w:shd w:val="clear" w:color="000000" w:fill="FF0000"/>
            <w:noWrap/>
            <w:vAlign w:val="center"/>
            <w:hideMark/>
          </w:tcPr>
          <w:p w:rsidR="0062625E" w:rsidRPr="002A56A8" w:rsidRDefault="0062625E" w:rsidP="008F7947">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49.1%</w:t>
            </w:r>
          </w:p>
        </w:tc>
        <w:tc>
          <w:tcPr>
            <w:tcW w:w="1555" w:type="dxa"/>
            <w:gridSpan w:val="2"/>
            <w:shd w:val="clear" w:color="000000" w:fill="FF0000"/>
            <w:vAlign w:val="center"/>
            <w:hideMark/>
          </w:tcPr>
          <w:p w:rsidR="0062625E" w:rsidRPr="002A56A8" w:rsidRDefault="0062625E" w:rsidP="008F7947">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46.3%</w:t>
            </w:r>
          </w:p>
        </w:tc>
        <w:tc>
          <w:tcPr>
            <w:tcW w:w="1293" w:type="dxa"/>
            <w:shd w:val="clear" w:color="000000" w:fill="FF0000"/>
            <w:noWrap/>
            <w:vAlign w:val="center"/>
            <w:hideMark/>
          </w:tcPr>
          <w:p w:rsidR="0062625E" w:rsidRPr="002A56A8" w:rsidRDefault="0062625E" w:rsidP="008F7947">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38.6%</w:t>
            </w:r>
          </w:p>
        </w:tc>
        <w:tc>
          <w:tcPr>
            <w:tcW w:w="992" w:type="dxa"/>
            <w:shd w:val="clear" w:color="auto" w:fill="auto"/>
            <w:noWrap/>
            <w:vAlign w:val="bottom"/>
            <w:hideMark/>
          </w:tcPr>
          <w:p w:rsidR="0062625E" w:rsidRPr="002A56A8" w:rsidRDefault="0062625E" w:rsidP="002A56A8">
            <w:pPr>
              <w:spacing w:after="0" w:line="240" w:lineRule="auto"/>
              <w:rPr>
                <w:rFonts w:ascii="Calibri" w:eastAsia="Times New Roman" w:hAnsi="Calibri" w:cs="Times New Roman"/>
                <w:color w:val="000000"/>
                <w:lang w:eastAsia="en-GB"/>
              </w:rPr>
            </w:pPr>
            <w:r w:rsidRPr="002A56A8">
              <w:rPr>
                <w:rFonts w:ascii="Calibri" w:eastAsia="Times New Roman" w:hAnsi="Calibri" w:cs="Times New Roman"/>
                <w:color w:val="000000"/>
                <w:lang w:eastAsia="en-GB"/>
              </w:rPr>
              <w:t> </w:t>
            </w:r>
          </w:p>
        </w:tc>
        <w:tc>
          <w:tcPr>
            <w:tcW w:w="1134" w:type="dxa"/>
            <w:shd w:val="clear" w:color="000000" w:fill="FF0000"/>
            <w:vAlign w:val="center"/>
            <w:hideMark/>
          </w:tcPr>
          <w:p w:rsidR="0062625E" w:rsidRPr="002A56A8" w:rsidRDefault="0062625E" w:rsidP="002A56A8">
            <w:pPr>
              <w:spacing w:after="0" w:line="240" w:lineRule="auto"/>
              <w:jc w:val="center"/>
              <w:rPr>
                <w:rFonts w:ascii="Calibri" w:eastAsia="Times New Roman" w:hAnsi="Calibri" w:cs="Times New Roman"/>
                <w:color w:val="000000"/>
                <w:sz w:val="12"/>
                <w:szCs w:val="12"/>
                <w:lang w:eastAsia="en-GB"/>
              </w:rPr>
            </w:pPr>
            <w:r w:rsidRPr="002A56A8">
              <w:rPr>
                <w:rFonts w:ascii="Calibri" w:eastAsia="Times New Roman" w:hAnsi="Calibri" w:cs="Times New Roman"/>
                <w:color w:val="000000"/>
                <w:sz w:val="12"/>
                <w:szCs w:val="12"/>
                <w:lang w:eastAsia="en-GB"/>
              </w:rPr>
              <w:t>Below national target (60%) and national average (52.5%)</w:t>
            </w:r>
          </w:p>
        </w:tc>
      </w:tr>
      <w:tr w:rsidR="0062625E" w:rsidRPr="002A56A8" w:rsidTr="008F7947">
        <w:trPr>
          <w:trHeight w:val="480"/>
        </w:trPr>
        <w:tc>
          <w:tcPr>
            <w:tcW w:w="1900" w:type="dxa"/>
            <w:shd w:val="clear" w:color="auto" w:fill="auto"/>
            <w:vAlign w:val="bottom"/>
            <w:hideMark/>
          </w:tcPr>
          <w:p w:rsidR="0062625E" w:rsidRPr="002A56A8" w:rsidRDefault="0062625E" w:rsidP="002A56A8">
            <w:pPr>
              <w:spacing w:after="0" w:line="240" w:lineRule="auto"/>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 xml:space="preserve">Male Under 75 Incidence </w:t>
            </w:r>
            <w:r w:rsidR="00385D54">
              <w:rPr>
                <w:rFonts w:ascii="Calibri" w:eastAsia="Times New Roman" w:hAnsi="Calibri" w:cs="Times New Roman"/>
                <w:color w:val="000000"/>
                <w:sz w:val="16"/>
                <w:szCs w:val="16"/>
                <w:lang w:eastAsia="en-GB"/>
              </w:rPr>
              <w:t>(</w:t>
            </w:r>
            <w:r w:rsidRPr="002A56A8">
              <w:rPr>
                <w:rFonts w:ascii="Calibri" w:eastAsia="Times New Roman" w:hAnsi="Calibri" w:cs="Times New Roman"/>
                <w:color w:val="000000"/>
                <w:sz w:val="16"/>
                <w:szCs w:val="16"/>
                <w:lang w:eastAsia="en-GB"/>
              </w:rPr>
              <w:t>2004-06</w:t>
            </w:r>
            <w:r w:rsidR="00385D54">
              <w:rPr>
                <w:rFonts w:ascii="Calibri" w:eastAsia="Times New Roman" w:hAnsi="Calibri" w:cs="Times New Roman"/>
                <w:color w:val="000000"/>
                <w:sz w:val="16"/>
                <w:szCs w:val="16"/>
                <w:lang w:eastAsia="en-GB"/>
              </w:rPr>
              <w:t>)</w:t>
            </w:r>
          </w:p>
        </w:tc>
        <w:tc>
          <w:tcPr>
            <w:tcW w:w="1361" w:type="dxa"/>
            <w:shd w:val="clear" w:color="auto" w:fill="auto"/>
            <w:noWrap/>
            <w:vAlign w:val="center"/>
            <w:hideMark/>
          </w:tcPr>
          <w:p w:rsidR="0062625E" w:rsidRPr="002A56A8" w:rsidRDefault="0062625E" w:rsidP="008F7947">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40.36</w:t>
            </w:r>
          </w:p>
        </w:tc>
        <w:tc>
          <w:tcPr>
            <w:tcW w:w="1276" w:type="dxa"/>
            <w:shd w:val="clear" w:color="auto" w:fill="auto"/>
            <w:noWrap/>
            <w:vAlign w:val="center"/>
            <w:hideMark/>
          </w:tcPr>
          <w:p w:rsidR="0062625E" w:rsidRPr="002A56A8" w:rsidRDefault="0062625E" w:rsidP="008F7947">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34.03</w:t>
            </w:r>
          </w:p>
        </w:tc>
        <w:tc>
          <w:tcPr>
            <w:tcW w:w="1263" w:type="dxa"/>
            <w:shd w:val="clear" w:color="auto" w:fill="auto"/>
            <w:noWrap/>
            <w:vAlign w:val="center"/>
            <w:hideMark/>
          </w:tcPr>
          <w:p w:rsidR="0062625E" w:rsidRPr="002A56A8" w:rsidRDefault="0062625E" w:rsidP="008F7947">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36.71</w:t>
            </w:r>
          </w:p>
        </w:tc>
        <w:tc>
          <w:tcPr>
            <w:tcW w:w="1555" w:type="dxa"/>
            <w:gridSpan w:val="2"/>
            <w:shd w:val="clear" w:color="auto" w:fill="auto"/>
            <w:noWrap/>
            <w:vAlign w:val="center"/>
            <w:hideMark/>
          </w:tcPr>
          <w:p w:rsidR="0062625E" w:rsidRPr="002A56A8" w:rsidRDefault="0062625E" w:rsidP="008F7947">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36.48</w:t>
            </w:r>
          </w:p>
        </w:tc>
        <w:tc>
          <w:tcPr>
            <w:tcW w:w="1293" w:type="dxa"/>
            <w:shd w:val="clear" w:color="auto" w:fill="auto"/>
            <w:noWrap/>
            <w:vAlign w:val="center"/>
            <w:hideMark/>
          </w:tcPr>
          <w:p w:rsidR="0062625E" w:rsidRPr="002A56A8" w:rsidRDefault="0062625E" w:rsidP="008F7947">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37.11</w:t>
            </w:r>
          </w:p>
        </w:tc>
        <w:tc>
          <w:tcPr>
            <w:tcW w:w="992" w:type="dxa"/>
            <w:shd w:val="clear" w:color="auto" w:fill="auto"/>
            <w:vAlign w:val="center"/>
            <w:hideMark/>
          </w:tcPr>
          <w:p w:rsidR="0062625E" w:rsidRPr="002A56A8" w:rsidRDefault="0062625E" w:rsidP="002A56A8">
            <w:pPr>
              <w:spacing w:after="0" w:line="240" w:lineRule="auto"/>
              <w:jc w:val="center"/>
              <w:rPr>
                <w:rFonts w:ascii="Calibri" w:eastAsia="Times New Roman" w:hAnsi="Calibri" w:cs="Times New Roman"/>
                <w:color w:val="000000"/>
                <w:sz w:val="12"/>
                <w:szCs w:val="12"/>
                <w:lang w:eastAsia="en-GB"/>
              </w:rPr>
            </w:pPr>
            <w:r w:rsidRPr="002A56A8">
              <w:rPr>
                <w:rFonts w:ascii="Calibri" w:eastAsia="Times New Roman" w:hAnsi="Calibri" w:cs="Times New Roman"/>
                <w:color w:val="000000"/>
                <w:sz w:val="12"/>
                <w:szCs w:val="12"/>
                <w:lang w:eastAsia="en-GB"/>
              </w:rPr>
              <w:t> </w:t>
            </w:r>
          </w:p>
        </w:tc>
        <w:tc>
          <w:tcPr>
            <w:tcW w:w="1134" w:type="dxa"/>
            <w:shd w:val="clear" w:color="auto" w:fill="auto"/>
            <w:vAlign w:val="center"/>
            <w:hideMark/>
          </w:tcPr>
          <w:p w:rsidR="0062625E" w:rsidRPr="002A56A8" w:rsidRDefault="0062625E" w:rsidP="002A56A8">
            <w:pPr>
              <w:spacing w:after="0" w:line="240" w:lineRule="auto"/>
              <w:jc w:val="center"/>
              <w:rPr>
                <w:rFonts w:ascii="Calibri" w:eastAsia="Times New Roman" w:hAnsi="Calibri" w:cs="Times New Roman"/>
                <w:color w:val="000000"/>
                <w:sz w:val="12"/>
                <w:szCs w:val="12"/>
                <w:lang w:eastAsia="en-GB"/>
              </w:rPr>
            </w:pPr>
            <w:r w:rsidRPr="002A56A8">
              <w:rPr>
                <w:rFonts w:ascii="Calibri" w:eastAsia="Times New Roman" w:hAnsi="Calibri" w:cs="Times New Roman"/>
                <w:color w:val="000000"/>
                <w:sz w:val="12"/>
                <w:szCs w:val="12"/>
                <w:lang w:eastAsia="en-GB"/>
              </w:rPr>
              <w:t> </w:t>
            </w:r>
          </w:p>
        </w:tc>
      </w:tr>
      <w:tr w:rsidR="004769F5" w:rsidRPr="002A56A8" w:rsidTr="008F7947">
        <w:trPr>
          <w:trHeight w:val="255"/>
        </w:trPr>
        <w:tc>
          <w:tcPr>
            <w:tcW w:w="1900" w:type="dxa"/>
            <w:shd w:val="clear" w:color="auto" w:fill="auto"/>
            <w:vAlign w:val="bottom"/>
            <w:hideMark/>
          </w:tcPr>
          <w:p w:rsidR="004769F5" w:rsidRPr="002A56A8" w:rsidRDefault="004769F5" w:rsidP="002A56A8">
            <w:pPr>
              <w:spacing w:after="0" w:line="240" w:lineRule="auto"/>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 xml:space="preserve">Female Under 75 Incidence </w:t>
            </w:r>
            <w:r w:rsidR="00385D54">
              <w:rPr>
                <w:rFonts w:ascii="Calibri" w:eastAsia="Times New Roman" w:hAnsi="Calibri" w:cs="Times New Roman"/>
                <w:color w:val="000000"/>
                <w:sz w:val="16"/>
                <w:szCs w:val="16"/>
                <w:lang w:eastAsia="en-GB"/>
              </w:rPr>
              <w:t>(</w:t>
            </w:r>
            <w:r w:rsidRPr="002A56A8">
              <w:rPr>
                <w:rFonts w:ascii="Calibri" w:eastAsia="Times New Roman" w:hAnsi="Calibri" w:cs="Times New Roman"/>
                <w:color w:val="000000"/>
                <w:sz w:val="16"/>
                <w:szCs w:val="16"/>
                <w:lang w:eastAsia="en-GB"/>
              </w:rPr>
              <w:t>2004-06</w:t>
            </w:r>
            <w:r w:rsidR="00385D54">
              <w:rPr>
                <w:rFonts w:ascii="Calibri" w:eastAsia="Times New Roman" w:hAnsi="Calibri" w:cs="Times New Roman"/>
                <w:color w:val="000000"/>
                <w:sz w:val="16"/>
                <w:szCs w:val="16"/>
                <w:lang w:eastAsia="en-GB"/>
              </w:rPr>
              <w:t>)</w:t>
            </w:r>
          </w:p>
        </w:tc>
        <w:tc>
          <w:tcPr>
            <w:tcW w:w="1361" w:type="dxa"/>
            <w:shd w:val="clear" w:color="000000" w:fill="00B050"/>
            <w:noWrap/>
            <w:vAlign w:val="center"/>
            <w:hideMark/>
          </w:tcPr>
          <w:p w:rsidR="004769F5" w:rsidRPr="002A56A8" w:rsidRDefault="004769F5" w:rsidP="008F7947">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20.24</w:t>
            </w:r>
          </w:p>
        </w:tc>
        <w:tc>
          <w:tcPr>
            <w:tcW w:w="1276" w:type="dxa"/>
            <w:shd w:val="clear" w:color="auto" w:fill="auto"/>
            <w:noWrap/>
            <w:vAlign w:val="center"/>
            <w:hideMark/>
          </w:tcPr>
          <w:p w:rsidR="004769F5" w:rsidRPr="002A56A8" w:rsidRDefault="004769F5" w:rsidP="008F7947">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30.77</w:t>
            </w:r>
          </w:p>
        </w:tc>
        <w:tc>
          <w:tcPr>
            <w:tcW w:w="1263" w:type="dxa"/>
            <w:shd w:val="clear" w:color="auto" w:fill="auto"/>
            <w:noWrap/>
            <w:vAlign w:val="center"/>
            <w:hideMark/>
          </w:tcPr>
          <w:p w:rsidR="004769F5" w:rsidRPr="002A56A8" w:rsidRDefault="004769F5" w:rsidP="008F7947">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30.91</w:t>
            </w:r>
          </w:p>
        </w:tc>
        <w:tc>
          <w:tcPr>
            <w:tcW w:w="1555" w:type="dxa"/>
            <w:gridSpan w:val="2"/>
            <w:shd w:val="clear" w:color="auto" w:fill="auto"/>
            <w:noWrap/>
            <w:vAlign w:val="center"/>
            <w:hideMark/>
          </w:tcPr>
          <w:p w:rsidR="004769F5" w:rsidRPr="002A56A8" w:rsidRDefault="004769F5" w:rsidP="008F7947">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25.2</w:t>
            </w:r>
          </w:p>
        </w:tc>
        <w:tc>
          <w:tcPr>
            <w:tcW w:w="1293" w:type="dxa"/>
            <w:shd w:val="clear" w:color="auto" w:fill="auto"/>
            <w:noWrap/>
            <w:vAlign w:val="center"/>
            <w:hideMark/>
          </w:tcPr>
          <w:p w:rsidR="004769F5" w:rsidRPr="002A56A8" w:rsidRDefault="004769F5" w:rsidP="008F7947">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27.89</w:t>
            </w:r>
          </w:p>
        </w:tc>
        <w:tc>
          <w:tcPr>
            <w:tcW w:w="992" w:type="dxa"/>
            <w:shd w:val="clear" w:color="000000" w:fill="00B050"/>
            <w:vAlign w:val="center"/>
            <w:hideMark/>
          </w:tcPr>
          <w:p w:rsidR="004769F5" w:rsidRPr="002A56A8" w:rsidRDefault="004769F5" w:rsidP="002A56A8">
            <w:pPr>
              <w:spacing w:after="0" w:line="240" w:lineRule="auto"/>
              <w:jc w:val="center"/>
              <w:rPr>
                <w:rFonts w:ascii="Calibri" w:eastAsia="Times New Roman" w:hAnsi="Calibri" w:cs="Times New Roman"/>
                <w:color w:val="000000"/>
                <w:sz w:val="12"/>
                <w:szCs w:val="12"/>
                <w:lang w:eastAsia="en-GB"/>
              </w:rPr>
            </w:pPr>
            <w:r w:rsidRPr="002A56A8">
              <w:rPr>
                <w:rFonts w:ascii="Calibri" w:eastAsia="Times New Roman" w:hAnsi="Calibri" w:cs="Times New Roman"/>
                <w:color w:val="000000"/>
                <w:sz w:val="12"/>
                <w:szCs w:val="12"/>
                <w:lang w:eastAsia="en-GB"/>
              </w:rPr>
              <w:t>Significantly lower national average</w:t>
            </w:r>
          </w:p>
        </w:tc>
        <w:tc>
          <w:tcPr>
            <w:tcW w:w="1134" w:type="dxa"/>
            <w:shd w:val="clear" w:color="auto" w:fill="auto"/>
            <w:vAlign w:val="center"/>
            <w:hideMark/>
          </w:tcPr>
          <w:p w:rsidR="004769F5" w:rsidRPr="002A56A8" w:rsidRDefault="004769F5" w:rsidP="002A56A8">
            <w:pPr>
              <w:spacing w:after="0" w:line="240" w:lineRule="auto"/>
              <w:jc w:val="center"/>
              <w:rPr>
                <w:rFonts w:ascii="Calibri" w:eastAsia="Times New Roman" w:hAnsi="Calibri" w:cs="Times New Roman"/>
                <w:color w:val="000000"/>
                <w:sz w:val="12"/>
                <w:szCs w:val="12"/>
                <w:lang w:eastAsia="en-GB"/>
              </w:rPr>
            </w:pPr>
            <w:r w:rsidRPr="002A56A8">
              <w:rPr>
                <w:rFonts w:ascii="Calibri" w:eastAsia="Times New Roman" w:hAnsi="Calibri" w:cs="Times New Roman"/>
                <w:color w:val="000000"/>
                <w:sz w:val="12"/>
                <w:szCs w:val="12"/>
                <w:lang w:eastAsia="en-GB"/>
              </w:rPr>
              <w:t> </w:t>
            </w:r>
          </w:p>
        </w:tc>
      </w:tr>
      <w:tr w:rsidR="008F497D" w:rsidRPr="002A56A8" w:rsidTr="008F7947">
        <w:trPr>
          <w:trHeight w:val="128"/>
        </w:trPr>
        <w:tc>
          <w:tcPr>
            <w:tcW w:w="1900" w:type="dxa"/>
            <w:shd w:val="clear" w:color="auto" w:fill="auto"/>
            <w:vAlign w:val="bottom"/>
            <w:hideMark/>
          </w:tcPr>
          <w:p w:rsidR="008F497D" w:rsidRPr="00D06FAA" w:rsidRDefault="008F497D" w:rsidP="008F497D">
            <w:pPr>
              <w:spacing w:after="0" w:line="240" w:lineRule="auto"/>
              <w:rPr>
                <w:rFonts w:ascii="Calibri" w:eastAsia="Times New Roman" w:hAnsi="Calibri" w:cs="Times New Roman"/>
                <w:color w:val="000000"/>
                <w:sz w:val="16"/>
                <w:szCs w:val="16"/>
                <w:lang w:eastAsia="en-GB"/>
              </w:rPr>
            </w:pPr>
            <w:r w:rsidRPr="00D06FAA">
              <w:rPr>
                <w:rFonts w:ascii="Calibri" w:eastAsia="Times New Roman" w:hAnsi="Calibri" w:cs="Times New Roman"/>
                <w:color w:val="000000"/>
                <w:sz w:val="16"/>
                <w:szCs w:val="16"/>
                <w:lang w:eastAsia="en-GB"/>
              </w:rPr>
              <w:t>Male Staging (2003-07)</w:t>
            </w:r>
          </w:p>
        </w:tc>
        <w:tc>
          <w:tcPr>
            <w:tcW w:w="1361" w:type="dxa"/>
            <w:shd w:val="clear" w:color="auto" w:fill="auto"/>
            <w:noWrap/>
            <w:vAlign w:val="center"/>
            <w:hideMark/>
          </w:tcPr>
          <w:p w:rsidR="008F497D" w:rsidRPr="00A00017" w:rsidRDefault="008F497D" w:rsidP="008F7947">
            <w:pPr>
              <w:spacing w:after="0" w:line="240" w:lineRule="auto"/>
              <w:jc w:val="center"/>
              <w:rPr>
                <w:rFonts w:ascii="Calibri" w:eastAsia="Times New Roman" w:hAnsi="Calibri" w:cs="Times New Roman"/>
                <w:color w:val="000000"/>
                <w:sz w:val="14"/>
                <w:szCs w:val="14"/>
                <w:lang w:eastAsia="en-GB"/>
              </w:rPr>
            </w:pPr>
            <w:r w:rsidRPr="00A00017">
              <w:rPr>
                <w:rFonts w:ascii="Calibri" w:eastAsia="Times New Roman" w:hAnsi="Calibri" w:cs="Times New Roman"/>
                <w:color w:val="000000"/>
                <w:sz w:val="14"/>
                <w:szCs w:val="14"/>
                <w:lang w:eastAsia="en-GB"/>
              </w:rPr>
              <w:t xml:space="preserve">Stage 1: </w:t>
            </w:r>
            <w:r w:rsidR="00A07850" w:rsidRPr="00A00017">
              <w:rPr>
                <w:rFonts w:ascii="Calibri" w:eastAsia="Times New Roman" w:hAnsi="Calibri" w:cs="Times New Roman"/>
                <w:color w:val="000000"/>
                <w:sz w:val="14"/>
                <w:szCs w:val="14"/>
                <w:lang w:eastAsia="en-GB"/>
              </w:rPr>
              <w:t xml:space="preserve">11.7% Stage 2: 13.7% </w:t>
            </w:r>
            <w:r w:rsidR="00E85DAA" w:rsidRPr="00A00017">
              <w:rPr>
                <w:rFonts w:ascii="Calibri" w:eastAsia="Times New Roman" w:hAnsi="Calibri" w:cs="Times New Roman"/>
                <w:color w:val="000000"/>
                <w:sz w:val="14"/>
                <w:szCs w:val="14"/>
                <w:lang w:eastAsia="en-GB"/>
              </w:rPr>
              <w:t>Stage 4: 14.3</w:t>
            </w:r>
            <w:r w:rsidRPr="00A00017">
              <w:rPr>
                <w:rFonts w:ascii="Calibri" w:eastAsia="Times New Roman" w:hAnsi="Calibri" w:cs="Times New Roman"/>
                <w:color w:val="000000"/>
                <w:sz w:val="14"/>
                <w:szCs w:val="14"/>
                <w:lang w:eastAsia="en-GB"/>
              </w:rPr>
              <w:t xml:space="preserve">% </w:t>
            </w:r>
            <w:r w:rsidR="00E85DAA" w:rsidRPr="00A00017">
              <w:rPr>
                <w:rFonts w:ascii="Calibri" w:eastAsia="Times New Roman" w:hAnsi="Calibri" w:cs="Times New Roman"/>
                <w:color w:val="000000"/>
                <w:sz w:val="14"/>
                <w:szCs w:val="14"/>
                <w:lang w:eastAsia="en-GB"/>
              </w:rPr>
              <w:t xml:space="preserve">        NK:  4</w:t>
            </w:r>
            <w:r w:rsidRPr="00A00017">
              <w:rPr>
                <w:rFonts w:ascii="Calibri" w:eastAsia="Times New Roman" w:hAnsi="Calibri" w:cs="Times New Roman"/>
                <w:color w:val="000000"/>
                <w:sz w:val="14"/>
                <w:szCs w:val="14"/>
                <w:lang w:eastAsia="en-GB"/>
              </w:rPr>
              <w:t>8.6%</w:t>
            </w:r>
          </w:p>
        </w:tc>
        <w:tc>
          <w:tcPr>
            <w:tcW w:w="1276" w:type="dxa"/>
            <w:shd w:val="clear" w:color="auto" w:fill="auto"/>
            <w:noWrap/>
            <w:vAlign w:val="center"/>
            <w:hideMark/>
          </w:tcPr>
          <w:p w:rsidR="008F497D" w:rsidRPr="00A00017" w:rsidRDefault="00E85DAA" w:rsidP="008F7947">
            <w:pPr>
              <w:spacing w:after="0" w:line="240" w:lineRule="auto"/>
              <w:jc w:val="center"/>
              <w:rPr>
                <w:rFonts w:ascii="Calibri" w:eastAsia="Times New Roman" w:hAnsi="Calibri" w:cs="Times New Roman"/>
                <w:color w:val="000000"/>
                <w:sz w:val="14"/>
                <w:szCs w:val="14"/>
                <w:lang w:eastAsia="en-GB"/>
              </w:rPr>
            </w:pPr>
            <w:r w:rsidRPr="00A00017">
              <w:rPr>
                <w:rFonts w:ascii="Calibri" w:eastAsia="Times New Roman" w:hAnsi="Calibri" w:cs="Times New Roman"/>
                <w:color w:val="000000"/>
                <w:sz w:val="14"/>
                <w:szCs w:val="14"/>
                <w:lang w:eastAsia="en-GB"/>
              </w:rPr>
              <w:t>Stage 1: 18</w:t>
            </w:r>
            <w:r w:rsidR="008F497D" w:rsidRPr="00A00017">
              <w:rPr>
                <w:rFonts w:ascii="Calibri" w:eastAsia="Times New Roman" w:hAnsi="Calibri" w:cs="Times New Roman"/>
                <w:color w:val="000000"/>
                <w:sz w:val="14"/>
                <w:szCs w:val="14"/>
                <w:lang w:eastAsia="en-GB"/>
              </w:rPr>
              <w:t>.</w:t>
            </w:r>
            <w:r w:rsidRPr="00A00017">
              <w:rPr>
                <w:rFonts w:ascii="Calibri" w:eastAsia="Times New Roman" w:hAnsi="Calibri" w:cs="Times New Roman"/>
                <w:color w:val="000000"/>
                <w:sz w:val="14"/>
                <w:szCs w:val="14"/>
                <w:lang w:eastAsia="en-GB"/>
              </w:rPr>
              <w:t xml:space="preserve">0% </w:t>
            </w:r>
            <w:r w:rsidR="00A07850" w:rsidRPr="00A00017">
              <w:rPr>
                <w:rFonts w:ascii="Calibri" w:eastAsia="Times New Roman" w:hAnsi="Calibri" w:cs="Times New Roman"/>
                <w:color w:val="000000"/>
                <w:sz w:val="14"/>
                <w:szCs w:val="14"/>
                <w:lang w:eastAsia="en-GB"/>
              </w:rPr>
              <w:t xml:space="preserve">Stage 2: 23.7% </w:t>
            </w:r>
            <w:r w:rsidRPr="00A00017">
              <w:rPr>
                <w:rFonts w:ascii="Calibri" w:eastAsia="Times New Roman" w:hAnsi="Calibri" w:cs="Times New Roman"/>
                <w:color w:val="000000"/>
                <w:sz w:val="14"/>
                <w:szCs w:val="14"/>
                <w:lang w:eastAsia="en-GB"/>
              </w:rPr>
              <w:t>Stage 4: 17</w:t>
            </w:r>
            <w:r w:rsidR="008F497D" w:rsidRPr="00A00017">
              <w:rPr>
                <w:rFonts w:ascii="Calibri" w:eastAsia="Times New Roman" w:hAnsi="Calibri" w:cs="Times New Roman"/>
                <w:color w:val="000000"/>
                <w:sz w:val="14"/>
                <w:szCs w:val="14"/>
                <w:lang w:eastAsia="en-GB"/>
              </w:rPr>
              <w:t>.</w:t>
            </w:r>
            <w:r w:rsidRPr="00A00017">
              <w:rPr>
                <w:rFonts w:ascii="Calibri" w:eastAsia="Times New Roman" w:hAnsi="Calibri" w:cs="Times New Roman"/>
                <w:color w:val="000000"/>
                <w:sz w:val="14"/>
                <w:szCs w:val="14"/>
                <w:lang w:eastAsia="en-GB"/>
              </w:rPr>
              <w:t>5% NK:  23</w:t>
            </w:r>
            <w:r w:rsidR="008F497D" w:rsidRPr="00A00017">
              <w:rPr>
                <w:rFonts w:ascii="Calibri" w:eastAsia="Times New Roman" w:hAnsi="Calibri" w:cs="Times New Roman"/>
                <w:color w:val="000000"/>
                <w:sz w:val="14"/>
                <w:szCs w:val="14"/>
                <w:lang w:eastAsia="en-GB"/>
              </w:rPr>
              <w:t>.2%</w:t>
            </w:r>
          </w:p>
        </w:tc>
        <w:tc>
          <w:tcPr>
            <w:tcW w:w="1263" w:type="dxa"/>
            <w:shd w:val="clear" w:color="auto" w:fill="auto"/>
            <w:noWrap/>
            <w:vAlign w:val="center"/>
            <w:hideMark/>
          </w:tcPr>
          <w:p w:rsidR="008F497D" w:rsidRPr="00A00017" w:rsidRDefault="008F497D" w:rsidP="008F7947">
            <w:pPr>
              <w:spacing w:after="0" w:line="240" w:lineRule="auto"/>
              <w:jc w:val="center"/>
              <w:rPr>
                <w:rFonts w:ascii="Calibri" w:eastAsia="Times New Roman" w:hAnsi="Calibri" w:cs="Times New Roman"/>
                <w:color w:val="000000"/>
                <w:sz w:val="14"/>
                <w:szCs w:val="14"/>
                <w:lang w:eastAsia="en-GB"/>
              </w:rPr>
            </w:pPr>
            <w:r w:rsidRPr="00A00017">
              <w:rPr>
                <w:rFonts w:ascii="Calibri" w:eastAsia="Times New Roman" w:hAnsi="Calibri" w:cs="Times New Roman"/>
                <w:color w:val="000000"/>
                <w:sz w:val="14"/>
                <w:szCs w:val="14"/>
                <w:lang w:eastAsia="en-GB"/>
              </w:rPr>
              <w:t xml:space="preserve">Stage 1: </w:t>
            </w:r>
            <w:r w:rsidR="00E85DAA" w:rsidRPr="00A00017">
              <w:rPr>
                <w:rFonts w:ascii="Calibri" w:eastAsia="Times New Roman" w:hAnsi="Calibri" w:cs="Times New Roman"/>
                <w:color w:val="000000"/>
                <w:sz w:val="14"/>
                <w:szCs w:val="14"/>
                <w:lang w:eastAsia="en-GB"/>
              </w:rPr>
              <w:t>11</w:t>
            </w:r>
            <w:r w:rsidRPr="00A00017">
              <w:rPr>
                <w:rFonts w:ascii="Calibri" w:eastAsia="Times New Roman" w:hAnsi="Calibri" w:cs="Times New Roman"/>
                <w:color w:val="000000"/>
                <w:sz w:val="14"/>
                <w:szCs w:val="14"/>
                <w:lang w:eastAsia="en-GB"/>
              </w:rPr>
              <w:t>.</w:t>
            </w:r>
            <w:r w:rsidR="00E85DAA" w:rsidRPr="00A00017">
              <w:rPr>
                <w:rFonts w:ascii="Calibri" w:eastAsia="Times New Roman" w:hAnsi="Calibri" w:cs="Times New Roman"/>
                <w:color w:val="000000"/>
                <w:sz w:val="14"/>
                <w:szCs w:val="14"/>
                <w:lang w:eastAsia="en-GB"/>
              </w:rPr>
              <w:t>7</w:t>
            </w:r>
            <w:r w:rsidRPr="00A00017">
              <w:rPr>
                <w:rFonts w:ascii="Calibri" w:eastAsia="Times New Roman" w:hAnsi="Calibri" w:cs="Times New Roman"/>
                <w:color w:val="000000"/>
                <w:sz w:val="14"/>
                <w:szCs w:val="14"/>
                <w:lang w:eastAsia="en-GB"/>
              </w:rPr>
              <w:t xml:space="preserve">%  </w:t>
            </w:r>
            <w:r w:rsidR="00E85DAA" w:rsidRPr="00A00017">
              <w:rPr>
                <w:rFonts w:ascii="Calibri" w:eastAsia="Times New Roman" w:hAnsi="Calibri" w:cs="Times New Roman"/>
                <w:color w:val="000000"/>
                <w:sz w:val="14"/>
                <w:szCs w:val="14"/>
                <w:lang w:eastAsia="en-GB"/>
              </w:rPr>
              <w:t xml:space="preserve">                   </w:t>
            </w:r>
            <w:r w:rsidR="00A07850" w:rsidRPr="00A00017">
              <w:rPr>
                <w:rFonts w:ascii="Calibri" w:eastAsia="Times New Roman" w:hAnsi="Calibri" w:cs="Times New Roman"/>
                <w:color w:val="000000"/>
                <w:sz w:val="14"/>
                <w:szCs w:val="14"/>
                <w:lang w:eastAsia="en-GB"/>
              </w:rPr>
              <w:t xml:space="preserve">Stage 2: 23.1% </w:t>
            </w:r>
            <w:r w:rsidR="00E85DAA" w:rsidRPr="00A00017">
              <w:rPr>
                <w:rFonts w:ascii="Calibri" w:eastAsia="Times New Roman" w:hAnsi="Calibri" w:cs="Times New Roman"/>
                <w:color w:val="000000"/>
                <w:sz w:val="14"/>
                <w:szCs w:val="14"/>
                <w:lang w:eastAsia="en-GB"/>
              </w:rPr>
              <w:t>Stage 4: 25</w:t>
            </w:r>
            <w:r w:rsidRPr="00A00017">
              <w:rPr>
                <w:rFonts w:ascii="Calibri" w:eastAsia="Times New Roman" w:hAnsi="Calibri" w:cs="Times New Roman"/>
                <w:color w:val="000000"/>
                <w:sz w:val="14"/>
                <w:szCs w:val="14"/>
                <w:lang w:eastAsia="en-GB"/>
              </w:rPr>
              <w:t>.</w:t>
            </w:r>
            <w:r w:rsidR="00E85DAA" w:rsidRPr="00A00017">
              <w:rPr>
                <w:rFonts w:ascii="Calibri" w:eastAsia="Times New Roman" w:hAnsi="Calibri" w:cs="Times New Roman"/>
                <w:color w:val="000000"/>
                <w:sz w:val="14"/>
                <w:szCs w:val="14"/>
                <w:lang w:eastAsia="en-GB"/>
              </w:rPr>
              <w:t>1%                     NK:  22.7</w:t>
            </w:r>
            <w:r w:rsidRPr="00A00017">
              <w:rPr>
                <w:rFonts w:ascii="Calibri" w:eastAsia="Times New Roman" w:hAnsi="Calibri" w:cs="Times New Roman"/>
                <w:color w:val="000000"/>
                <w:sz w:val="14"/>
                <w:szCs w:val="14"/>
                <w:lang w:eastAsia="en-GB"/>
              </w:rPr>
              <w:t>%</w:t>
            </w:r>
          </w:p>
        </w:tc>
        <w:tc>
          <w:tcPr>
            <w:tcW w:w="1555" w:type="dxa"/>
            <w:gridSpan w:val="2"/>
            <w:shd w:val="clear" w:color="auto" w:fill="auto"/>
            <w:noWrap/>
            <w:vAlign w:val="center"/>
            <w:hideMark/>
          </w:tcPr>
          <w:p w:rsidR="008F497D" w:rsidRPr="00A00017" w:rsidRDefault="00E85DAA" w:rsidP="008F7947">
            <w:pPr>
              <w:spacing w:after="0" w:line="240" w:lineRule="auto"/>
              <w:jc w:val="center"/>
              <w:rPr>
                <w:rFonts w:ascii="Calibri" w:eastAsia="Times New Roman" w:hAnsi="Calibri" w:cs="Times New Roman"/>
                <w:color w:val="000000"/>
                <w:sz w:val="14"/>
                <w:szCs w:val="14"/>
                <w:lang w:eastAsia="en-GB"/>
              </w:rPr>
            </w:pPr>
            <w:r w:rsidRPr="00A00017">
              <w:rPr>
                <w:rFonts w:ascii="Calibri" w:eastAsia="Times New Roman" w:hAnsi="Calibri" w:cs="Times New Roman"/>
                <w:color w:val="000000"/>
                <w:sz w:val="14"/>
                <w:szCs w:val="14"/>
                <w:lang w:eastAsia="en-GB"/>
              </w:rPr>
              <w:t>Stage 1: 15</w:t>
            </w:r>
            <w:r w:rsidR="008F497D" w:rsidRPr="00A00017">
              <w:rPr>
                <w:rFonts w:ascii="Calibri" w:eastAsia="Times New Roman" w:hAnsi="Calibri" w:cs="Times New Roman"/>
                <w:color w:val="000000"/>
                <w:sz w:val="14"/>
                <w:szCs w:val="14"/>
                <w:lang w:eastAsia="en-GB"/>
              </w:rPr>
              <w:t>.</w:t>
            </w:r>
            <w:r w:rsidRPr="00A00017">
              <w:rPr>
                <w:rFonts w:ascii="Calibri" w:eastAsia="Times New Roman" w:hAnsi="Calibri" w:cs="Times New Roman"/>
                <w:color w:val="000000"/>
                <w:sz w:val="14"/>
                <w:szCs w:val="14"/>
                <w:lang w:eastAsia="en-GB"/>
              </w:rPr>
              <w:t>7</w:t>
            </w:r>
            <w:r w:rsidR="008F497D" w:rsidRPr="00A00017">
              <w:rPr>
                <w:rFonts w:ascii="Calibri" w:eastAsia="Times New Roman" w:hAnsi="Calibri" w:cs="Times New Roman"/>
                <w:color w:val="000000"/>
                <w:sz w:val="14"/>
                <w:szCs w:val="14"/>
                <w:lang w:eastAsia="en-GB"/>
              </w:rPr>
              <w:t xml:space="preserve">%    </w:t>
            </w:r>
            <w:r w:rsidRPr="00A00017">
              <w:rPr>
                <w:rFonts w:ascii="Calibri" w:eastAsia="Times New Roman" w:hAnsi="Calibri" w:cs="Times New Roman"/>
                <w:color w:val="000000"/>
                <w:sz w:val="14"/>
                <w:szCs w:val="14"/>
                <w:lang w:eastAsia="en-GB"/>
              </w:rPr>
              <w:t xml:space="preserve">                      </w:t>
            </w:r>
            <w:r w:rsidR="00A07850" w:rsidRPr="00A00017">
              <w:rPr>
                <w:rFonts w:ascii="Calibri" w:eastAsia="Times New Roman" w:hAnsi="Calibri" w:cs="Times New Roman"/>
                <w:color w:val="000000"/>
                <w:sz w:val="14"/>
                <w:szCs w:val="14"/>
                <w:lang w:eastAsia="en-GB"/>
              </w:rPr>
              <w:t xml:space="preserve">Stage 2: 16.9% </w:t>
            </w:r>
            <w:r w:rsidRPr="00A00017">
              <w:rPr>
                <w:rFonts w:ascii="Calibri" w:eastAsia="Times New Roman" w:hAnsi="Calibri" w:cs="Times New Roman"/>
                <w:color w:val="000000"/>
                <w:sz w:val="14"/>
                <w:szCs w:val="14"/>
                <w:lang w:eastAsia="en-GB"/>
              </w:rPr>
              <w:t>Stage 4: 2</w:t>
            </w:r>
            <w:r w:rsidR="008F497D" w:rsidRPr="00A00017">
              <w:rPr>
                <w:rFonts w:ascii="Calibri" w:eastAsia="Times New Roman" w:hAnsi="Calibri" w:cs="Times New Roman"/>
                <w:color w:val="000000"/>
                <w:sz w:val="14"/>
                <w:szCs w:val="14"/>
                <w:lang w:eastAsia="en-GB"/>
              </w:rPr>
              <w:t xml:space="preserve">2.5%  </w:t>
            </w:r>
            <w:r w:rsidRPr="00A00017">
              <w:rPr>
                <w:rFonts w:ascii="Calibri" w:eastAsia="Times New Roman" w:hAnsi="Calibri" w:cs="Times New Roman"/>
                <w:color w:val="000000"/>
                <w:sz w:val="14"/>
                <w:szCs w:val="14"/>
                <w:lang w:eastAsia="en-GB"/>
              </w:rPr>
              <w:t xml:space="preserve">                         NK:  29</w:t>
            </w:r>
            <w:r w:rsidR="008F497D" w:rsidRPr="00A00017">
              <w:rPr>
                <w:rFonts w:ascii="Calibri" w:eastAsia="Times New Roman" w:hAnsi="Calibri" w:cs="Times New Roman"/>
                <w:color w:val="000000"/>
                <w:sz w:val="14"/>
                <w:szCs w:val="14"/>
                <w:lang w:eastAsia="en-GB"/>
              </w:rPr>
              <w:t>.</w:t>
            </w:r>
            <w:r w:rsidRPr="00A00017">
              <w:rPr>
                <w:rFonts w:ascii="Calibri" w:eastAsia="Times New Roman" w:hAnsi="Calibri" w:cs="Times New Roman"/>
                <w:color w:val="000000"/>
                <w:sz w:val="14"/>
                <w:szCs w:val="14"/>
                <w:lang w:eastAsia="en-GB"/>
              </w:rPr>
              <w:t>1</w:t>
            </w:r>
            <w:r w:rsidR="008F497D" w:rsidRPr="00A00017">
              <w:rPr>
                <w:rFonts w:ascii="Calibri" w:eastAsia="Times New Roman" w:hAnsi="Calibri" w:cs="Times New Roman"/>
                <w:color w:val="000000"/>
                <w:sz w:val="14"/>
                <w:szCs w:val="14"/>
                <w:lang w:eastAsia="en-GB"/>
              </w:rPr>
              <w:t>%</w:t>
            </w:r>
          </w:p>
        </w:tc>
        <w:tc>
          <w:tcPr>
            <w:tcW w:w="1293" w:type="dxa"/>
            <w:shd w:val="clear" w:color="auto" w:fill="auto"/>
            <w:noWrap/>
            <w:vAlign w:val="center"/>
            <w:hideMark/>
          </w:tcPr>
          <w:p w:rsidR="008F497D" w:rsidRPr="00A00017" w:rsidRDefault="00E85DAA" w:rsidP="008F7947">
            <w:pPr>
              <w:spacing w:after="0" w:line="240" w:lineRule="auto"/>
              <w:jc w:val="center"/>
              <w:rPr>
                <w:rFonts w:ascii="Calibri" w:eastAsia="Times New Roman" w:hAnsi="Calibri" w:cs="Times New Roman"/>
                <w:color w:val="000000"/>
                <w:sz w:val="14"/>
                <w:szCs w:val="14"/>
                <w:lang w:eastAsia="en-GB"/>
              </w:rPr>
            </w:pPr>
            <w:r w:rsidRPr="00A00017">
              <w:rPr>
                <w:rFonts w:ascii="Calibri" w:eastAsia="Times New Roman" w:hAnsi="Calibri" w:cs="Times New Roman"/>
                <w:color w:val="000000"/>
                <w:sz w:val="14"/>
                <w:szCs w:val="14"/>
                <w:lang w:eastAsia="en-GB"/>
              </w:rPr>
              <w:t>Stage 1: 17</w:t>
            </w:r>
            <w:r w:rsidR="008F497D" w:rsidRPr="00A00017">
              <w:rPr>
                <w:rFonts w:ascii="Calibri" w:eastAsia="Times New Roman" w:hAnsi="Calibri" w:cs="Times New Roman"/>
                <w:color w:val="000000"/>
                <w:sz w:val="14"/>
                <w:szCs w:val="14"/>
                <w:lang w:eastAsia="en-GB"/>
              </w:rPr>
              <w:t>.</w:t>
            </w:r>
            <w:r w:rsidRPr="00A00017">
              <w:rPr>
                <w:rFonts w:ascii="Calibri" w:eastAsia="Times New Roman" w:hAnsi="Calibri" w:cs="Times New Roman"/>
                <w:color w:val="000000"/>
                <w:sz w:val="14"/>
                <w:szCs w:val="14"/>
                <w:lang w:eastAsia="en-GB"/>
              </w:rPr>
              <w:t xml:space="preserve">5% </w:t>
            </w:r>
            <w:r w:rsidR="00A07850" w:rsidRPr="00A00017">
              <w:rPr>
                <w:rFonts w:ascii="Calibri" w:eastAsia="Times New Roman" w:hAnsi="Calibri" w:cs="Times New Roman"/>
                <w:color w:val="000000"/>
                <w:sz w:val="14"/>
                <w:szCs w:val="14"/>
                <w:lang w:eastAsia="en-GB"/>
              </w:rPr>
              <w:t xml:space="preserve">Stage 2: 22.7% </w:t>
            </w:r>
            <w:r w:rsidRPr="00A00017">
              <w:rPr>
                <w:rFonts w:ascii="Calibri" w:eastAsia="Times New Roman" w:hAnsi="Calibri" w:cs="Times New Roman"/>
                <w:color w:val="000000"/>
                <w:sz w:val="14"/>
                <w:szCs w:val="14"/>
                <w:lang w:eastAsia="en-GB"/>
              </w:rPr>
              <w:t>Stage 4: 18.6% NK:  20</w:t>
            </w:r>
            <w:r w:rsidR="008F497D" w:rsidRPr="00A00017">
              <w:rPr>
                <w:rFonts w:ascii="Calibri" w:eastAsia="Times New Roman" w:hAnsi="Calibri" w:cs="Times New Roman"/>
                <w:color w:val="000000"/>
                <w:sz w:val="14"/>
                <w:szCs w:val="14"/>
                <w:lang w:eastAsia="en-GB"/>
              </w:rPr>
              <w:t>.</w:t>
            </w:r>
            <w:r w:rsidRPr="00A00017">
              <w:rPr>
                <w:rFonts w:ascii="Calibri" w:eastAsia="Times New Roman" w:hAnsi="Calibri" w:cs="Times New Roman"/>
                <w:color w:val="000000"/>
                <w:sz w:val="14"/>
                <w:szCs w:val="14"/>
                <w:lang w:eastAsia="en-GB"/>
              </w:rPr>
              <w:t>1</w:t>
            </w:r>
            <w:r w:rsidR="008F497D" w:rsidRPr="00A00017">
              <w:rPr>
                <w:rFonts w:ascii="Calibri" w:eastAsia="Times New Roman" w:hAnsi="Calibri" w:cs="Times New Roman"/>
                <w:color w:val="000000"/>
                <w:sz w:val="14"/>
                <w:szCs w:val="14"/>
                <w:lang w:eastAsia="en-GB"/>
              </w:rPr>
              <w:t>%</w:t>
            </w:r>
          </w:p>
        </w:tc>
        <w:tc>
          <w:tcPr>
            <w:tcW w:w="992" w:type="dxa"/>
            <w:shd w:val="clear" w:color="auto" w:fill="auto"/>
            <w:vAlign w:val="center"/>
            <w:hideMark/>
          </w:tcPr>
          <w:p w:rsidR="008F497D" w:rsidRPr="002A56A8" w:rsidRDefault="008F497D" w:rsidP="002A56A8">
            <w:pPr>
              <w:spacing w:after="0" w:line="240" w:lineRule="auto"/>
              <w:jc w:val="center"/>
              <w:rPr>
                <w:rFonts w:ascii="Calibri" w:eastAsia="Times New Roman" w:hAnsi="Calibri" w:cs="Times New Roman"/>
                <w:color w:val="000000"/>
                <w:sz w:val="12"/>
                <w:szCs w:val="12"/>
                <w:lang w:eastAsia="en-GB"/>
              </w:rPr>
            </w:pPr>
          </w:p>
        </w:tc>
        <w:tc>
          <w:tcPr>
            <w:tcW w:w="1134" w:type="dxa"/>
            <w:shd w:val="clear" w:color="auto" w:fill="auto"/>
            <w:vAlign w:val="center"/>
            <w:hideMark/>
          </w:tcPr>
          <w:p w:rsidR="008F497D" w:rsidRPr="002A56A8" w:rsidRDefault="008F497D" w:rsidP="002A56A8">
            <w:pPr>
              <w:spacing w:after="0" w:line="240" w:lineRule="auto"/>
              <w:jc w:val="center"/>
              <w:rPr>
                <w:rFonts w:ascii="Calibri" w:eastAsia="Times New Roman" w:hAnsi="Calibri" w:cs="Times New Roman"/>
                <w:color w:val="000000"/>
                <w:sz w:val="12"/>
                <w:szCs w:val="12"/>
                <w:lang w:eastAsia="en-GB"/>
              </w:rPr>
            </w:pPr>
          </w:p>
        </w:tc>
      </w:tr>
      <w:tr w:rsidR="008F497D" w:rsidRPr="002A56A8" w:rsidTr="008F7947">
        <w:trPr>
          <w:trHeight w:val="127"/>
        </w:trPr>
        <w:tc>
          <w:tcPr>
            <w:tcW w:w="1900" w:type="dxa"/>
            <w:shd w:val="clear" w:color="auto" w:fill="auto"/>
            <w:vAlign w:val="bottom"/>
            <w:hideMark/>
          </w:tcPr>
          <w:p w:rsidR="008F497D" w:rsidRPr="00D06FAA" w:rsidRDefault="008F497D" w:rsidP="008F497D">
            <w:pPr>
              <w:spacing w:after="0" w:line="240" w:lineRule="auto"/>
              <w:rPr>
                <w:rFonts w:ascii="Calibri" w:eastAsia="Times New Roman" w:hAnsi="Calibri" w:cs="Times New Roman"/>
                <w:color w:val="000000"/>
                <w:sz w:val="16"/>
                <w:szCs w:val="16"/>
                <w:lang w:eastAsia="en-GB"/>
              </w:rPr>
            </w:pPr>
            <w:r w:rsidRPr="00D06FAA">
              <w:rPr>
                <w:rFonts w:ascii="Calibri" w:eastAsia="Times New Roman" w:hAnsi="Calibri" w:cs="Times New Roman"/>
                <w:color w:val="000000"/>
                <w:sz w:val="16"/>
                <w:szCs w:val="16"/>
                <w:lang w:eastAsia="en-GB"/>
              </w:rPr>
              <w:t>Female Staging (2003-07)</w:t>
            </w:r>
          </w:p>
        </w:tc>
        <w:tc>
          <w:tcPr>
            <w:tcW w:w="1361" w:type="dxa"/>
            <w:shd w:val="clear" w:color="auto" w:fill="auto"/>
            <w:noWrap/>
            <w:vAlign w:val="center"/>
            <w:hideMark/>
          </w:tcPr>
          <w:p w:rsidR="008F497D" w:rsidRPr="00A00017" w:rsidRDefault="00E85DAA" w:rsidP="008F7947">
            <w:pPr>
              <w:spacing w:after="0" w:line="240" w:lineRule="auto"/>
              <w:jc w:val="center"/>
              <w:rPr>
                <w:rFonts w:ascii="Calibri" w:eastAsia="Times New Roman" w:hAnsi="Calibri" w:cs="Times New Roman"/>
                <w:color w:val="000000"/>
                <w:sz w:val="14"/>
                <w:szCs w:val="14"/>
                <w:lang w:eastAsia="en-GB"/>
              </w:rPr>
            </w:pPr>
            <w:r w:rsidRPr="00A00017">
              <w:rPr>
                <w:rFonts w:ascii="Calibri" w:eastAsia="Times New Roman" w:hAnsi="Calibri" w:cs="Times New Roman"/>
                <w:color w:val="000000"/>
                <w:sz w:val="14"/>
                <w:szCs w:val="14"/>
                <w:lang w:eastAsia="en-GB"/>
              </w:rPr>
              <w:t>Stage 1: 10</w:t>
            </w:r>
            <w:r w:rsidR="008F497D" w:rsidRPr="00A00017">
              <w:rPr>
                <w:rFonts w:ascii="Calibri" w:eastAsia="Times New Roman" w:hAnsi="Calibri" w:cs="Times New Roman"/>
                <w:color w:val="000000"/>
                <w:sz w:val="14"/>
                <w:szCs w:val="14"/>
                <w:lang w:eastAsia="en-GB"/>
              </w:rPr>
              <w:t>.</w:t>
            </w:r>
            <w:r w:rsidRPr="00A00017">
              <w:rPr>
                <w:rFonts w:ascii="Calibri" w:eastAsia="Times New Roman" w:hAnsi="Calibri" w:cs="Times New Roman"/>
                <w:color w:val="000000"/>
                <w:sz w:val="14"/>
                <w:szCs w:val="14"/>
                <w:lang w:eastAsia="en-GB"/>
              </w:rPr>
              <w:t xml:space="preserve">9% </w:t>
            </w:r>
            <w:r w:rsidR="00A07850" w:rsidRPr="00A00017">
              <w:rPr>
                <w:rFonts w:ascii="Calibri" w:eastAsia="Times New Roman" w:hAnsi="Calibri" w:cs="Times New Roman"/>
                <w:color w:val="000000"/>
                <w:sz w:val="14"/>
                <w:szCs w:val="14"/>
                <w:lang w:eastAsia="en-GB"/>
              </w:rPr>
              <w:t xml:space="preserve">Stage 2: 11.8% </w:t>
            </w:r>
            <w:r w:rsidRPr="00A00017">
              <w:rPr>
                <w:rFonts w:ascii="Calibri" w:eastAsia="Times New Roman" w:hAnsi="Calibri" w:cs="Times New Roman"/>
                <w:color w:val="000000"/>
                <w:sz w:val="14"/>
                <w:szCs w:val="14"/>
                <w:lang w:eastAsia="en-GB"/>
              </w:rPr>
              <w:t>Stage 4: 17.3</w:t>
            </w:r>
            <w:r w:rsidR="008F497D" w:rsidRPr="00A00017">
              <w:rPr>
                <w:rFonts w:ascii="Calibri" w:eastAsia="Times New Roman" w:hAnsi="Calibri" w:cs="Times New Roman"/>
                <w:color w:val="000000"/>
                <w:sz w:val="14"/>
                <w:szCs w:val="14"/>
                <w:lang w:eastAsia="en-GB"/>
              </w:rPr>
              <w:t xml:space="preserve">% </w:t>
            </w:r>
            <w:r w:rsidRPr="00A00017">
              <w:rPr>
                <w:rFonts w:ascii="Calibri" w:eastAsia="Times New Roman" w:hAnsi="Calibri" w:cs="Times New Roman"/>
                <w:color w:val="000000"/>
                <w:sz w:val="14"/>
                <w:szCs w:val="14"/>
                <w:lang w:eastAsia="en-GB"/>
              </w:rPr>
              <w:t>NK:  49.1</w:t>
            </w:r>
            <w:r w:rsidR="008F497D" w:rsidRPr="00A00017">
              <w:rPr>
                <w:rFonts w:ascii="Calibri" w:eastAsia="Times New Roman" w:hAnsi="Calibri" w:cs="Times New Roman"/>
                <w:color w:val="000000"/>
                <w:sz w:val="14"/>
                <w:szCs w:val="14"/>
                <w:lang w:eastAsia="en-GB"/>
              </w:rPr>
              <w:t>%</w:t>
            </w:r>
          </w:p>
        </w:tc>
        <w:tc>
          <w:tcPr>
            <w:tcW w:w="1276" w:type="dxa"/>
            <w:shd w:val="clear" w:color="auto" w:fill="auto"/>
            <w:noWrap/>
            <w:vAlign w:val="center"/>
            <w:hideMark/>
          </w:tcPr>
          <w:p w:rsidR="008F497D" w:rsidRPr="00A00017" w:rsidRDefault="00E85DAA" w:rsidP="008F7947">
            <w:pPr>
              <w:spacing w:after="0" w:line="240" w:lineRule="auto"/>
              <w:jc w:val="center"/>
              <w:rPr>
                <w:rFonts w:ascii="Calibri" w:eastAsia="Times New Roman" w:hAnsi="Calibri" w:cs="Times New Roman"/>
                <w:color w:val="000000"/>
                <w:sz w:val="14"/>
                <w:szCs w:val="14"/>
                <w:lang w:eastAsia="en-GB"/>
              </w:rPr>
            </w:pPr>
            <w:r w:rsidRPr="00A00017">
              <w:rPr>
                <w:rFonts w:ascii="Calibri" w:eastAsia="Times New Roman" w:hAnsi="Calibri" w:cs="Times New Roman"/>
                <w:color w:val="000000"/>
                <w:sz w:val="14"/>
                <w:szCs w:val="14"/>
                <w:lang w:eastAsia="en-GB"/>
              </w:rPr>
              <w:t>Stage 1: 15</w:t>
            </w:r>
            <w:r w:rsidR="008F497D" w:rsidRPr="00A00017">
              <w:rPr>
                <w:rFonts w:ascii="Calibri" w:eastAsia="Times New Roman" w:hAnsi="Calibri" w:cs="Times New Roman"/>
                <w:color w:val="000000"/>
                <w:sz w:val="14"/>
                <w:szCs w:val="14"/>
                <w:lang w:eastAsia="en-GB"/>
              </w:rPr>
              <w:t>.</w:t>
            </w:r>
            <w:r w:rsidRPr="00A00017">
              <w:rPr>
                <w:rFonts w:ascii="Calibri" w:eastAsia="Times New Roman" w:hAnsi="Calibri" w:cs="Times New Roman"/>
                <w:color w:val="000000"/>
                <w:sz w:val="14"/>
                <w:szCs w:val="14"/>
                <w:lang w:eastAsia="en-GB"/>
              </w:rPr>
              <w:t xml:space="preserve">3% </w:t>
            </w:r>
            <w:r w:rsidR="00A07850" w:rsidRPr="00A00017">
              <w:rPr>
                <w:rFonts w:ascii="Calibri" w:eastAsia="Times New Roman" w:hAnsi="Calibri" w:cs="Times New Roman"/>
                <w:color w:val="000000"/>
                <w:sz w:val="14"/>
                <w:szCs w:val="14"/>
                <w:lang w:eastAsia="en-GB"/>
              </w:rPr>
              <w:t xml:space="preserve">Stage 2: 21.1% </w:t>
            </w:r>
            <w:r w:rsidRPr="00A00017">
              <w:rPr>
                <w:rFonts w:ascii="Calibri" w:eastAsia="Times New Roman" w:hAnsi="Calibri" w:cs="Times New Roman"/>
                <w:color w:val="000000"/>
                <w:sz w:val="14"/>
                <w:szCs w:val="14"/>
                <w:lang w:eastAsia="en-GB"/>
              </w:rPr>
              <w:t>Stage 4: 18.7% NK:  23</w:t>
            </w:r>
            <w:r w:rsidR="008F497D" w:rsidRPr="00A00017">
              <w:rPr>
                <w:rFonts w:ascii="Calibri" w:eastAsia="Times New Roman" w:hAnsi="Calibri" w:cs="Times New Roman"/>
                <w:color w:val="000000"/>
                <w:sz w:val="14"/>
                <w:szCs w:val="14"/>
                <w:lang w:eastAsia="en-GB"/>
              </w:rPr>
              <w:t>.</w:t>
            </w:r>
            <w:r w:rsidRPr="00A00017">
              <w:rPr>
                <w:rFonts w:ascii="Calibri" w:eastAsia="Times New Roman" w:hAnsi="Calibri" w:cs="Times New Roman"/>
                <w:color w:val="000000"/>
                <w:sz w:val="14"/>
                <w:szCs w:val="14"/>
                <w:lang w:eastAsia="en-GB"/>
              </w:rPr>
              <w:t>4</w:t>
            </w:r>
            <w:r w:rsidR="008F497D" w:rsidRPr="00A00017">
              <w:rPr>
                <w:rFonts w:ascii="Calibri" w:eastAsia="Times New Roman" w:hAnsi="Calibri" w:cs="Times New Roman"/>
                <w:color w:val="000000"/>
                <w:sz w:val="14"/>
                <w:szCs w:val="14"/>
                <w:lang w:eastAsia="en-GB"/>
              </w:rPr>
              <w:t>%</w:t>
            </w:r>
          </w:p>
        </w:tc>
        <w:tc>
          <w:tcPr>
            <w:tcW w:w="1263" w:type="dxa"/>
            <w:shd w:val="clear" w:color="auto" w:fill="auto"/>
            <w:noWrap/>
            <w:vAlign w:val="center"/>
            <w:hideMark/>
          </w:tcPr>
          <w:p w:rsidR="008F497D" w:rsidRPr="00A00017" w:rsidRDefault="00E85DAA" w:rsidP="008F7947">
            <w:pPr>
              <w:spacing w:after="0" w:line="240" w:lineRule="auto"/>
              <w:jc w:val="center"/>
              <w:rPr>
                <w:rFonts w:ascii="Calibri" w:eastAsia="Times New Roman" w:hAnsi="Calibri" w:cs="Times New Roman"/>
                <w:color w:val="000000"/>
                <w:sz w:val="14"/>
                <w:szCs w:val="14"/>
                <w:lang w:eastAsia="en-GB"/>
              </w:rPr>
            </w:pPr>
            <w:r w:rsidRPr="00A00017">
              <w:rPr>
                <w:rFonts w:ascii="Calibri" w:eastAsia="Times New Roman" w:hAnsi="Calibri" w:cs="Times New Roman"/>
                <w:color w:val="000000"/>
                <w:sz w:val="14"/>
                <w:szCs w:val="14"/>
                <w:lang w:eastAsia="en-GB"/>
              </w:rPr>
              <w:t>Stage 1: 19.5</w:t>
            </w:r>
            <w:r w:rsidR="008F497D" w:rsidRPr="00A00017">
              <w:rPr>
                <w:rFonts w:ascii="Calibri" w:eastAsia="Times New Roman" w:hAnsi="Calibri" w:cs="Times New Roman"/>
                <w:color w:val="000000"/>
                <w:sz w:val="14"/>
                <w:szCs w:val="14"/>
                <w:lang w:eastAsia="en-GB"/>
              </w:rPr>
              <w:t xml:space="preserve">%  </w:t>
            </w:r>
            <w:r w:rsidRPr="00A00017">
              <w:rPr>
                <w:rFonts w:ascii="Calibri" w:eastAsia="Times New Roman" w:hAnsi="Calibri" w:cs="Times New Roman"/>
                <w:color w:val="000000"/>
                <w:sz w:val="14"/>
                <w:szCs w:val="14"/>
                <w:lang w:eastAsia="en-GB"/>
              </w:rPr>
              <w:t xml:space="preserve">                   </w:t>
            </w:r>
            <w:r w:rsidR="00A07850" w:rsidRPr="00A00017">
              <w:rPr>
                <w:rFonts w:ascii="Calibri" w:eastAsia="Times New Roman" w:hAnsi="Calibri" w:cs="Times New Roman"/>
                <w:color w:val="000000"/>
                <w:sz w:val="14"/>
                <w:szCs w:val="14"/>
                <w:lang w:eastAsia="en-GB"/>
              </w:rPr>
              <w:t xml:space="preserve">Stage 2: 19.4% </w:t>
            </w:r>
            <w:r w:rsidRPr="00A00017">
              <w:rPr>
                <w:rFonts w:ascii="Calibri" w:eastAsia="Times New Roman" w:hAnsi="Calibri" w:cs="Times New Roman"/>
                <w:color w:val="000000"/>
                <w:sz w:val="14"/>
                <w:szCs w:val="14"/>
                <w:lang w:eastAsia="en-GB"/>
              </w:rPr>
              <w:t>Stage 4: 22.0%                     NK:  17.5</w:t>
            </w:r>
            <w:r w:rsidR="008F497D" w:rsidRPr="00A00017">
              <w:rPr>
                <w:rFonts w:ascii="Calibri" w:eastAsia="Times New Roman" w:hAnsi="Calibri" w:cs="Times New Roman"/>
                <w:color w:val="000000"/>
                <w:sz w:val="14"/>
                <w:szCs w:val="14"/>
                <w:lang w:eastAsia="en-GB"/>
              </w:rPr>
              <w:t>%</w:t>
            </w:r>
          </w:p>
        </w:tc>
        <w:tc>
          <w:tcPr>
            <w:tcW w:w="1555" w:type="dxa"/>
            <w:gridSpan w:val="2"/>
            <w:shd w:val="clear" w:color="auto" w:fill="auto"/>
            <w:noWrap/>
            <w:vAlign w:val="center"/>
            <w:hideMark/>
          </w:tcPr>
          <w:p w:rsidR="008F497D" w:rsidRPr="00A00017" w:rsidRDefault="00E85DAA" w:rsidP="008F7947">
            <w:pPr>
              <w:spacing w:after="0" w:line="240" w:lineRule="auto"/>
              <w:jc w:val="center"/>
              <w:rPr>
                <w:rFonts w:ascii="Calibri" w:eastAsia="Times New Roman" w:hAnsi="Calibri" w:cs="Times New Roman"/>
                <w:color w:val="000000"/>
                <w:sz w:val="14"/>
                <w:szCs w:val="14"/>
                <w:lang w:eastAsia="en-GB"/>
              </w:rPr>
            </w:pPr>
            <w:r w:rsidRPr="00A00017">
              <w:rPr>
                <w:rFonts w:ascii="Calibri" w:eastAsia="Times New Roman" w:hAnsi="Calibri" w:cs="Times New Roman"/>
                <w:color w:val="000000"/>
                <w:sz w:val="14"/>
                <w:szCs w:val="14"/>
                <w:lang w:eastAsia="en-GB"/>
              </w:rPr>
              <w:t>Stage 1: 12.5</w:t>
            </w:r>
            <w:r w:rsidR="008F497D" w:rsidRPr="00A00017">
              <w:rPr>
                <w:rFonts w:ascii="Calibri" w:eastAsia="Times New Roman" w:hAnsi="Calibri" w:cs="Times New Roman"/>
                <w:color w:val="000000"/>
                <w:sz w:val="14"/>
                <w:szCs w:val="14"/>
                <w:lang w:eastAsia="en-GB"/>
              </w:rPr>
              <w:t xml:space="preserve">%     </w:t>
            </w:r>
            <w:r w:rsidRPr="00A00017">
              <w:rPr>
                <w:rFonts w:ascii="Calibri" w:eastAsia="Times New Roman" w:hAnsi="Calibri" w:cs="Times New Roman"/>
                <w:color w:val="000000"/>
                <w:sz w:val="14"/>
                <w:szCs w:val="14"/>
                <w:lang w:eastAsia="en-GB"/>
              </w:rPr>
              <w:t xml:space="preserve">                     </w:t>
            </w:r>
            <w:r w:rsidR="00A07850" w:rsidRPr="00A00017">
              <w:rPr>
                <w:rFonts w:ascii="Calibri" w:eastAsia="Times New Roman" w:hAnsi="Calibri" w:cs="Times New Roman"/>
                <w:color w:val="000000"/>
                <w:sz w:val="14"/>
                <w:szCs w:val="14"/>
                <w:lang w:eastAsia="en-GB"/>
              </w:rPr>
              <w:t xml:space="preserve">Stage 2: 18.0% </w:t>
            </w:r>
            <w:r w:rsidRPr="00A00017">
              <w:rPr>
                <w:rFonts w:ascii="Calibri" w:eastAsia="Times New Roman" w:hAnsi="Calibri" w:cs="Times New Roman"/>
                <w:color w:val="000000"/>
                <w:sz w:val="14"/>
                <w:szCs w:val="14"/>
                <w:lang w:eastAsia="en-GB"/>
              </w:rPr>
              <w:t>Stage 4: 21.1</w:t>
            </w:r>
            <w:r w:rsidR="008F497D" w:rsidRPr="00A00017">
              <w:rPr>
                <w:rFonts w:ascii="Calibri" w:eastAsia="Times New Roman" w:hAnsi="Calibri" w:cs="Times New Roman"/>
                <w:color w:val="000000"/>
                <w:sz w:val="14"/>
                <w:szCs w:val="14"/>
                <w:lang w:eastAsia="en-GB"/>
              </w:rPr>
              <w:t xml:space="preserve">%    </w:t>
            </w:r>
            <w:r w:rsidR="00BE77B3" w:rsidRPr="00A00017">
              <w:rPr>
                <w:rFonts w:ascii="Calibri" w:eastAsia="Times New Roman" w:hAnsi="Calibri" w:cs="Times New Roman"/>
                <w:color w:val="000000"/>
                <w:sz w:val="14"/>
                <w:szCs w:val="14"/>
                <w:lang w:eastAsia="en-GB"/>
              </w:rPr>
              <w:t xml:space="preserve">                       NK:  33.8</w:t>
            </w:r>
            <w:r w:rsidR="008F497D" w:rsidRPr="00A00017">
              <w:rPr>
                <w:rFonts w:ascii="Calibri" w:eastAsia="Times New Roman" w:hAnsi="Calibri" w:cs="Times New Roman"/>
                <w:color w:val="000000"/>
                <w:sz w:val="14"/>
                <w:szCs w:val="14"/>
                <w:lang w:eastAsia="en-GB"/>
              </w:rPr>
              <w:t>%</w:t>
            </w:r>
          </w:p>
        </w:tc>
        <w:tc>
          <w:tcPr>
            <w:tcW w:w="1293" w:type="dxa"/>
            <w:shd w:val="clear" w:color="auto" w:fill="auto"/>
            <w:noWrap/>
            <w:vAlign w:val="center"/>
            <w:hideMark/>
          </w:tcPr>
          <w:p w:rsidR="008F497D" w:rsidRPr="00A00017" w:rsidRDefault="00BE77B3" w:rsidP="008F7947">
            <w:pPr>
              <w:spacing w:after="0" w:line="240" w:lineRule="auto"/>
              <w:jc w:val="center"/>
              <w:rPr>
                <w:rFonts w:ascii="Calibri" w:eastAsia="Times New Roman" w:hAnsi="Calibri" w:cs="Times New Roman"/>
                <w:color w:val="000000"/>
                <w:sz w:val="14"/>
                <w:szCs w:val="14"/>
                <w:lang w:eastAsia="en-GB"/>
              </w:rPr>
            </w:pPr>
            <w:r w:rsidRPr="00A00017">
              <w:rPr>
                <w:rFonts w:ascii="Calibri" w:eastAsia="Times New Roman" w:hAnsi="Calibri" w:cs="Times New Roman"/>
                <w:color w:val="000000"/>
                <w:sz w:val="14"/>
                <w:szCs w:val="14"/>
                <w:lang w:eastAsia="en-GB"/>
              </w:rPr>
              <w:t>Stage 1: 18.1</w:t>
            </w:r>
            <w:r w:rsidR="008F497D" w:rsidRPr="00A00017">
              <w:rPr>
                <w:rFonts w:ascii="Calibri" w:eastAsia="Times New Roman" w:hAnsi="Calibri" w:cs="Times New Roman"/>
                <w:color w:val="000000"/>
                <w:sz w:val="14"/>
                <w:szCs w:val="14"/>
                <w:lang w:eastAsia="en-GB"/>
              </w:rPr>
              <w:t xml:space="preserve">% </w:t>
            </w:r>
            <w:r w:rsidR="00A07850" w:rsidRPr="00A00017">
              <w:rPr>
                <w:rFonts w:ascii="Calibri" w:eastAsia="Times New Roman" w:hAnsi="Calibri" w:cs="Times New Roman"/>
                <w:color w:val="000000"/>
                <w:sz w:val="14"/>
                <w:szCs w:val="14"/>
                <w:lang w:eastAsia="en-GB"/>
              </w:rPr>
              <w:t xml:space="preserve">Stage 2:15.8% </w:t>
            </w:r>
            <w:r w:rsidR="008F497D" w:rsidRPr="00A00017">
              <w:rPr>
                <w:rFonts w:ascii="Calibri" w:eastAsia="Times New Roman" w:hAnsi="Calibri" w:cs="Times New Roman"/>
                <w:color w:val="000000"/>
                <w:sz w:val="14"/>
                <w:szCs w:val="14"/>
                <w:lang w:eastAsia="en-GB"/>
              </w:rPr>
              <w:t>Stage 4</w:t>
            </w:r>
            <w:r w:rsidRPr="00A00017">
              <w:rPr>
                <w:rFonts w:ascii="Calibri" w:eastAsia="Times New Roman" w:hAnsi="Calibri" w:cs="Times New Roman"/>
                <w:color w:val="000000"/>
                <w:sz w:val="14"/>
                <w:szCs w:val="14"/>
                <w:lang w:eastAsia="en-GB"/>
              </w:rPr>
              <w:t>: 24.8% NK:  25.6</w:t>
            </w:r>
            <w:r w:rsidR="008F497D" w:rsidRPr="00A00017">
              <w:rPr>
                <w:rFonts w:ascii="Calibri" w:eastAsia="Times New Roman" w:hAnsi="Calibri" w:cs="Times New Roman"/>
                <w:color w:val="000000"/>
                <w:sz w:val="14"/>
                <w:szCs w:val="14"/>
                <w:lang w:eastAsia="en-GB"/>
              </w:rPr>
              <w:t>%</w:t>
            </w:r>
          </w:p>
        </w:tc>
        <w:tc>
          <w:tcPr>
            <w:tcW w:w="992" w:type="dxa"/>
            <w:shd w:val="clear" w:color="auto" w:fill="auto"/>
            <w:vAlign w:val="center"/>
            <w:hideMark/>
          </w:tcPr>
          <w:p w:rsidR="008F497D" w:rsidRPr="002A56A8" w:rsidRDefault="008F497D" w:rsidP="002A56A8">
            <w:pPr>
              <w:spacing w:after="0" w:line="240" w:lineRule="auto"/>
              <w:jc w:val="center"/>
              <w:rPr>
                <w:rFonts w:ascii="Calibri" w:eastAsia="Times New Roman" w:hAnsi="Calibri" w:cs="Times New Roman"/>
                <w:color w:val="000000"/>
                <w:sz w:val="12"/>
                <w:szCs w:val="12"/>
                <w:lang w:eastAsia="en-GB"/>
              </w:rPr>
            </w:pPr>
          </w:p>
        </w:tc>
        <w:tc>
          <w:tcPr>
            <w:tcW w:w="1134" w:type="dxa"/>
            <w:shd w:val="clear" w:color="auto" w:fill="auto"/>
            <w:vAlign w:val="center"/>
            <w:hideMark/>
          </w:tcPr>
          <w:p w:rsidR="008F497D" w:rsidRPr="002A56A8" w:rsidRDefault="008F497D" w:rsidP="002A56A8">
            <w:pPr>
              <w:spacing w:after="0" w:line="240" w:lineRule="auto"/>
              <w:jc w:val="center"/>
              <w:rPr>
                <w:rFonts w:ascii="Calibri" w:eastAsia="Times New Roman" w:hAnsi="Calibri" w:cs="Times New Roman"/>
                <w:color w:val="000000"/>
                <w:sz w:val="12"/>
                <w:szCs w:val="12"/>
                <w:lang w:eastAsia="en-GB"/>
              </w:rPr>
            </w:pPr>
          </w:p>
        </w:tc>
      </w:tr>
      <w:tr w:rsidR="008F497D" w:rsidRPr="002A56A8" w:rsidTr="00A00017">
        <w:trPr>
          <w:trHeight w:val="187"/>
        </w:trPr>
        <w:tc>
          <w:tcPr>
            <w:tcW w:w="1900" w:type="dxa"/>
            <w:shd w:val="clear" w:color="auto" w:fill="auto"/>
            <w:vAlign w:val="bottom"/>
            <w:hideMark/>
          </w:tcPr>
          <w:p w:rsidR="008F497D" w:rsidRPr="002A56A8" w:rsidRDefault="00385D54" w:rsidP="002A56A8">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w:t>
            </w:r>
            <w:r w:rsidR="008F497D" w:rsidRPr="002A56A8">
              <w:rPr>
                <w:rFonts w:ascii="Calibri" w:eastAsia="Times New Roman" w:hAnsi="Calibri" w:cs="Times New Roman"/>
                <w:color w:val="000000"/>
                <w:sz w:val="16"/>
                <w:szCs w:val="16"/>
                <w:lang w:eastAsia="en-GB"/>
              </w:rPr>
              <w:t>-year survival</w:t>
            </w:r>
            <w:r>
              <w:rPr>
                <w:rFonts w:ascii="Calibri" w:eastAsia="Times New Roman" w:hAnsi="Calibri" w:cs="Times New Roman"/>
                <w:color w:val="000000"/>
                <w:sz w:val="16"/>
                <w:szCs w:val="16"/>
                <w:lang w:eastAsia="en-GB"/>
              </w:rPr>
              <w:t xml:space="preserve"> (2002-07)</w:t>
            </w:r>
          </w:p>
        </w:tc>
        <w:tc>
          <w:tcPr>
            <w:tcW w:w="1361" w:type="dxa"/>
            <w:shd w:val="clear" w:color="auto" w:fill="00B050"/>
            <w:noWrap/>
            <w:vAlign w:val="center"/>
            <w:hideMark/>
          </w:tcPr>
          <w:p w:rsidR="008F497D" w:rsidRPr="002A56A8" w:rsidRDefault="008F497D" w:rsidP="008F7947">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74.5%</w:t>
            </w:r>
          </w:p>
        </w:tc>
        <w:tc>
          <w:tcPr>
            <w:tcW w:w="1276" w:type="dxa"/>
            <w:shd w:val="clear" w:color="auto" w:fill="auto"/>
            <w:noWrap/>
            <w:vAlign w:val="center"/>
            <w:hideMark/>
          </w:tcPr>
          <w:p w:rsidR="008F497D" w:rsidRPr="002A56A8" w:rsidRDefault="008F497D" w:rsidP="008F7947">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73.8%</w:t>
            </w:r>
          </w:p>
        </w:tc>
        <w:tc>
          <w:tcPr>
            <w:tcW w:w="1263" w:type="dxa"/>
            <w:shd w:val="clear" w:color="auto" w:fill="auto"/>
            <w:noWrap/>
            <w:vAlign w:val="center"/>
            <w:hideMark/>
          </w:tcPr>
          <w:p w:rsidR="008F497D" w:rsidRPr="002A56A8" w:rsidRDefault="008F497D" w:rsidP="008F7947">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73.3%</w:t>
            </w:r>
          </w:p>
        </w:tc>
        <w:tc>
          <w:tcPr>
            <w:tcW w:w="1555" w:type="dxa"/>
            <w:gridSpan w:val="2"/>
            <w:shd w:val="clear" w:color="auto" w:fill="auto"/>
            <w:noWrap/>
            <w:vAlign w:val="center"/>
            <w:hideMark/>
          </w:tcPr>
          <w:p w:rsidR="008F497D" w:rsidRPr="002A56A8" w:rsidRDefault="008F497D" w:rsidP="008F7947">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71.4%</w:t>
            </w:r>
          </w:p>
        </w:tc>
        <w:tc>
          <w:tcPr>
            <w:tcW w:w="1293" w:type="dxa"/>
            <w:shd w:val="clear" w:color="auto" w:fill="auto"/>
            <w:noWrap/>
            <w:vAlign w:val="center"/>
            <w:hideMark/>
          </w:tcPr>
          <w:p w:rsidR="008F497D" w:rsidRPr="002A56A8" w:rsidRDefault="008F497D" w:rsidP="008F7947">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72.5%</w:t>
            </w:r>
          </w:p>
        </w:tc>
        <w:tc>
          <w:tcPr>
            <w:tcW w:w="992" w:type="dxa"/>
            <w:shd w:val="clear" w:color="auto" w:fill="00B050"/>
            <w:vAlign w:val="center"/>
            <w:hideMark/>
          </w:tcPr>
          <w:p w:rsidR="008F497D" w:rsidRPr="001E6AAD" w:rsidRDefault="008F497D" w:rsidP="004769F5">
            <w:pPr>
              <w:spacing w:after="0" w:line="240" w:lineRule="auto"/>
              <w:jc w:val="center"/>
              <w:rPr>
                <w:rFonts w:ascii="Calibri" w:eastAsia="Times New Roman" w:hAnsi="Calibri" w:cs="Times New Roman"/>
                <w:color w:val="000000"/>
                <w:lang w:eastAsia="en-GB"/>
              </w:rPr>
            </w:pPr>
            <w:r w:rsidRPr="007A13B0">
              <w:rPr>
                <w:rFonts w:ascii="Calibri" w:eastAsia="Times New Roman" w:hAnsi="Calibri" w:cs="Times New Roman"/>
                <w:color w:val="000000"/>
                <w:sz w:val="12"/>
                <w:szCs w:val="12"/>
                <w:lang w:eastAsia="en-GB"/>
              </w:rPr>
              <w:t>Highest</w:t>
            </w:r>
          </w:p>
        </w:tc>
        <w:tc>
          <w:tcPr>
            <w:tcW w:w="1134" w:type="dxa"/>
            <w:shd w:val="clear" w:color="auto" w:fill="FF0000"/>
            <w:vAlign w:val="center"/>
            <w:hideMark/>
          </w:tcPr>
          <w:p w:rsidR="008F497D" w:rsidRPr="001E6AAD" w:rsidRDefault="008F497D" w:rsidP="004769F5">
            <w:pPr>
              <w:spacing w:after="0" w:line="240" w:lineRule="auto"/>
              <w:jc w:val="center"/>
              <w:rPr>
                <w:rFonts w:ascii="Calibri" w:eastAsia="Times New Roman" w:hAnsi="Calibri" w:cs="Times New Roman"/>
                <w:color w:val="000000"/>
                <w:sz w:val="12"/>
                <w:szCs w:val="12"/>
                <w:lang w:eastAsia="en-GB"/>
              </w:rPr>
            </w:pPr>
            <w:r w:rsidRPr="007A13B0">
              <w:rPr>
                <w:rFonts w:ascii="Calibri" w:eastAsia="Times New Roman" w:hAnsi="Calibri" w:cs="Times New Roman"/>
                <w:color w:val="000000"/>
                <w:sz w:val="12"/>
                <w:szCs w:val="12"/>
                <w:lang w:eastAsia="en-GB"/>
              </w:rPr>
              <w:t>Lowest</w:t>
            </w:r>
          </w:p>
        </w:tc>
      </w:tr>
      <w:tr w:rsidR="008F497D" w:rsidRPr="002A56A8" w:rsidTr="00A00017">
        <w:trPr>
          <w:trHeight w:val="105"/>
        </w:trPr>
        <w:tc>
          <w:tcPr>
            <w:tcW w:w="1900" w:type="dxa"/>
            <w:shd w:val="clear" w:color="auto" w:fill="auto"/>
            <w:vAlign w:val="bottom"/>
            <w:hideMark/>
          </w:tcPr>
          <w:p w:rsidR="008F497D" w:rsidRPr="002A56A8" w:rsidRDefault="00385D54" w:rsidP="002A56A8">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5</w:t>
            </w:r>
            <w:r w:rsidR="008F497D" w:rsidRPr="002A56A8">
              <w:rPr>
                <w:rFonts w:ascii="Calibri" w:eastAsia="Times New Roman" w:hAnsi="Calibri" w:cs="Times New Roman"/>
                <w:color w:val="000000"/>
                <w:sz w:val="16"/>
                <w:szCs w:val="16"/>
                <w:lang w:eastAsia="en-GB"/>
              </w:rPr>
              <w:t>-year survival</w:t>
            </w:r>
            <w:r>
              <w:rPr>
                <w:rFonts w:ascii="Calibri" w:eastAsia="Times New Roman" w:hAnsi="Calibri" w:cs="Times New Roman"/>
                <w:color w:val="000000"/>
                <w:sz w:val="16"/>
                <w:szCs w:val="16"/>
                <w:lang w:eastAsia="en-GB"/>
              </w:rPr>
              <w:t xml:space="preserve"> </w:t>
            </w:r>
            <w:r w:rsidR="006B1CA3">
              <w:rPr>
                <w:rFonts w:ascii="Calibri" w:eastAsia="Times New Roman" w:hAnsi="Calibri" w:cs="Times New Roman"/>
                <w:color w:val="000000"/>
                <w:sz w:val="16"/>
                <w:szCs w:val="16"/>
                <w:lang w:eastAsia="en-GB"/>
              </w:rPr>
              <w:t>(</w:t>
            </w:r>
            <w:r>
              <w:rPr>
                <w:rFonts w:ascii="Calibri" w:eastAsia="Times New Roman" w:hAnsi="Calibri" w:cs="Times New Roman"/>
                <w:color w:val="000000"/>
                <w:sz w:val="16"/>
                <w:szCs w:val="16"/>
                <w:lang w:eastAsia="en-GB"/>
              </w:rPr>
              <w:t>1998-02)</w:t>
            </w:r>
          </w:p>
        </w:tc>
        <w:tc>
          <w:tcPr>
            <w:tcW w:w="1361" w:type="dxa"/>
            <w:shd w:val="clear" w:color="auto" w:fill="auto"/>
            <w:noWrap/>
            <w:vAlign w:val="center"/>
            <w:hideMark/>
          </w:tcPr>
          <w:p w:rsidR="008F497D" w:rsidRPr="002A56A8" w:rsidRDefault="008F497D" w:rsidP="008F7947">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53.3%</w:t>
            </w:r>
          </w:p>
        </w:tc>
        <w:tc>
          <w:tcPr>
            <w:tcW w:w="1276" w:type="dxa"/>
            <w:shd w:val="clear" w:color="auto" w:fill="auto"/>
            <w:noWrap/>
            <w:vAlign w:val="center"/>
            <w:hideMark/>
          </w:tcPr>
          <w:p w:rsidR="008F497D" w:rsidRPr="002A56A8" w:rsidRDefault="008F497D" w:rsidP="008F7947">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52.1%</w:t>
            </w:r>
          </w:p>
        </w:tc>
        <w:tc>
          <w:tcPr>
            <w:tcW w:w="1263" w:type="dxa"/>
            <w:shd w:val="clear" w:color="auto" w:fill="auto"/>
            <w:noWrap/>
            <w:vAlign w:val="center"/>
            <w:hideMark/>
          </w:tcPr>
          <w:p w:rsidR="008F497D" w:rsidRPr="002A56A8" w:rsidRDefault="008F497D" w:rsidP="008F7947">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50.1%</w:t>
            </w:r>
          </w:p>
        </w:tc>
        <w:tc>
          <w:tcPr>
            <w:tcW w:w="1555" w:type="dxa"/>
            <w:gridSpan w:val="2"/>
            <w:shd w:val="clear" w:color="auto" w:fill="00B050"/>
            <w:noWrap/>
            <w:vAlign w:val="center"/>
            <w:hideMark/>
          </w:tcPr>
          <w:p w:rsidR="008F497D" w:rsidRPr="002A56A8" w:rsidRDefault="008F497D" w:rsidP="008F7947">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56.0%</w:t>
            </w:r>
          </w:p>
        </w:tc>
        <w:tc>
          <w:tcPr>
            <w:tcW w:w="1293" w:type="dxa"/>
            <w:shd w:val="clear" w:color="auto" w:fill="auto"/>
            <w:noWrap/>
            <w:vAlign w:val="center"/>
            <w:hideMark/>
          </w:tcPr>
          <w:p w:rsidR="008F497D" w:rsidRPr="002A56A8" w:rsidRDefault="008F497D" w:rsidP="008F7947">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44.0%</w:t>
            </w:r>
          </w:p>
        </w:tc>
        <w:tc>
          <w:tcPr>
            <w:tcW w:w="992" w:type="dxa"/>
            <w:shd w:val="clear" w:color="auto" w:fill="00B050"/>
            <w:noWrap/>
            <w:vAlign w:val="center"/>
            <w:hideMark/>
          </w:tcPr>
          <w:p w:rsidR="008F497D" w:rsidRPr="008F497D" w:rsidRDefault="008F497D" w:rsidP="008F497D">
            <w:pPr>
              <w:spacing w:after="0" w:line="240" w:lineRule="auto"/>
              <w:jc w:val="center"/>
              <w:rPr>
                <w:rFonts w:ascii="Calibri" w:eastAsia="Times New Roman" w:hAnsi="Calibri" w:cs="Times New Roman"/>
                <w:color w:val="000000"/>
                <w:sz w:val="12"/>
                <w:szCs w:val="12"/>
                <w:lang w:eastAsia="en-GB"/>
              </w:rPr>
            </w:pPr>
            <w:r w:rsidRPr="007A13B0">
              <w:rPr>
                <w:rFonts w:ascii="Calibri" w:eastAsia="Times New Roman" w:hAnsi="Calibri" w:cs="Times New Roman"/>
                <w:color w:val="000000"/>
                <w:sz w:val="12"/>
                <w:szCs w:val="12"/>
                <w:lang w:eastAsia="en-GB"/>
              </w:rPr>
              <w:t>Highest</w:t>
            </w:r>
          </w:p>
        </w:tc>
        <w:tc>
          <w:tcPr>
            <w:tcW w:w="1134" w:type="dxa"/>
            <w:shd w:val="clear" w:color="auto" w:fill="FF0000"/>
            <w:noWrap/>
            <w:vAlign w:val="center"/>
            <w:hideMark/>
          </w:tcPr>
          <w:p w:rsidR="008F497D" w:rsidRPr="001E6AAD" w:rsidRDefault="008F497D" w:rsidP="0062625E">
            <w:pPr>
              <w:spacing w:after="0" w:line="240" w:lineRule="auto"/>
              <w:jc w:val="center"/>
              <w:rPr>
                <w:rFonts w:ascii="Calibri" w:eastAsia="Times New Roman" w:hAnsi="Calibri" w:cs="Times New Roman"/>
                <w:color w:val="000000"/>
                <w:sz w:val="12"/>
                <w:szCs w:val="12"/>
                <w:lang w:eastAsia="en-GB"/>
              </w:rPr>
            </w:pPr>
            <w:r w:rsidRPr="007A13B0">
              <w:rPr>
                <w:rFonts w:ascii="Calibri" w:eastAsia="Times New Roman" w:hAnsi="Calibri" w:cs="Times New Roman"/>
                <w:color w:val="000000"/>
                <w:sz w:val="12"/>
                <w:szCs w:val="12"/>
                <w:lang w:eastAsia="en-GB"/>
              </w:rPr>
              <w:t>Lowest</w:t>
            </w:r>
          </w:p>
        </w:tc>
      </w:tr>
      <w:tr w:rsidR="008F497D" w:rsidRPr="002A56A8" w:rsidTr="00A00017">
        <w:trPr>
          <w:trHeight w:val="321"/>
        </w:trPr>
        <w:tc>
          <w:tcPr>
            <w:tcW w:w="1900" w:type="dxa"/>
            <w:shd w:val="clear" w:color="auto" w:fill="auto"/>
            <w:vAlign w:val="bottom"/>
            <w:hideMark/>
          </w:tcPr>
          <w:p w:rsidR="008F497D" w:rsidRPr="002A56A8" w:rsidRDefault="008F497D" w:rsidP="00385D54">
            <w:pPr>
              <w:spacing w:after="0" w:line="240" w:lineRule="auto"/>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 xml:space="preserve">Male Under 75 mortality </w:t>
            </w:r>
            <w:r w:rsidR="00385D54">
              <w:rPr>
                <w:rFonts w:ascii="Calibri" w:eastAsia="Times New Roman" w:hAnsi="Calibri" w:cs="Times New Roman"/>
                <w:color w:val="000000"/>
                <w:sz w:val="16"/>
                <w:szCs w:val="16"/>
                <w:lang w:eastAsia="en-GB"/>
              </w:rPr>
              <w:t>(</w:t>
            </w:r>
            <w:r w:rsidRPr="002A56A8">
              <w:rPr>
                <w:rFonts w:ascii="Calibri" w:eastAsia="Times New Roman" w:hAnsi="Calibri" w:cs="Times New Roman"/>
                <w:color w:val="000000"/>
                <w:sz w:val="16"/>
                <w:szCs w:val="16"/>
                <w:lang w:eastAsia="en-GB"/>
              </w:rPr>
              <w:t>2006-08</w:t>
            </w:r>
            <w:r w:rsidR="00385D54">
              <w:rPr>
                <w:rFonts w:ascii="Calibri" w:eastAsia="Times New Roman" w:hAnsi="Calibri" w:cs="Times New Roman"/>
                <w:color w:val="000000"/>
                <w:sz w:val="16"/>
                <w:szCs w:val="16"/>
                <w:lang w:eastAsia="en-GB"/>
              </w:rPr>
              <w:t>)</w:t>
            </w:r>
          </w:p>
        </w:tc>
        <w:tc>
          <w:tcPr>
            <w:tcW w:w="1361" w:type="dxa"/>
            <w:shd w:val="clear" w:color="auto" w:fill="auto"/>
            <w:noWrap/>
            <w:vAlign w:val="center"/>
            <w:hideMark/>
          </w:tcPr>
          <w:p w:rsidR="008F497D" w:rsidRPr="002A56A8" w:rsidRDefault="008F497D" w:rsidP="008F7947">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12.51</w:t>
            </w:r>
          </w:p>
        </w:tc>
        <w:tc>
          <w:tcPr>
            <w:tcW w:w="1276" w:type="dxa"/>
            <w:shd w:val="clear" w:color="auto" w:fill="auto"/>
            <w:noWrap/>
            <w:vAlign w:val="center"/>
            <w:hideMark/>
          </w:tcPr>
          <w:p w:rsidR="008F497D" w:rsidRPr="002A56A8" w:rsidRDefault="008F497D" w:rsidP="008F7947">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10.14</w:t>
            </w:r>
          </w:p>
        </w:tc>
        <w:tc>
          <w:tcPr>
            <w:tcW w:w="1263" w:type="dxa"/>
            <w:shd w:val="clear" w:color="auto" w:fill="auto"/>
            <w:noWrap/>
            <w:vAlign w:val="center"/>
            <w:hideMark/>
          </w:tcPr>
          <w:p w:rsidR="008F497D" w:rsidRPr="002A56A8" w:rsidRDefault="008F497D" w:rsidP="008F7947">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11.75</w:t>
            </w:r>
          </w:p>
        </w:tc>
        <w:tc>
          <w:tcPr>
            <w:tcW w:w="1555" w:type="dxa"/>
            <w:gridSpan w:val="2"/>
            <w:shd w:val="clear" w:color="auto" w:fill="auto"/>
            <w:noWrap/>
            <w:vAlign w:val="center"/>
            <w:hideMark/>
          </w:tcPr>
          <w:p w:rsidR="008F497D" w:rsidRPr="002A56A8" w:rsidRDefault="008F497D" w:rsidP="008F7947">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11.93</w:t>
            </w:r>
          </w:p>
        </w:tc>
        <w:tc>
          <w:tcPr>
            <w:tcW w:w="1293" w:type="dxa"/>
            <w:shd w:val="clear" w:color="auto" w:fill="auto"/>
            <w:noWrap/>
            <w:vAlign w:val="center"/>
            <w:hideMark/>
          </w:tcPr>
          <w:p w:rsidR="008F497D" w:rsidRPr="002A56A8" w:rsidRDefault="008F497D" w:rsidP="008F7947">
            <w:pPr>
              <w:spacing w:after="0" w:line="240" w:lineRule="auto"/>
              <w:jc w:val="center"/>
              <w:rPr>
                <w:rFonts w:ascii="Calibri" w:eastAsia="Times New Roman" w:hAnsi="Calibri" w:cs="Times New Roman"/>
                <w:sz w:val="16"/>
                <w:szCs w:val="16"/>
                <w:lang w:eastAsia="en-GB"/>
              </w:rPr>
            </w:pPr>
            <w:r w:rsidRPr="002A56A8">
              <w:rPr>
                <w:rFonts w:ascii="Calibri" w:eastAsia="Times New Roman" w:hAnsi="Calibri" w:cs="Times New Roman"/>
                <w:sz w:val="16"/>
                <w:szCs w:val="16"/>
                <w:lang w:eastAsia="en-GB"/>
              </w:rPr>
              <w:t>13.57</w:t>
            </w:r>
          </w:p>
        </w:tc>
        <w:tc>
          <w:tcPr>
            <w:tcW w:w="992" w:type="dxa"/>
            <w:shd w:val="clear" w:color="auto" w:fill="auto"/>
            <w:vAlign w:val="center"/>
            <w:hideMark/>
          </w:tcPr>
          <w:p w:rsidR="008F497D" w:rsidRPr="002A56A8" w:rsidRDefault="008F497D" w:rsidP="002A56A8">
            <w:pPr>
              <w:spacing w:after="0" w:line="240" w:lineRule="auto"/>
              <w:jc w:val="center"/>
              <w:rPr>
                <w:rFonts w:ascii="Calibri" w:eastAsia="Times New Roman" w:hAnsi="Calibri" w:cs="Times New Roman"/>
                <w:color w:val="000000"/>
                <w:sz w:val="12"/>
                <w:szCs w:val="12"/>
                <w:lang w:eastAsia="en-GB"/>
              </w:rPr>
            </w:pPr>
            <w:r w:rsidRPr="002A56A8">
              <w:rPr>
                <w:rFonts w:ascii="Calibri" w:eastAsia="Times New Roman" w:hAnsi="Calibri" w:cs="Times New Roman"/>
                <w:color w:val="000000"/>
                <w:sz w:val="12"/>
                <w:szCs w:val="12"/>
                <w:lang w:eastAsia="en-GB"/>
              </w:rPr>
              <w:t> </w:t>
            </w:r>
          </w:p>
        </w:tc>
        <w:tc>
          <w:tcPr>
            <w:tcW w:w="1134" w:type="dxa"/>
            <w:shd w:val="clear" w:color="auto" w:fill="auto"/>
            <w:vAlign w:val="center"/>
            <w:hideMark/>
          </w:tcPr>
          <w:p w:rsidR="008F497D" w:rsidRPr="002A56A8" w:rsidRDefault="008F497D" w:rsidP="002A56A8">
            <w:pPr>
              <w:spacing w:after="0" w:line="240" w:lineRule="auto"/>
              <w:jc w:val="center"/>
              <w:rPr>
                <w:rFonts w:ascii="Calibri" w:eastAsia="Times New Roman" w:hAnsi="Calibri" w:cs="Times New Roman"/>
                <w:color w:val="000000"/>
                <w:sz w:val="12"/>
                <w:szCs w:val="12"/>
                <w:lang w:eastAsia="en-GB"/>
              </w:rPr>
            </w:pPr>
            <w:r w:rsidRPr="002A56A8">
              <w:rPr>
                <w:rFonts w:ascii="Calibri" w:eastAsia="Times New Roman" w:hAnsi="Calibri" w:cs="Times New Roman"/>
                <w:color w:val="000000"/>
                <w:sz w:val="12"/>
                <w:szCs w:val="12"/>
                <w:lang w:eastAsia="en-GB"/>
              </w:rPr>
              <w:t> </w:t>
            </w:r>
          </w:p>
        </w:tc>
      </w:tr>
      <w:tr w:rsidR="008F497D" w:rsidRPr="002A56A8" w:rsidTr="00A00017">
        <w:trPr>
          <w:trHeight w:val="341"/>
        </w:trPr>
        <w:tc>
          <w:tcPr>
            <w:tcW w:w="1900" w:type="dxa"/>
            <w:shd w:val="clear" w:color="auto" w:fill="auto"/>
            <w:vAlign w:val="bottom"/>
            <w:hideMark/>
          </w:tcPr>
          <w:p w:rsidR="008F497D" w:rsidRPr="002A56A8" w:rsidRDefault="008F497D" w:rsidP="002A56A8">
            <w:pPr>
              <w:spacing w:after="0" w:line="240" w:lineRule="auto"/>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 xml:space="preserve">Female Under 75 mortality </w:t>
            </w:r>
            <w:r w:rsidR="00385D54">
              <w:rPr>
                <w:rFonts w:ascii="Calibri" w:eastAsia="Times New Roman" w:hAnsi="Calibri" w:cs="Times New Roman"/>
                <w:color w:val="000000"/>
                <w:sz w:val="16"/>
                <w:szCs w:val="16"/>
                <w:lang w:eastAsia="en-GB"/>
              </w:rPr>
              <w:t>(</w:t>
            </w:r>
            <w:r w:rsidRPr="002A56A8">
              <w:rPr>
                <w:rFonts w:ascii="Calibri" w:eastAsia="Times New Roman" w:hAnsi="Calibri" w:cs="Times New Roman"/>
                <w:color w:val="000000"/>
                <w:sz w:val="16"/>
                <w:szCs w:val="16"/>
                <w:lang w:eastAsia="en-GB"/>
              </w:rPr>
              <w:t xml:space="preserve">2006-08 </w:t>
            </w:r>
            <w:r w:rsidR="00385D54">
              <w:rPr>
                <w:rFonts w:ascii="Calibri" w:eastAsia="Times New Roman" w:hAnsi="Calibri" w:cs="Times New Roman"/>
                <w:color w:val="000000"/>
                <w:sz w:val="16"/>
                <w:szCs w:val="16"/>
                <w:lang w:eastAsia="en-GB"/>
              </w:rPr>
              <w:t>)</w:t>
            </w:r>
          </w:p>
        </w:tc>
        <w:tc>
          <w:tcPr>
            <w:tcW w:w="1361" w:type="dxa"/>
            <w:shd w:val="clear" w:color="auto" w:fill="auto"/>
            <w:noWrap/>
            <w:vAlign w:val="center"/>
            <w:hideMark/>
          </w:tcPr>
          <w:p w:rsidR="008F497D" w:rsidRPr="002A56A8" w:rsidRDefault="008F497D" w:rsidP="008F7947">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8.19</w:t>
            </w:r>
          </w:p>
        </w:tc>
        <w:tc>
          <w:tcPr>
            <w:tcW w:w="1276" w:type="dxa"/>
            <w:shd w:val="clear" w:color="auto" w:fill="auto"/>
            <w:noWrap/>
            <w:vAlign w:val="center"/>
            <w:hideMark/>
          </w:tcPr>
          <w:p w:rsidR="008F497D" w:rsidRPr="002A56A8" w:rsidRDefault="008F497D" w:rsidP="008F7947">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6.60</w:t>
            </w:r>
          </w:p>
        </w:tc>
        <w:tc>
          <w:tcPr>
            <w:tcW w:w="1263" w:type="dxa"/>
            <w:shd w:val="clear" w:color="auto" w:fill="auto"/>
            <w:noWrap/>
            <w:vAlign w:val="center"/>
            <w:hideMark/>
          </w:tcPr>
          <w:p w:rsidR="008F497D" w:rsidRPr="002A56A8" w:rsidRDefault="008F497D" w:rsidP="008F7947">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8.25</w:t>
            </w:r>
          </w:p>
        </w:tc>
        <w:tc>
          <w:tcPr>
            <w:tcW w:w="1555" w:type="dxa"/>
            <w:gridSpan w:val="2"/>
            <w:shd w:val="clear" w:color="auto" w:fill="auto"/>
            <w:noWrap/>
            <w:vAlign w:val="center"/>
            <w:hideMark/>
          </w:tcPr>
          <w:p w:rsidR="008F497D" w:rsidRPr="002A56A8" w:rsidRDefault="008F497D" w:rsidP="008F7947">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8.54</w:t>
            </w:r>
          </w:p>
        </w:tc>
        <w:tc>
          <w:tcPr>
            <w:tcW w:w="1293" w:type="dxa"/>
            <w:shd w:val="clear" w:color="auto" w:fill="auto"/>
            <w:noWrap/>
            <w:vAlign w:val="center"/>
            <w:hideMark/>
          </w:tcPr>
          <w:p w:rsidR="008F497D" w:rsidRPr="002A56A8" w:rsidRDefault="008F497D" w:rsidP="008F7947">
            <w:pPr>
              <w:spacing w:after="0" w:line="240" w:lineRule="auto"/>
              <w:jc w:val="center"/>
              <w:rPr>
                <w:rFonts w:ascii="Calibri" w:eastAsia="Times New Roman" w:hAnsi="Calibri" w:cs="Times New Roman"/>
                <w:sz w:val="16"/>
                <w:szCs w:val="16"/>
                <w:lang w:eastAsia="en-GB"/>
              </w:rPr>
            </w:pPr>
            <w:r w:rsidRPr="002A56A8">
              <w:rPr>
                <w:rFonts w:ascii="Calibri" w:eastAsia="Times New Roman" w:hAnsi="Calibri" w:cs="Times New Roman"/>
                <w:sz w:val="16"/>
                <w:szCs w:val="16"/>
                <w:lang w:eastAsia="en-GB"/>
              </w:rPr>
              <w:t>9.42</w:t>
            </w:r>
          </w:p>
        </w:tc>
        <w:tc>
          <w:tcPr>
            <w:tcW w:w="992" w:type="dxa"/>
            <w:shd w:val="clear" w:color="auto" w:fill="auto"/>
            <w:vAlign w:val="center"/>
            <w:hideMark/>
          </w:tcPr>
          <w:p w:rsidR="008F497D" w:rsidRPr="002A56A8" w:rsidRDefault="008F497D" w:rsidP="002A56A8">
            <w:pPr>
              <w:spacing w:after="0" w:line="240" w:lineRule="auto"/>
              <w:jc w:val="center"/>
              <w:rPr>
                <w:rFonts w:ascii="Calibri" w:eastAsia="Times New Roman" w:hAnsi="Calibri" w:cs="Times New Roman"/>
                <w:color w:val="000000"/>
                <w:sz w:val="12"/>
                <w:szCs w:val="12"/>
                <w:lang w:eastAsia="en-GB"/>
              </w:rPr>
            </w:pPr>
            <w:r w:rsidRPr="002A56A8">
              <w:rPr>
                <w:rFonts w:ascii="Calibri" w:eastAsia="Times New Roman" w:hAnsi="Calibri" w:cs="Times New Roman"/>
                <w:color w:val="000000"/>
                <w:sz w:val="12"/>
                <w:szCs w:val="12"/>
                <w:lang w:eastAsia="en-GB"/>
              </w:rPr>
              <w:t> </w:t>
            </w:r>
          </w:p>
        </w:tc>
        <w:tc>
          <w:tcPr>
            <w:tcW w:w="1134" w:type="dxa"/>
            <w:shd w:val="clear" w:color="auto" w:fill="auto"/>
            <w:vAlign w:val="center"/>
            <w:hideMark/>
          </w:tcPr>
          <w:p w:rsidR="008F497D" w:rsidRPr="002A56A8" w:rsidRDefault="008F497D" w:rsidP="002A56A8">
            <w:pPr>
              <w:spacing w:after="0" w:line="240" w:lineRule="auto"/>
              <w:jc w:val="center"/>
              <w:rPr>
                <w:rFonts w:ascii="Calibri" w:eastAsia="Times New Roman" w:hAnsi="Calibri" w:cs="Times New Roman"/>
                <w:color w:val="000000"/>
                <w:sz w:val="12"/>
                <w:szCs w:val="12"/>
                <w:lang w:eastAsia="en-GB"/>
              </w:rPr>
            </w:pPr>
            <w:r w:rsidRPr="002A56A8">
              <w:rPr>
                <w:rFonts w:ascii="Calibri" w:eastAsia="Times New Roman" w:hAnsi="Calibri" w:cs="Times New Roman"/>
                <w:color w:val="000000"/>
                <w:sz w:val="12"/>
                <w:szCs w:val="12"/>
                <w:lang w:eastAsia="en-GB"/>
              </w:rPr>
              <w:t> </w:t>
            </w:r>
          </w:p>
        </w:tc>
      </w:tr>
      <w:tr w:rsidR="008F497D" w:rsidRPr="002A56A8" w:rsidTr="00A00017">
        <w:trPr>
          <w:trHeight w:val="347"/>
        </w:trPr>
        <w:tc>
          <w:tcPr>
            <w:tcW w:w="1900" w:type="dxa"/>
            <w:shd w:val="clear" w:color="auto" w:fill="auto"/>
            <w:vAlign w:val="bottom"/>
            <w:hideMark/>
          </w:tcPr>
          <w:p w:rsidR="008F497D" w:rsidRPr="002A56A8" w:rsidRDefault="008F497D" w:rsidP="002A56A8">
            <w:pPr>
              <w:spacing w:after="0" w:line="240" w:lineRule="auto"/>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 xml:space="preserve">Male % Decrease U75 mortality </w:t>
            </w:r>
            <w:r w:rsidR="00385D54">
              <w:rPr>
                <w:rFonts w:ascii="Calibri" w:eastAsia="Times New Roman" w:hAnsi="Calibri" w:cs="Times New Roman"/>
                <w:color w:val="000000"/>
                <w:sz w:val="16"/>
                <w:szCs w:val="16"/>
                <w:lang w:eastAsia="en-GB"/>
              </w:rPr>
              <w:t>(</w:t>
            </w:r>
            <w:r w:rsidRPr="002A56A8">
              <w:rPr>
                <w:rFonts w:ascii="Calibri" w:eastAsia="Times New Roman" w:hAnsi="Calibri" w:cs="Times New Roman"/>
                <w:color w:val="000000"/>
                <w:sz w:val="16"/>
                <w:szCs w:val="16"/>
                <w:lang w:eastAsia="en-GB"/>
              </w:rPr>
              <w:t>1995-2008</w:t>
            </w:r>
            <w:r w:rsidR="00385D54">
              <w:rPr>
                <w:rFonts w:ascii="Calibri" w:eastAsia="Times New Roman" w:hAnsi="Calibri" w:cs="Times New Roman"/>
                <w:color w:val="000000"/>
                <w:sz w:val="16"/>
                <w:szCs w:val="16"/>
                <w:lang w:eastAsia="en-GB"/>
              </w:rPr>
              <w:t>)</w:t>
            </w:r>
          </w:p>
        </w:tc>
        <w:tc>
          <w:tcPr>
            <w:tcW w:w="1361" w:type="dxa"/>
            <w:shd w:val="clear" w:color="auto" w:fill="auto"/>
            <w:noWrap/>
            <w:vAlign w:val="center"/>
            <w:hideMark/>
          </w:tcPr>
          <w:p w:rsidR="008F497D" w:rsidRPr="002A56A8" w:rsidRDefault="008F497D" w:rsidP="008F7947">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19.2%</w:t>
            </w:r>
          </w:p>
        </w:tc>
        <w:tc>
          <w:tcPr>
            <w:tcW w:w="1276" w:type="dxa"/>
            <w:shd w:val="clear" w:color="auto" w:fill="FF0000"/>
            <w:noWrap/>
            <w:vAlign w:val="center"/>
            <w:hideMark/>
          </w:tcPr>
          <w:p w:rsidR="008F497D" w:rsidRPr="002A56A8" w:rsidRDefault="008F497D" w:rsidP="008F7947">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13.8%</w:t>
            </w:r>
          </w:p>
        </w:tc>
        <w:tc>
          <w:tcPr>
            <w:tcW w:w="1263" w:type="dxa"/>
            <w:shd w:val="clear" w:color="auto" w:fill="00B050"/>
            <w:noWrap/>
            <w:vAlign w:val="center"/>
            <w:hideMark/>
          </w:tcPr>
          <w:p w:rsidR="008F497D" w:rsidRPr="002A56A8" w:rsidRDefault="008F497D" w:rsidP="008F7947">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29.4%</w:t>
            </w:r>
          </w:p>
        </w:tc>
        <w:tc>
          <w:tcPr>
            <w:tcW w:w="1555" w:type="dxa"/>
            <w:gridSpan w:val="2"/>
            <w:shd w:val="clear" w:color="auto" w:fill="auto"/>
            <w:noWrap/>
            <w:vAlign w:val="center"/>
            <w:hideMark/>
          </w:tcPr>
          <w:p w:rsidR="008F497D" w:rsidRPr="002A56A8" w:rsidRDefault="008F497D" w:rsidP="008F7947">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26.6%</w:t>
            </w:r>
          </w:p>
        </w:tc>
        <w:tc>
          <w:tcPr>
            <w:tcW w:w="1293" w:type="dxa"/>
            <w:shd w:val="clear" w:color="auto" w:fill="auto"/>
            <w:noWrap/>
            <w:vAlign w:val="center"/>
            <w:hideMark/>
          </w:tcPr>
          <w:p w:rsidR="008F497D" w:rsidRPr="002A56A8" w:rsidRDefault="008F497D" w:rsidP="008F7947">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20.1%</w:t>
            </w:r>
          </w:p>
        </w:tc>
        <w:tc>
          <w:tcPr>
            <w:tcW w:w="992" w:type="dxa"/>
            <w:shd w:val="clear" w:color="auto" w:fill="00B050"/>
            <w:noWrap/>
            <w:vAlign w:val="center"/>
            <w:hideMark/>
          </w:tcPr>
          <w:p w:rsidR="008F497D" w:rsidRPr="001E6AAD" w:rsidRDefault="008F497D" w:rsidP="0062625E">
            <w:pPr>
              <w:spacing w:after="0" w:line="240" w:lineRule="auto"/>
              <w:jc w:val="center"/>
              <w:rPr>
                <w:rFonts w:ascii="Calibri" w:eastAsia="Times New Roman" w:hAnsi="Calibri" w:cs="Times New Roman"/>
                <w:color w:val="000000"/>
                <w:lang w:eastAsia="en-GB"/>
              </w:rPr>
            </w:pPr>
            <w:r w:rsidRPr="007A13B0">
              <w:rPr>
                <w:rFonts w:ascii="Calibri" w:eastAsia="Times New Roman" w:hAnsi="Calibri" w:cs="Times New Roman"/>
                <w:color w:val="000000"/>
                <w:sz w:val="12"/>
                <w:szCs w:val="12"/>
                <w:lang w:eastAsia="en-GB"/>
              </w:rPr>
              <w:t>Highest</w:t>
            </w:r>
            <w:r>
              <w:rPr>
                <w:rFonts w:ascii="Calibri" w:eastAsia="Times New Roman" w:hAnsi="Calibri" w:cs="Times New Roman"/>
                <w:color w:val="000000"/>
                <w:sz w:val="12"/>
                <w:szCs w:val="12"/>
                <w:lang w:eastAsia="en-GB"/>
              </w:rPr>
              <w:t xml:space="preserve"> decrease</w:t>
            </w:r>
          </w:p>
        </w:tc>
        <w:tc>
          <w:tcPr>
            <w:tcW w:w="1134" w:type="dxa"/>
            <w:shd w:val="clear" w:color="auto" w:fill="FF0000"/>
            <w:noWrap/>
            <w:vAlign w:val="center"/>
            <w:hideMark/>
          </w:tcPr>
          <w:p w:rsidR="008F497D" w:rsidRPr="001E6AAD" w:rsidRDefault="008F497D" w:rsidP="0062625E">
            <w:pPr>
              <w:spacing w:after="0" w:line="240" w:lineRule="auto"/>
              <w:jc w:val="center"/>
              <w:rPr>
                <w:rFonts w:ascii="Calibri" w:eastAsia="Times New Roman" w:hAnsi="Calibri" w:cs="Times New Roman"/>
                <w:color w:val="000000"/>
                <w:lang w:eastAsia="en-GB"/>
              </w:rPr>
            </w:pPr>
            <w:r w:rsidRPr="007A13B0">
              <w:rPr>
                <w:rFonts w:ascii="Calibri" w:eastAsia="Times New Roman" w:hAnsi="Calibri" w:cs="Times New Roman"/>
                <w:color w:val="000000"/>
                <w:sz w:val="12"/>
                <w:szCs w:val="12"/>
                <w:lang w:eastAsia="en-GB"/>
              </w:rPr>
              <w:t>Lowest</w:t>
            </w:r>
            <w:r>
              <w:rPr>
                <w:rFonts w:ascii="Calibri" w:eastAsia="Times New Roman" w:hAnsi="Calibri" w:cs="Times New Roman"/>
                <w:color w:val="000000"/>
                <w:sz w:val="12"/>
                <w:szCs w:val="12"/>
                <w:lang w:eastAsia="en-GB"/>
              </w:rPr>
              <w:t xml:space="preserve"> decrease</w:t>
            </w:r>
          </w:p>
        </w:tc>
      </w:tr>
      <w:tr w:rsidR="008F497D" w:rsidRPr="002A56A8" w:rsidTr="008F7947">
        <w:trPr>
          <w:trHeight w:val="480"/>
        </w:trPr>
        <w:tc>
          <w:tcPr>
            <w:tcW w:w="1900" w:type="dxa"/>
            <w:shd w:val="clear" w:color="auto" w:fill="auto"/>
            <w:vAlign w:val="bottom"/>
            <w:hideMark/>
          </w:tcPr>
          <w:p w:rsidR="008F497D" w:rsidRPr="002A56A8" w:rsidRDefault="008F497D" w:rsidP="002B45D4">
            <w:pPr>
              <w:spacing w:after="0" w:line="240" w:lineRule="auto"/>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 xml:space="preserve">Female % Decrease </w:t>
            </w:r>
            <w:r w:rsidR="002B45D4">
              <w:rPr>
                <w:rFonts w:ascii="Calibri" w:eastAsia="Times New Roman" w:hAnsi="Calibri" w:cs="Times New Roman"/>
                <w:color w:val="000000"/>
                <w:sz w:val="16"/>
                <w:szCs w:val="16"/>
                <w:lang w:eastAsia="en-GB"/>
              </w:rPr>
              <w:t xml:space="preserve">All age </w:t>
            </w:r>
            <w:r w:rsidRPr="002A56A8">
              <w:rPr>
                <w:rFonts w:ascii="Calibri" w:eastAsia="Times New Roman" w:hAnsi="Calibri" w:cs="Times New Roman"/>
                <w:color w:val="000000"/>
                <w:sz w:val="16"/>
                <w:szCs w:val="16"/>
                <w:lang w:eastAsia="en-GB"/>
              </w:rPr>
              <w:t xml:space="preserve">mortality </w:t>
            </w:r>
            <w:r w:rsidR="00385D54">
              <w:rPr>
                <w:rFonts w:ascii="Calibri" w:eastAsia="Times New Roman" w:hAnsi="Calibri" w:cs="Times New Roman"/>
                <w:color w:val="000000"/>
                <w:sz w:val="16"/>
                <w:szCs w:val="16"/>
                <w:lang w:eastAsia="en-GB"/>
              </w:rPr>
              <w:t>(</w:t>
            </w:r>
            <w:r w:rsidRPr="002A56A8">
              <w:rPr>
                <w:rFonts w:ascii="Calibri" w:eastAsia="Times New Roman" w:hAnsi="Calibri" w:cs="Times New Roman"/>
                <w:color w:val="000000"/>
                <w:sz w:val="16"/>
                <w:szCs w:val="16"/>
                <w:lang w:eastAsia="en-GB"/>
              </w:rPr>
              <w:t>1995-2008</w:t>
            </w:r>
            <w:r w:rsidR="00385D54">
              <w:rPr>
                <w:rFonts w:ascii="Calibri" w:eastAsia="Times New Roman" w:hAnsi="Calibri" w:cs="Times New Roman"/>
                <w:color w:val="000000"/>
                <w:sz w:val="16"/>
                <w:szCs w:val="16"/>
                <w:lang w:eastAsia="en-GB"/>
              </w:rPr>
              <w:t>)</w:t>
            </w:r>
          </w:p>
        </w:tc>
        <w:tc>
          <w:tcPr>
            <w:tcW w:w="1361" w:type="dxa"/>
            <w:shd w:val="clear" w:color="auto" w:fill="auto"/>
            <w:noWrap/>
            <w:vAlign w:val="center"/>
            <w:hideMark/>
          </w:tcPr>
          <w:p w:rsidR="008F497D" w:rsidRPr="002A56A8" w:rsidRDefault="008F497D" w:rsidP="008F7947">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27.2%</w:t>
            </w:r>
          </w:p>
        </w:tc>
        <w:tc>
          <w:tcPr>
            <w:tcW w:w="1276" w:type="dxa"/>
            <w:shd w:val="clear" w:color="auto" w:fill="00B050"/>
            <w:noWrap/>
            <w:vAlign w:val="center"/>
            <w:hideMark/>
          </w:tcPr>
          <w:p w:rsidR="008F497D" w:rsidRPr="002A56A8" w:rsidRDefault="008F497D" w:rsidP="008F7947">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32.0%</w:t>
            </w:r>
          </w:p>
        </w:tc>
        <w:tc>
          <w:tcPr>
            <w:tcW w:w="1263" w:type="dxa"/>
            <w:shd w:val="clear" w:color="000000" w:fill="FF0000"/>
            <w:noWrap/>
            <w:vAlign w:val="center"/>
            <w:hideMark/>
          </w:tcPr>
          <w:p w:rsidR="008F497D" w:rsidRPr="002A56A8" w:rsidRDefault="008F497D" w:rsidP="008F7947">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19.5%</w:t>
            </w:r>
          </w:p>
        </w:tc>
        <w:tc>
          <w:tcPr>
            <w:tcW w:w="1555" w:type="dxa"/>
            <w:gridSpan w:val="2"/>
            <w:shd w:val="clear" w:color="auto" w:fill="auto"/>
            <w:noWrap/>
            <w:vAlign w:val="center"/>
            <w:hideMark/>
          </w:tcPr>
          <w:p w:rsidR="008F497D" w:rsidRPr="002A56A8" w:rsidRDefault="008F497D" w:rsidP="008F7947">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14.3%</w:t>
            </w:r>
          </w:p>
        </w:tc>
        <w:tc>
          <w:tcPr>
            <w:tcW w:w="1293" w:type="dxa"/>
            <w:shd w:val="clear" w:color="auto" w:fill="auto"/>
            <w:noWrap/>
            <w:vAlign w:val="center"/>
            <w:hideMark/>
          </w:tcPr>
          <w:p w:rsidR="008F497D" w:rsidRPr="002A56A8" w:rsidRDefault="008F497D" w:rsidP="008F7947">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23.9%</w:t>
            </w:r>
          </w:p>
        </w:tc>
        <w:tc>
          <w:tcPr>
            <w:tcW w:w="992" w:type="dxa"/>
            <w:shd w:val="clear" w:color="auto" w:fill="00B050"/>
            <w:noWrap/>
            <w:vAlign w:val="center"/>
            <w:hideMark/>
          </w:tcPr>
          <w:p w:rsidR="008F497D" w:rsidRPr="002A56A8" w:rsidRDefault="002B45D4" w:rsidP="002B45D4">
            <w:pPr>
              <w:spacing w:after="0" w:line="240" w:lineRule="auto"/>
              <w:jc w:val="center"/>
              <w:rPr>
                <w:rFonts w:ascii="Calibri" w:eastAsia="Times New Roman" w:hAnsi="Calibri" w:cs="Times New Roman"/>
                <w:color w:val="000000"/>
                <w:lang w:eastAsia="en-GB"/>
              </w:rPr>
            </w:pPr>
            <w:r w:rsidRPr="007A13B0">
              <w:rPr>
                <w:rFonts w:ascii="Calibri" w:eastAsia="Times New Roman" w:hAnsi="Calibri" w:cs="Times New Roman"/>
                <w:color w:val="000000"/>
                <w:sz w:val="12"/>
                <w:szCs w:val="12"/>
                <w:lang w:eastAsia="en-GB"/>
              </w:rPr>
              <w:t>Highest</w:t>
            </w:r>
            <w:r>
              <w:rPr>
                <w:rFonts w:ascii="Calibri" w:eastAsia="Times New Roman" w:hAnsi="Calibri" w:cs="Times New Roman"/>
                <w:color w:val="000000"/>
                <w:sz w:val="12"/>
                <w:szCs w:val="12"/>
                <w:lang w:eastAsia="en-GB"/>
              </w:rPr>
              <w:t xml:space="preserve"> decrease</w:t>
            </w:r>
          </w:p>
        </w:tc>
        <w:tc>
          <w:tcPr>
            <w:tcW w:w="1134" w:type="dxa"/>
            <w:shd w:val="clear" w:color="000000" w:fill="FF0000"/>
            <w:vAlign w:val="center"/>
            <w:hideMark/>
          </w:tcPr>
          <w:p w:rsidR="008F497D" w:rsidRPr="002A56A8" w:rsidRDefault="002B45D4" w:rsidP="002B45D4">
            <w:pPr>
              <w:spacing w:after="0" w:line="240" w:lineRule="auto"/>
              <w:jc w:val="center"/>
              <w:rPr>
                <w:rFonts w:ascii="Calibri" w:eastAsia="Times New Roman" w:hAnsi="Calibri" w:cs="Times New Roman"/>
                <w:color w:val="000000"/>
                <w:sz w:val="12"/>
                <w:szCs w:val="12"/>
                <w:lang w:eastAsia="en-GB"/>
              </w:rPr>
            </w:pPr>
            <w:r w:rsidRPr="007A13B0">
              <w:rPr>
                <w:rFonts w:ascii="Calibri" w:eastAsia="Times New Roman" w:hAnsi="Calibri" w:cs="Times New Roman"/>
                <w:color w:val="000000"/>
                <w:sz w:val="12"/>
                <w:szCs w:val="12"/>
                <w:lang w:eastAsia="en-GB"/>
              </w:rPr>
              <w:t>Lowest</w:t>
            </w:r>
            <w:r>
              <w:rPr>
                <w:rFonts w:ascii="Calibri" w:eastAsia="Times New Roman" w:hAnsi="Calibri" w:cs="Times New Roman"/>
                <w:color w:val="000000"/>
                <w:sz w:val="12"/>
                <w:szCs w:val="12"/>
                <w:lang w:eastAsia="en-GB"/>
              </w:rPr>
              <w:t xml:space="preserve"> decrease</w:t>
            </w:r>
          </w:p>
        </w:tc>
      </w:tr>
      <w:tr w:rsidR="008F497D" w:rsidRPr="002A56A8" w:rsidTr="00A00017">
        <w:trPr>
          <w:trHeight w:val="191"/>
        </w:trPr>
        <w:tc>
          <w:tcPr>
            <w:tcW w:w="1900" w:type="dxa"/>
            <w:shd w:val="clear" w:color="auto" w:fill="auto"/>
            <w:vAlign w:val="bottom"/>
            <w:hideMark/>
          </w:tcPr>
          <w:p w:rsidR="008F497D" w:rsidRPr="002A56A8" w:rsidRDefault="008F497D" w:rsidP="002A56A8">
            <w:pPr>
              <w:spacing w:after="0" w:line="240" w:lineRule="auto"/>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Emergency Bed Days per 100,000</w:t>
            </w:r>
            <w:r w:rsidR="00385D54">
              <w:rPr>
                <w:rFonts w:ascii="Calibri" w:eastAsia="Times New Roman" w:hAnsi="Calibri" w:cs="Times New Roman"/>
                <w:color w:val="000000"/>
                <w:sz w:val="16"/>
                <w:szCs w:val="16"/>
                <w:lang w:eastAsia="en-GB"/>
              </w:rPr>
              <w:t xml:space="preserve"> (2007-08)</w:t>
            </w:r>
          </w:p>
        </w:tc>
        <w:tc>
          <w:tcPr>
            <w:tcW w:w="1361" w:type="dxa"/>
            <w:shd w:val="clear" w:color="000000" w:fill="FF0000"/>
            <w:noWrap/>
            <w:vAlign w:val="center"/>
            <w:hideMark/>
          </w:tcPr>
          <w:p w:rsidR="008F497D" w:rsidRPr="002A56A8" w:rsidRDefault="008F497D" w:rsidP="008F7947">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410</w:t>
            </w:r>
          </w:p>
        </w:tc>
        <w:tc>
          <w:tcPr>
            <w:tcW w:w="1276" w:type="dxa"/>
            <w:shd w:val="clear" w:color="000000" w:fill="FF0000"/>
            <w:noWrap/>
            <w:vAlign w:val="center"/>
            <w:hideMark/>
          </w:tcPr>
          <w:p w:rsidR="008F497D" w:rsidRPr="002A56A8" w:rsidRDefault="008F497D" w:rsidP="008F7947">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383</w:t>
            </w:r>
          </w:p>
        </w:tc>
        <w:tc>
          <w:tcPr>
            <w:tcW w:w="1263" w:type="dxa"/>
            <w:shd w:val="clear" w:color="000000" w:fill="FF0000"/>
            <w:noWrap/>
            <w:vAlign w:val="center"/>
            <w:hideMark/>
          </w:tcPr>
          <w:p w:rsidR="008F497D" w:rsidRPr="002A56A8" w:rsidRDefault="008F497D" w:rsidP="008F7947">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393</w:t>
            </w:r>
          </w:p>
        </w:tc>
        <w:tc>
          <w:tcPr>
            <w:tcW w:w="1555" w:type="dxa"/>
            <w:gridSpan w:val="2"/>
            <w:shd w:val="clear" w:color="000000" w:fill="FF0000"/>
            <w:noWrap/>
            <w:vAlign w:val="center"/>
            <w:hideMark/>
          </w:tcPr>
          <w:p w:rsidR="008F497D" w:rsidRPr="002A56A8" w:rsidRDefault="008F497D" w:rsidP="008F7947">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448</w:t>
            </w:r>
          </w:p>
        </w:tc>
        <w:tc>
          <w:tcPr>
            <w:tcW w:w="1293" w:type="dxa"/>
            <w:shd w:val="clear" w:color="000000" w:fill="FF0000"/>
            <w:noWrap/>
            <w:vAlign w:val="center"/>
            <w:hideMark/>
          </w:tcPr>
          <w:p w:rsidR="008F497D" w:rsidRPr="002A56A8" w:rsidRDefault="008F497D" w:rsidP="008F7947">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415</w:t>
            </w:r>
          </w:p>
        </w:tc>
        <w:tc>
          <w:tcPr>
            <w:tcW w:w="992" w:type="dxa"/>
            <w:shd w:val="clear" w:color="auto" w:fill="auto"/>
            <w:noWrap/>
            <w:vAlign w:val="bottom"/>
            <w:hideMark/>
          </w:tcPr>
          <w:p w:rsidR="008F497D" w:rsidRPr="002A56A8" w:rsidRDefault="008F497D" w:rsidP="002A56A8">
            <w:pPr>
              <w:spacing w:after="0" w:line="240" w:lineRule="auto"/>
              <w:rPr>
                <w:rFonts w:ascii="Calibri" w:eastAsia="Times New Roman" w:hAnsi="Calibri" w:cs="Times New Roman"/>
                <w:color w:val="000000"/>
                <w:lang w:eastAsia="en-GB"/>
              </w:rPr>
            </w:pPr>
            <w:r w:rsidRPr="002A56A8">
              <w:rPr>
                <w:rFonts w:ascii="Calibri" w:eastAsia="Times New Roman" w:hAnsi="Calibri" w:cs="Times New Roman"/>
                <w:color w:val="000000"/>
                <w:lang w:eastAsia="en-GB"/>
              </w:rPr>
              <w:t> </w:t>
            </w:r>
          </w:p>
        </w:tc>
        <w:tc>
          <w:tcPr>
            <w:tcW w:w="1134" w:type="dxa"/>
            <w:shd w:val="clear" w:color="000000" w:fill="FF0000"/>
            <w:vAlign w:val="center"/>
            <w:hideMark/>
          </w:tcPr>
          <w:p w:rsidR="008F497D" w:rsidRPr="002A56A8" w:rsidRDefault="008F497D" w:rsidP="002A56A8">
            <w:pPr>
              <w:spacing w:after="0" w:line="240" w:lineRule="auto"/>
              <w:jc w:val="center"/>
              <w:rPr>
                <w:rFonts w:ascii="Calibri" w:eastAsia="Times New Roman" w:hAnsi="Calibri" w:cs="Times New Roman"/>
                <w:color w:val="000000"/>
                <w:sz w:val="12"/>
                <w:szCs w:val="12"/>
                <w:lang w:eastAsia="en-GB"/>
              </w:rPr>
            </w:pPr>
            <w:r w:rsidRPr="002A56A8">
              <w:rPr>
                <w:rFonts w:ascii="Calibri" w:eastAsia="Times New Roman" w:hAnsi="Calibri" w:cs="Times New Roman"/>
                <w:color w:val="000000"/>
                <w:sz w:val="12"/>
                <w:szCs w:val="12"/>
                <w:lang w:eastAsia="en-GB"/>
              </w:rPr>
              <w:t>Higher than national average</w:t>
            </w:r>
          </w:p>
        </w:tc>
      </w:tr>
      <w:tr w:rsidR="00FB09D5" w:rsidRPr="002A56A8" w:rsidTr="00FB09D5">
        <w:trPr>
          <w:trHeight w:val="308"/>
        </w:trPr>
        <w:tc>
          <w:tcPr>
            <w:tcW w:w="1900" w:type="dxa"/>
            <w:shd w:val="clear" w:color="auto" w:fill="auto"/>
            <w:vAlign w:val="bottom"/>
            <w:hideMark/>
          </w:tcPr>
          <w:p w:rsidR="00FB09D5" w:rsidRPr="001E6AAD" w:rsidRDefault="00FB09D5" w:rsidP="00846C1D">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Average all cancer emergency admission crude rate per 100,000</w:t>
            </w:r>
            <w:r w:rsidR="00D83932">
              <w:rPr>
                <w:rFonts w:ascii="Calibri" w:eastAsia="Times New Roman" w:hAnsi="Calibri" w:cs="Times New Roman"/>
                <w:color w:val="000000"/>
                <w:sz w:val="16"/>
                <w:szCs w:val="16"/>
                <w:lang w:eastAsia="en-GB"/>
              </w:rPr>
              <w:t xml:space="preserve"> (2008-09)</w:t>
            </w:r>
          </w:p>
        </w:tc>
        <w:tc>
          <w:tcPr>
            <w:tcW w:w="1361" w:type="dxa"/>
            <w:shd w:val="clear" w:color="auto" w:fill="auto"/>
            <w:noWrap/>
            <w:vAlign w:val="center"/>
            <w:hideMark/>
          </w:tcPr>
          <w:p w:rsidR="00FB09D5" w:rsidRPr="001E6AAD" w:rsidRDefault="00FB09D5" w:rsidP="00846C1D">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610.41</w:t>
            </w:r>
          </w:p>
        </w:tc>
        <w:tc>
          <w:tcPr>
            <w:tcW w:w="1276" w:type="dxa"/>
            <w:shd w:val="clear" w:color="auto" w:fill="auto"/>
            <w:noWrap/>
            <w:vAlign w:val="center"/>
            <w:hideMark/>
          </w:tcPr>
          <w:p w:rsidR="00FB09D5" w:rsidRPr="001E6AAD" w:rsidRDefault="00FB09D5" w:rsidP="00846C1D">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506.50</w:t>
            </w:r>
          </w:p>
        </w:tc>
        <w:tc>
          <w:tcPr>
            <w:tcW w:w="1263" w:type="dxa"/>
            <w:shd w:val="clear" w:color="auto" w:fill="auto"/>
            <w:noWrap/>
            <w:vAlign w:val="center"/>
            <w:hideMark/>
          </w:tcPr>
          <w:p w:rsidR="00FB09D5" w:rsidRPr="001E6AAD" w:rsidRDefault="00FB09D5" w:rsidP="00846C1D">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536.97</w:t>
            </w:r>
          </w:p>
        </w:tc>
        <w:tc>
          <w:tcPr>
            <w:tcW w:w="1555" w:type="dxa"/>
            <w:gridSpan w:val="2"/>
            <w:shd w:val="clear" w:color="auto" w:fill="auto"/>
            <w:noWrap/>
            <w:vAlign w:val="center"/>
            <w:hideMark/>
          </w:tcPr>
          <w:p w:rsidR="00FB09D5" w:rsidRPr="001E6AAD" w:rsidRDefault="00FB09D5" w:rsidP="00846C1D">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634.87</w:t>
            </w:r>
          </w:p>
        </w:tc>
        <w:tc>
          <w:tcPr>
            <w:tcW w:w="1293" w:type="dxa"/>
            <w:shd w:val="clear" w:color="auto" w:fill="auto"/>
            <w:noWrap/>
            <w:vAlign w:val="center"/>
            <w:hideMark/>
          </w:tcPr>
          <w:p w:rsidR="00FB09D5" w:rsidRPr="001E6AAD" w:rsidRDefault="00FB09D5" w:rsidP="00846C1D">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443.07</w:t>
            </w:r>
          </w:p>
        </w:tc>
        <w:tc>
          <w:tcPr>
            <w:tcW w:w="992" w:type="dxa"/>
            <w:shd w:val="clear" w:color="auto" w:fill="auto"/>
            <w:noWrap/>
            <w:vAlign w:val="center"/>
            <w:hideMark/>
          </w:tcPr>
          <w:p w:rsidR="00FB09D5" w:rsidRPr="001E6AAD" w:rsidRDefault="00FB09D5" w:rsidP="00422E87">
            <w:pPr>
              <w:spacing w:after="0" w:line="240" w:lineRule="auto"/>
              <w:jc w:val="center"/>
              <w:rPr>
                <w:rFonts w:ascii="Calibri" w:eastAsia="Times New Roman" w:hAnsi="Calibri" w:cs="Times New Roman"/>
                <w:color w:val="000000"/>
                <w:lang w:eastAsia="en-GB"/>
              </w:rPr>
            </w:pPr>
          </w:p>
        </w:tc>
        <w:tc>
          <w:tcPr>
            <w:tcW w:w="1134" w:type="dxa"/>
            <w:shd w:val="clear" w:color="auto" w:fill="auto"/>
            <w:noWrap/>
            <w:vAlign w:val="center"/>
            <w:hideMark/>
          </w:tcPr>
          <w:p w:rsidR="00FB09D5" w:rsidRPr="001E6AAD" w:rsidRDefault="00FB09D5" w:rsidP="00422E87">
            <w:pPr>
              <w:spacing w:after="0" w:line="240" w:lineRule="auto"/>
              <w:jc w:val="center"/>
              <w:rPr>
                <w:rFonts w:ascii="Calibri" w:eastAsia="Times New Roman" w:hAnsi="Calibri" w:cs="Times New Roman"/>
                <w:color w:val="000000"/>
                <w:sz w:val="12"/>
                <w:szCs w:val="12"/>
                <w:lang w:eastAsia="en-GB"/>
              </w:rPr>
            </w:pPr>
          </w:p>
        </w:tc>
      </w:tr>
      <w:tr w:rsidR="00FB09D5" w:rsidRPr="002A56A8" w:rsidTr="00FB09D5">
        <w:trPr>
          <w:trHeight w:val="358"/>
        </w:trPr>
        <w:tc>
          <w:tcPr>
            <w:tcW w:w="1900" w:type="dxa"/>
            <w:shd w:val="clear" w:color="auto" w:fill="auto"/>
            <w:vAlign w:val="bottom"/>
            <w:hideMark/>
          </w:tcPr>
          <w:p w:rsidR="00FB09D5" w:rsidRPr="002A56A8" w:rsidRDefault="00FB09D5" w:rsidP="00D83932">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 xml:space="preserve">2WW </w:t>
            </w:r>
            <w:r w:rsidR="0023678F">
              <w:rPr>
                <w:rFonts w:ascii="Calibri" w:eastAsia="Times New Roman" w:hAnsi="Calibri" w:cs="Times New Roman"/>
                <w:color w:val="000000"/>
                <w:sz w:val="16"/>
                <w:szCs w:val="16"/>
                <w:lang w:eastAsia="en-GB"/>
              </w:rPr>
              <w:t xml:space="preserve">lower GI cancer </w:t>
            </w:r>
            <w:r>
              <w:rPr>
                <w:rFonts w:ascii="Calibri" w:eastAsia="Times New Roman" w:hAnsi="Calibri" w:cs="Times New Roman"/>
                <w:color w:val="000000"/>
                <w:sz w:val="16"/>
                <w:szCs w:val="16"/>
                <w:lang w:eastAsia="en-GB"/>
              </w:rPr>
              <w:t>referral rate per 1</w:t>
            </w:r>
            <w:r w:rsidR="00D83932">
              <w:rPr>
                <w:rFonts w:ascii="Calibri" w:eastAsia="Times New Roman" w:hAnsi="Calibri" w:cs="Times New Roman"/>
                <w:color w:val="000000"/>
                <w:sz w:val="16"/>
                <w:szCs w:val="16"/>
                <w:lang w:eastAsia="en-GB"/>
              </w:rPr>
              <w:t>00</w:t>
            </w:r>
            <w:r>
              <w:rPr>
                <w:rFonts w:ascii="Calibri" w:eastAsia="Times New Roman" w:hAnsi="Calibri" w:cs="Times New Roman"/>
                <w:color w:val="000000"/>
                <w:sz w:val="16"/>
                <w:szCs w:val="16"/>
                <w:lang w:eastAsia="en-GB"/>
              </w:rPr>
              <w:t>,000 (2009)</w:t>
            </w:r>
          </w:p>
        </w:tc>
        <w:tc>
          <w:tcPr>
            <w:tcW w:w="1361" w:type="dxa"/>
            <w:shd w:val="clear" w:color="auto" w:fill="auto"/>
            <w:noWrap/>
            <w:vAlign w:val="center"/>
            <w:hideMark/>
          </w:tcPr>
          <w:p w:rsidR="00FB09D5" w:rsidRPr="002A56A8" w:rsidRDefault="00D83932" w:rsidP="00846C1D">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137.60</w:t>
            </w:r>
          </w:p>
        </w:tc>
        <w:tc>
          <w:tcPr>
            <w:tcW w:w="1276" w:type="dxa"/>
            <w:shd w:val="clear" w:color="auto" w:fill="auto"/>
            <w:noWrap/>
            <w:vAlign w:val="center"/>
            <w:hideMark/>
          </w:tcPr>
          <w:p w:rsidR="00FB09D5" w:rsidRPr="002A56A8" w:rsidRDefault="00D83932" w:rsidP="00846C1D">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206.90</w:t>
            </w:r>
          </w:p>
        </w:tc>
        <w:tc>
          <w:tcPr>
            <w:tcW w:w="1263" w:type="dxa"/>
            <w:shd w:val="clear" w:color="auto" w:fill="auto"/>
            <w:noWrap/>
            <w:vAlign w:val="center"/>
            <w:hideMark/>
          </w:tcPr>
          <w:p w:rsidR="00FB09D5" w:rsidRPr="002A56A8" w:rsidRDefault="00D83932" w:rsidP="00846C1D">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205.55</w:t>
            </w:r>
          </w:p>
        </w:tc>
        <w:tc>
          <w:tcPr>
            <w:tcW w:w="1555" w:type="dxa"/>
            <w:gridSpan w:val="2"/>
            <w:shd w:val="clear" w:color="auto" w:fill="auto"/>
            <w:noWrap/>
            <w:vAlign w:val="center"/>
            <w:hideMark/>
          </w:tcPr>
          <w:p w:rsidR="00FB09D5" w:rsidRPr="002A56A8" w:rsidRDefault="00D83932" w:rsidP="00846C1D">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162.77</w:t>
            </w:r>
          </w:p>
        </w:tc>
        <w:tc>
          <w:tcPr>
            <w:tcW w:w="1293" w:type="dxa"/>
            <w:shd w:val="clear" w:color="auto" w:fill="auto"/>
            <w:noWrap/>
            <w:vAlign w:val="center"/>
            <w:hideMark/>
          </w:tcPr>
          <w:p w:rsidR="00FB09D5" w:rsidRPr="002A56A8" w:rsidRDefault="00D83932" w:rsidP="00846C1D">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142.48</w:t>
            </w:r>
          </w:p>
        </w:tc>
        <w:tc>
          <w:tcPr>
            <w:tcW w:w="992" w:type="dxa"/>
            <w:shd w:val="clear" w:color="auto" w:fill="auto"/>
            <w:vAlign w:val="center"/>
            <w:hideMark/>
          </w:tcPr>
          <w:p w:rsidR="00FB09D5" w:rsidRPr="001E6AAD" w:rsidRDefault="00FB09D5" w:rsidP="00422E87">
            <w:pPr>
              <w:spacing w:after="0" w:line="240" w:lineRule="auto"/>
              <w:jc w:val="center"/>
              <w:rPr>
                <w:rFonts w:ascii="Calibri" w:eastAsia="Times New Roman" w:hAnsi="Calibri" w:cs="Times New Roman"/>
                <w:color w:val="000000"/>
                <w:lang w:eastAsia="en-GB"/>
              </w:rPr>
            </w:pPr>
          </w:p>
        </w:tc>
        <w:tc>
          <w:tcPr>
            <w:tcW w:w="1134" w:type="dxa"/>
            <w:shd w:val="clear" w:color="auto" w:fill="auto"/>
            <w:noWrap/>
            <w:vAlign w:val="center"/>
            <w:hideMark/>
          </w:tcPr>
          <w:p w:rsidR="00FB09D5" w:rsidRPr="001E6AAD" w:rsidRDefault="00FB09D5" w:rsidP="00422E87">
            <w:pPr>
              <w:spacing w:after="0" w:line="240" w:lineRule="auto"/>
              <w:jc w:val="center"/>
              <w:rPr>
                <w:rFonts w:ascii="Calibri" w:eastAsia="Times New Roman" w:hAnsi="Calibri" w:cs="Times New Roman"/>
                <w:color w:val="000000"/>
                <w:sz w:val="12"/>
                <w:szCs w:val="12"/>
                <w:lang w:eastAsia="en-GB"/>
              </w:rPr>
            </w:pPr>
          </w:p>
        </w:tc>
      </w:tr>
      <w:tr w:rsidR="00FB09D5" w:rsidRPr="002A56A8" w:rsidTr="00A632BE">
        <w:trPr>
          <w:trHeight w:val="548"/>
        </w:trPr>
        <w:tc>
          <w:tcPr>
            <w:tcW w:w="1900" w:type="dxa"/>
            <w:shd w:val="clear" w:color="auto" w:fill="auto"/>
            <w:vAlign w:val="bottom"/>
          </w:tcPr>
          <w:p w:rsidR="00FB09D5" w:rsidRPr="002A56A8" w:rsidRDefault="00FB09D5" w:rsidP="00A632BE">
            <w:pPr>
              <w:spacing w:after="0" w:line="240" w:lineRule="auto"/>
              <w:rPr>
                <w:rFonts w:ascii="Calibri" w:eastAsia="Times New Roman" w:hAnsi="Calibri" w:cs="Times New Roman"/>
                <w:color w:val="000000"/>
                <w:sz w:val="16"/>
                <w:szCs w:val="16"/>
                <w:lang w:eastAsia="en-GB"/>
              </w:rPr>
            </w:pPr>
            <w:r w:rsidRPr="001E6AAD">
              <w:rPr>
                <w:rFonts w:ascii="Calibri" w:eastAsia="Times New Roman" w:hAnsi="Calibri" w:cs="Times New Roman"/>
                <w:color w:val="000000"/>
                <w:sz w:val="16"/>
                <w:szCs w:val="16"/>
                <w:lang w:eastAsia="en-GB"/>
              </w:rPr>
              <w:t xml:space="preserve">% of </w:t>
            </w:r>
            <w:r>
              <w:rPr>
                <w:rFonts w:ascii="Calibri" w:eastAsia="Times New Roman" w:hAnsi="Calibri" w:cs="Times New Roman"/>
                <w:color w:val="000000"/>
                <w:sz w:val="16"/>
                <w:szCs w:val="16"/>
                <w:lang w:eastAsia="en-GB"/>
              </w:rPr>
              <w:t>cases diagnosed through non-</w:t>
            </w:r>
            <w:r w:rsidRPr="001E6AAD">
              <w:rPr>
                <w:rFonts w:ascii="Calibri" w:eastAsia="Times New Roman" w:hAnsi="Calibri" w:cs="Times New Roman"/>
                <w:color w:val="000000"/>
                <w:sz w:val="16"/>
                <w:szCs w:val="16"/>
                <w:lang w:eastAsia="en-GB"/>
              </w:rPr>
              <w:t>urgent</w:t>
            </w:r>
            <w:r>
              <w:rPr>
                <w:rFonts w:ascii="Calibri" w:eastAsia="Times New Roman" w:hAnsi="Calibri" w:cs="Times New Roman"/>
                <w:color w:val="000000"/>
                <w:sz w:val="16"/>
                <w:szCs w:val="16"/>
                <w:lang w:eastAsia="en-GB"/>
              </w:rPr>
              <w:t xml:space="preserve"> referrals (2010)</w:t>
            </w:r>
          </w:p>
        </w:tc>
        <w:tc>
          <w:tcPr>
            <w:tcW w:w="1361" w:type="dxa"/>
            <w:shd w:val="clear" w:color="auto" w:fill="auto"/>
            <w:noWrap/>
            <w:vAlign w:val="center"/>
          </w:tcPr>
          <w:p w:rsidR="00FB09D5" w:rsidRPr="002A56A8" w:rsidRDefault="00FB09D5" w:rsidP="00A632BE">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52.8%</w:t>
            </w:r>
          </w:p>
        </w:tc>
        <w:tc>
          <w:tcPr>
            <w:tcW w:w="1276" w:type="dxa"/>
            <w:shd w:val="clear" w:color="000000" w:fill="00B050"/>
            <w:noWrap/>
            <w:vAlign w:val="center"/>
          </w:tcPr>
          <w:p w:rsidR="00FB09D5" w:rsidRPr="002A56A8" w:rsidRDefault="00FB09D5" w:rsidP="00A632BE">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40.7%</w:t>
            </w:r>
          </w:p>
        </w:tc>
        <w:tc>
          <w:tcPr>
            <w:tcW w:w="1263" w:type="dxa"/>
            <w:shd w:val="clear" w:color="auto" w:fill="auto"/>
            <w:noWrap/>
            <w:vAlign w:val="center"/>
          </w:tcPr>
          <w:p w:rsidR="00FB09D5" w:rsidRPr="002A56A8" w:rsidRDefault="00FB09D5" w:rsidP="00A632BE">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57.1%</w:t>
            </w:r>
          </w:p>
        </w:tc>
        <w:tc>
          <w:tcPr>
            <w:tcW w:w="1555" w:type="dxa"/>
            <w:gridSpan w:val="2"/>
            <w:shd w:val="clear" w:color="auto" w:fill="auto"/>
            <w:noWrap/>
            <w:vAlign w:val="center"/>
          </w:tcPr>
          <w:p w:rsidR="00FB09D5" w:rsidRPr="002A56A8" w:rsidRDefault="00FB09D5" w:rsidP="00A632BE">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57.1%</w:t>
            </w:r>
          </w:p>
        </w:tc>
        <w:tc>
          <w:tcPr>
            <w:tcW w:w="1293" w:type="dxa"/>
            <w:shd w:val="clear" w:color="auto" w:fill="FF0000"/>
            <w:noWrap/>
            <w:vAlign w:val="center"/>
          </w:tcPr>
          <w:p w:rsidR="00FB09D5" w:rsidRPr="002A56A8" w:rsidRDefault="00FB09D5" w:rsidP="00A632BE">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61.9%</w:t>
            </w:r>
          </w:p>
        </w:tc>
        <w:tc>
          <w:tcPr>
            <w:tcW w:w="992" w:type="dxa"/>
            <w:shd w:val="clear" w:color="000000" w:fill="00B050"/>
            <w:vAlign w:val="center"/>
          </w:tcPr>
          <w:p w:rsidR="00FB09D5" w:rsidRPr="001E6AAD" w:rsidRDefault="00FB09D5" w:rsidP="00A632BE">
            <w:pPr>
              <w:spacing w:after="0" w:line="240" w:lineRule="auto"/>
              <w:jc w:val="center"/>
              <w:rPr>
                <w:rFonts w:ascii="Calibri" w:eastAsia="Times New Roman" w:hAnsi="Calibri" w:cs="Times New Roman"/>
                <w:color w:val="000000"/>
                <w:lang w:eastAsia="en-GB"/>
              </w:rPr>
            </w:pPr>
            <w:r w:rsidRPr="007A13B0">
              <w:rPr>
                <w:rFonts w:ascii="Calibri" w:eastAsia="Times New Roman" w:hAnsi="Calibri" w:cs="Times New Roman"/>
                <w:color w:val="000000"/>
                <w:sz w:val="12"/>
                <w:szCs w:val="12"/>
                <w:lang w:eastAsia="en-GB"/>
              </w:rPr>
              <w:t>Lowest</w:t>
            </w:r>
          </w:p>
        </w:tc>
        <w:tc>
          <w:tcPr>
            <w:tcW w:w="1134" w:type="dxa"/>
            <w:shd w:val="clear" w:color="auto" w:fill="FF0000"/>
            <w:noWrap/>
            <w:vAlign w:val="center"/>
          </w:tcPr>
          <w:p w:rsidR="00FB09D5" w:rsidRPr="001E6AAD" w:rsidRDefault="00FB09D5" w:rsidP="00A632BE">
            <w:pPr>
              <w:spacing w:after="0" w:line="240" w:lineRule="auto"/>
              <w:jc w:val="center"/>
              <w:rPr>
                <w:rFonts w:ascii="Calibri" w:eastAsia="Times New Roman" w:hAnsi="Calibri" w:cs="Times New Roman"/>
                <w:color w:val="000000"/>
                <w:sz w:val="12"/>
                <w:szCs w:val="12"/>
                <w:lang w:eastAsia="en-GB"/>
              </w:rPr>
            </w:pPr>
            <w:r w:rsidRPr="007A13B0">
              <w:rPr>
                <w:rFonts w:ascii="Calibri" w:eastAsia="Times New Roman" w:hAnsi="Calibri" w:cs="Times New Roman"/>
                <w:color w:val="000000"/>
                <w:sz w:val="12"/>
                <w:szCs w:val="12"/>
                <w:lang w:eastAsia="en-GB"/>
              </w:rPr>
              <w:t>Highest</w:t>
            </w:r>
          </w:p>
        </w:tc>
      </w:tr>
      <w:tr w:rsidR="00FB09D5" w:rsidRPr="002A56A8" w:rsidTr="006F725A">
        <w:trPr>
          <w:trHeight w:val="548"/>
        </w:trPr>
        <w:tc>
          <w:tcPr>
            <w:tcW w:w="1900" w:type="dxa"/>
            <w:shd w:val="clear" w:color="auto" w:fill="auto"/>
            <w:vAlign w:val="bottom"/>
          </w:tcPr>
          <w:p w:rsidR="00FB09D5" w:rsidRPr="002A56A8" w:rsidRDefault="00FB09D5" w:rsidP="00A632BE">
            <w:pPr>
              <w:spacing w:after="0" w:line="240" w:lineRule="auto"/>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 urgent 2 week wait referrals resulting in cancer diagnosis</w:t>
            </w:r>
            <w:r>
              <w:rPr>
                <w:rFonts w:ascii="Calibri" w:eastAsia="Times New Roman" w:hAnsi="Calibri" w:cs="Times New Roman"/>
                <w:color w:val="000000"/>
                <w:sz w:val="16"/>
                <w:szCs w:val="16"/>
                <w:lang w:eastAsia="en-GB"/>
              </w:rPr>
              <w:t xml:space="preserve"> (2010)</w:t>
            </w:r>
          </w:p>
        </w:tc>
        <w:tc>
          <w:tcPr>
            <w:tcW w:w="1361" w:type="dxa"/>
            <w:shd w:val="clear" w:color="000000" w:fill="00B050"/>
            <w:noWrap/>
            <w:vAlign w:val="center"/>
          </w:tcPr>
          <w:p w:rsidR="00FB09D5" w:rsidRPr="002A56A8" w:rsidRDefault="00FB09D5" w:rsidP="00A632BE">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11.10%</w:t>
            </w:r>
          </w:p>
        </w:tc>
        <w:tc>
          <w:tcPr>
            <w:tcW w:w="1276" w:type="dxa"/>
            <w:shd w:val="clear" w:color="000000" w:fill="00B050"/>
            <w:noWrap/>
            <w:vAlign w:val="center"/>
          </w:tcPr>
          <w:p w:rsidR="00FB09D5" w:rsidRPr="002A56A8" w:rsidRDefault="00FB09D5" w:rsidP="00A632BE">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9.80%</w:t>
            </w:r>
          </w:p>
        </w:tc>
        <w:tc>
          <w:tcPr>
            <w:tcW w:w="1263" w:type="dxa"/>
            <w:shd w:val="clear" w:color="auto" w:fill="FF0000"/>
            <w:noWrap/>
            <w:vAlign w:val="center"/>
          </w:tcPr>
          <w:p w:rsidR="00FB09D5" w:rsidRPr="002A56A8" w:rsidRDefault="00FB09D5" w:rsidP="00A632BE">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7.60%</w:t>
            </w:r>
          </w:p>
        </w:tc>
        <w:tc>
          <w:tcPr>
            <w:tcW w:w="1555" w:type="dxa"/>
            <w:gridSpan w:val="2"/>
            <w:shd w:val="clear" w:color="000000" w:fill="00B050"/>
            <w:noWrap/>
            <w:vAlign w:val="center"/>
          </w:tcPr>
          <w:p w:rsidR="00FB09D5" w:rsidRPr="002A56A8" w:rsidRDefault="00FB09D5" w:rsidP="00A632BE">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9.20%</w:t>
            </w:r>
          </w:p>
        </w:tc>
        <w:tc>
          <w:tcPr>
            <w:tcW w:w="1293" w:type="dxa"/>
            <w:shd w:val="clear" w:color="auto" w:fill="FF0000"/>
            <w:noWrap/>
            <w:vAlign w:val="center"/>
          </w:tcPr>
          <w:p w:rsidR="00FB09D5" w:rsidRPr="002A56A8" w:rsidRDefault="00FB09D5" w:rsidP="00A632BE">
            <w:pPr>
              <w:spacing w:after="0" w:line="240" w:lineRule="auto"/>
              <w:jc w:val="center"/>
              <w:rPr>
                <w:rFonts w:ascii="Calibri" w:eastAsia="Times New Roman" w:hAnsi="Calibri" w:cs="Times New Roman"/>
                <w:color w:val="000000"/>
                <w:sz w:val="16"/>
                <w:szCs w:val="16"/>
                <w:lang w:eastAsia="en-GB"/>
              </w:rPr>
            </w:pPr>
            <w:r w:rsidRPr="002A56A8">
              <w:rPr>
                <w:rFonts w:ascii="Calibri" w:eastAsia="Times New Roman" w:hAnsi="Calibri" w:cs="Times New Roman"/>
                <w:color w:val="000000"/>
                <w:sz w:val="16"/>
                <w:szCs w:val="16"/>
                <w:lang w:eastAsia="en-GB"/>
              </w:rPr>
              <w:t>6.10%</w:t>
            </w:r>
          </w:p>
        </w:tc>
        <w:tc>
          <w:tcPr>
            <w:tcW w:w="992" w:type="dxa"/>
            <w:shd w:val="clear" w:color="000000" w:fill="00B050"/>
            <w:vAlign w:val="center"/>
          </w:tcPr>
          <w:p w:rsidR="00FB09D5" w:rsidRPr="002A56A8" w:rsidRDefault="00FB09D5" w:rsidP="00A632BE">
            <w:pPr>
              <w:spacing w:after="0" w:line="240" w:lineRule="auto"/>
              <w:jc w:val="center"/>
              <w:rPr>
                <w:rFonts w:ascii="Calibri" w:eastAsia="Times New Roman" w:hAnsi="Calibri" w:cs="Times New Roman"/>
                <w:color w:val="000000"/>
                <w:sz w:val="12"/>
                <w:szCs w:val="12"/>
                <w:lang w:eastAsia="en-GB"/>
              </w:rPr>
            </w:pPr>
            <w:r w:rsidRPr="002A56A8">
              <w:rPr>
                <w:rFonts w:ascii="Calibri" w:eastAsia="Times New Roman" w:hAnsi="Calibri" w:cs="Times New Roman"/>
                <w:color w:val="000000"/>
                <w:sz w:val="12"/>
                <w:szCs w:val="12"/>
                <w:lang w:eastAsia="en-GB"/>
              </w:rPr>
              <w:t>Higher than national average</w:t>
            </w:r>
            <w:r>
              <w:rPr>
                <w:rFonts w:ascii="Calibri" w:eastAsia="Times New Roman" w:hAnsi="Calibri" w:cs="Times New Roman"/>
                <w:color w:val="000000"/>
                <w:sz w:val="12"/>
                <w:szCs w:val="12"/>
                <w:lang w:eastAsia="en-GB"/>
              </w:rPr>
              <w:t xml:space="preserve"> (8.8%)</w:t>
            </w:r>
          </w:p>
        </w:tc>
        <w:tc>
          <w:tcPr>
            <w:tcW w:w="1134" w:type="dxa"/>
            <w:shd w:val="clear" w:color="auto" w:fill="FF0000"/>
            <w:noWrap/>
            <w:vAlign w:val="center"/>
          </w:tcPr>
          <w:p w:rsidR="00FB09D5" w:rsidRPr="00580938" w:rsidRDefault="00FB09D5" w:rsidP="00A632BE">
            <w:pPr>
              <w:spacing w:after="0" w:line="240" w:lineRule="auto"/>
              <w:jc w:val="center"/>
              <w:rPr>
                <w:rFonts w:ascii="Calibri" w:eastAsia="Times New Roman" w:hAnsi="Calibri" w:cs="Times New Roman"/>
                <w:color w:val="000000"/>
                <w:sz w:val="12"/>
                <w:szCs w:val="12"/>
                <w:lang w:eastAsia="en-GB"/>
              </w:rPr>
            </w:pPr>
            <w:r w:rsidRPr="00580938">
              <w:rPr>
                <w:rFonts w:ascii="Calibri" w:eastAsia="Times New Roman" w:hAnsi="Calibri" w:cs="Times New Roman"/>
                <w:color w:val="000000"/>
                <w:sz w:val="12"/>
                <w:szCs w:val="12"/>
                <w:lang w:eastAsia="en-GB"/>
              </w:rPr>
              <w:t>In lowest quartile</w:t>
            </w:r>
          </w:p>
        </w:tc>
      </w:tr>
    </w:tbl>
    <w:p w:rsidR="007B5BD5" w:rsidRDefault="007B5BD5" w:rsidP="007B5BD5">
      <w:pPr>
        <w:pStyle w:val="Heading2"/>
        <w:spacing w:after="240"/>
        <w:ind w:left="1440"/>
        <w:rPr>
          <w:rFonts w:ascii="Arial" w:hAnsi="Arial" w:cs="Arial"/>
          <w:color w:val="auto"/>
          <w:sz w:val="24"/>
          <w:szCs w:val="24"/>
        </w:rPr>
      </w:pPr>
    </w:p>
    <w:p w:rsidR="007B5BD5" w:rsidRPr="007B5BD5" w:rsidRDefault="007B5BD5" w:rsidP="007B5BD5"/>
    <w:p w:rsidR="00784E76" w:rsidRDefault="00784E76" w:rsidP="007309C1">
      <w:pPr>
        <w:pStyle w:val="Heading2"/>
        <w:numPr>
          <w:ilvl w:val="1"/>
          <w:numId w:val="1"/>
        </w:numPr>
        <w:spacing w:after="240"/>
        <w:rPr>
          <w:rFonts w:ascii="Arial" w:hAnsi="Arial" w:cs="Arial"/>
          <w:color w:val="auto"/>
          <w:sz w:val="24"/>
          <w:szCs w:val="24"/>
        </w:rPr>
      </w:pPr>
      <w:bookmarkStart w:id="120" w:name="_Toc276037875"/>
      <w:r w:rsidRPr="0060663D">
        <w:rPr>
          <w:rFonts w:ascii="Arial" w:hAnsi="Arial" w:cs="Arial"/>
          <w:color w:val="auto"/>
          <w:sz w:val="24"/>
          <w:szCs w:val="24"/>
        </w:rPr>
        <w:t>South West London Cancer Network</w:t>
      </w:r>
      <w:bookmarkEnd w:id="120"/>
    </w:p>
    <w:p w:rsidR="00A70BDB" w:rsidRPr="00A70BDB" w:rsidRDefault="00A70BDB" w:rsidP="00A70BDB">
      <w:r w:rsidRPr="007811AF">
        <w:rPr>
          <w:rFonts w:ascii="Arial" w:hAnsi="Arial" w:cs="Arial"/>
          <w:sz w:val="20"/>
          <w:szCs w:val="20"/>
        </w:rPr>
        <w:t>Overall the SWLCN performs well ag</w:t>
      </w:r>
      <w:r>
        <w:rPr>
          <w:rFonts w:ascii="Arial" w:hAnsi="Arial" w:cs="Arial"/>
          <w:sz w:val="20"/>
          <w:szCs w:val="20"/>
        </w:rPr>
        <w:t>a</w:t>
      </w:r>
      <w:r w:rsidRPr="007811AF">
        <w:rPr>
          <w:rFonts w:ascii="Arial" w:hAnsi="Arial" w:cs="Arial"/>
          <w:sz w:val="20"/>
          <w:szCs w:val="20"/>
        </w:rPr>
        <w:t xml:space="preserve">inst </w:t>
      </w:r>
      <w:r>
        <w:rPr>
          <w:rFonts w:ascii="Arial" w:hAnsi="Arial" w:cs="Arial"/>
          <w:sz w:val="20"/>
          <w:szCs w:val="20"/>
        </w:rPr>
        <w:t>all other networks in London, coming out best 4 out of 5 times on cancer network specific indicators (</w:t>
      </w:r>
      <w:fldSimple w:instr=" REF _Ref268604763 \h  \* MERGEFORMAT ">
        <w:r w:rsidR="004E6A50" w:rsidRPr="004E6A50">
          <w:rPr>
            <w:rFonts w:ascii="Arial" w:hAnsi="Arial" w:cs="Arial"/>
            <w:sz w:val="20"/>
            <w:szCs w:val="20"/>
          </w:rPr>
          <w:t xml:space="preserve">Figure </w:t>
        </w:r>
        <w:r w:rsidR="004E6A50" w:rsidRPr="004E6A50">
          <w:rPr>
            <w:rFonts w:ascii="Arial" w:hAnsi="Arial" w:cs="Arial"/>
            <w:noProof/>
            <w:sz w:val="20"/>
            <w:szCs w:val="20"/>
          </w:rPr>
          <w:t>41</w:t>
        </w:r>
      </w:fldSimple>
      <w:r>
        <w:rPr>
          <w:rFonts w:ascii="Arial" w:hAnsi="Arial" w:cs="Arial"/>
          <w:sz w:val="20"/>
          <w:szCs w:val="20"/>
        </w:rPr>
        <w:t>).</w:t>
      </w:r>
      <w:r w:rsidR="00D165F6">
        <w:rPr>
          <w:rFonts w:ascii="Arial" w:hAnsi="Arial" w:cs="Arial"/>
          <w:sz w:val="20"/>
          <w:szCs w:val="20"/>
        </w:rPr>
        <w:t xml:space="preserve"> One indicator, emergency bed days rate is the highest in London, reflecting the high rates in all the PCTs of SWL, particularly Wandsworth, Sutton &amp; Merton and Croydon.</w:t>
      </w:r>
      <w:r w:rsidR="00A74F00">
        <w:rPr>
          <w:rFonts w:ascii="Arial" w:hAnsi="Arial" w:cs="Arial"/>
          <w:sz w:val="20"/>
          <w:szCs w:val="20"/>
        </w:rPr>
        <w:t xml:space="preserve"> One year survival rate for males is significantly h</w:t>
      </w:r>
      <w:r w:rsidR="00BC0803">
        <w:rPr>
          <w:rFonts w:ascii="Arial" w:hAnsi="Arial" w:cs="Arial"/>
          <w:sz w:val="20"/>
          <w:szCs w:val="20"/>
        </w:rPr>
        <w:t>igher than the national average and is comparable to the male rate in Norway, Finland and Sweden in the EUROCARE-4 study. The female one-year survival rate is considerably lower at 71.2%.</w:t>
      </w:r>
      <w:r w:rsidR="00A74F00">
        <w:rPr>
          <w:rFonts w:ascii="Arial" w:hAnsi="Arial" w:cs="Arial"/>
          <w:sz w:val="20"/>
          <w:szCs w:val="20"/>
        </w:rPr>
        <w:t xml:space="preserve"> </w:t>
      </w:r>
      <w:r w:rsidR="00BC0803">
        <w:rPr>
          <w:rFonts w:ascii="Arial" w:hAnsi="Arial" w:cs="Arial"/>
          <w:sz w:val="20"/>
          <w:szCs w:val="20"/>
        </w:rPr>
        <w:t>T</w:t>
      </w:r>
      <w:r w:rsidR="00A74F00">
        <w:rPr>
          <w:rFonts w:ascii="Arial" w:hAnsi="Arial" w:cs="Arial"/>
          <w:sz w:val="20"/>
          <w:szCs w:val="20"/>
        </w:rPr>
        <w:t>he five-year survival rate (persons) is higher than the national average.</w:t>
      </w:r>
      <w:r w:rsidR="007F08FF">
        <w:rPr>
          <w:rFonts w:ascii="Arial" w:hAnsi="Arial" w:cs="Arial"/>
          <w:sz w:val="20"/>
          <w:szCs w:val="20"/>
        </w:rPr>
        <w:t xml:space="preserve"> Overall for the SWLCN a large proportion of colorectal cancers are classed as not known, around 30%, meaning the true staging data could reveal higher proportions of cancer diagnosed at stage 1, which would reflect the better survival rates. </w:t>
      </w:r>
      <w:r w:rsidR="00537338">
        <w:rPr>
          <w:rFonts w:ascii="Arial" w:hAnsi="Arial" w:cs="Arial"/>
          <w:sz w:val="20"/>
          <w:szCs w:val="20"/>
        </w:rPr>
        <w:t xml:space="preserve">The SWLCN has one of the highest proportions of diagnosed cases resulting from non-urgent referrals in the country at 54.3%. </w:t>
      </w:r>
      <w:r w:rsidR="007F08FF">
        <w:rPr>
          <w:rFonts w:ascii="Arial" w:hAnsi="Arial" w:cs="Arial"/>
          <w:sz w:val="20"/>
          <w:szCs w:val="20"/>
        </w:rPr>
        <w:t>The percentage of urgent 2 week wait referrals resulting in a colorectal cancer diagnosis is just above the national average reflecting the mixed rates across the PCTs of SWL.</w:t>
      </w:r>
      <w:r w:rsidR="008C4CE4">
        <w:rPr>
          <w:rFonts w:ascii="Arial" w:hAnsi="Arial" w:cs="Arial"/>
          <w:sz w:val="20"/>
          <w:szCs w:val="20"/>
        </w:rPr>
        <w:t xml:space="preserve"> The overall 2WW referral rate per 1,000 </w:t>
      </w:r>
      <w:proofErr w:type="gramStart"/>
      <w:r w:rsidR="008C4CE4">
        <w:rPr>
          <w:rFonts w:ascii="Arial" w:hAnsi="Arial" w:cs="Arial"/>
          <w:sz w:val="20"/>
          <w:szCs w:val="20"/>
        </w:rPr>
        <w:t>population</w:t>
      </w:r>
      <w:proofErr w:type="gramEnd"/>
      <w:r w:rsidR="008C4CE4">
        <w:rPr>
          <w:rFonts w:ascii="Arial" w:hAnsi="Arial" w:cs="Arial"/>
          <w:sz w:val="20"/>
          <w:szCs w:val="20"/>
        </w:rPr>
        <w:t xml:space="preserve"> was 1.66.</w:t>
      </w:r>
    </w:p>
    <w:p w:rsidR="00153969" w:rsidRDefault="00153969" w:rsidP="00153969">
      <w:pPr>
        <w:rPr>
          <w:rFonts w:ascii="Arial" w:hAnsi="Arial" w:cs="Arial"/>
          <w:sz w:val="20"/>
          <w:szCs w:val="20"/>
        </w:rPr>
      </w:pPr>
      <w:r w:rsidRPr="00153969">
        <w:rPr>
          <w:rFonts w:ascii="Arial" w:hAnsi="Arial" w:cs="Arial"/>
          <w:sz w:val="20"/>
          <w:szCs w:val="20"/>
        </w:rPr>
        <w:t xml:space="preserve">Below is a matrix summarising the key statistics for </w:t>
      </w:r>
      <w:r w:rsidR="00191E6C">
        <w:rPr>
          <w:rFonts w:ascii="Arial" w:hAnsi="Arial" w:cs="Arial"/>
          <w:sz w:val="20"/>
          <w:szCs w:val="20"/>
        </w:rPr>
        <w:t>colorectal</w:t>
      </w:r>
      <w:r w:rsidRPr="00153969">
        <w:rPr>
          <w:rFonts w:ascii="Arial" w:hAnsi="Arial" w:cs="Arial"/>
          <w:sz w:val="20"/>
          <w:szCs w:val="20"/>
        </w:rPr>
        <w:t xml:space="preserve"> cancer in the South West London Cancer Network.</w:t>
      </w:r>
    </w:p>
    <w:p w:rsidR="000C49E8" w:rsidRDefault="000C49E8" w:rsidP="000C49E8">
      <w:pPr>
        <w:pStyle w:val="Caption"/>
        <w:rPr>
          <w:rFonts w:ascii="Arial" w:hAnsi="Arial" w:cs="Arial"/>
          <w:color w:val="auto"/>
        </w:rPr>
      </w:pPr>
      <w:bookmarkStart w:id="121" w:name="_Ref268604763"/>
      <w:r w:rsidRPr="000C49E8">
        <w:rPr>
          <w:rFonts w:ascii="Arial" w:hAnsi="Arial" w:cs="Arial"/>
          <w:color w:val="auto"/>
        </w:rPr>
        <w:t xml:space="preserve">Figure </w:t>
      </w:r>
      <w:r w:rsidR="00AF55AD" w:rsidRPr="000C49E8">
        <w:rPr>
          <w:rFonts w:ascii="Arial" w:hAnsi="Arial" w:cs="Arial"/>
          <w:color w:val="auto"/>
        </w:rPr>
        <w:fldChar w:fldCharType="begin"/>
      </w:r>
      <w:r w:rsidRPr="000C49E8">
        <w:rPr>
          <w:rFonts w:ascii="Arial" w:hAnsi="Arial" w:cs="Arial"/>
          <w:color w:val="auto"/>
        </w:rPr>
        <w:instrText xml:space="preserve"> SEQ Figure \* ARABIC </w:instrText>
      </w:r>
      <w:r w:rsidR="00AF55AD" w:rsidRPr="000C49E8">
        <w:rPr>
          <w:rFonts w:ascii="Arial" w:hAnsi="Arial" w:cs="Arial"/>
          <w:color w:val="auto"/>
        </w:rPr>
        <w:fldChar w:fldCharType="separate"/>
      </w:r>
      <w:r w:rsidR="004E6A50">
        <w:rPr>
          <w:rFonts w:ascii="Arial" w:hAnsi="Arial" w:cs="Arial"/>
          <w:noProof/>
          <w:color w:val="auto"/>
        </w:rPr>
        <w:t>41</w:t>
      </w:r>
      <w:r w:rsidR="00AF55AD" w:rsidRPr="000C49E8">
        <w:rPr>
          <w:rFonts w:ascii="Arial" w:hAnsi="Arial" w:cs="Arial"/>
          <w:color w:val="auto"/>
        </w:rPr>
        <w:fldChar w:fldCharType="end"/>
      </w:r>
      <w:bookmarkEnd w:id="121"/>
      <w:r w:rsidRPr="000C49E8">
        <w:rPr>
          <w:rFonts w:ascii="Arial" w:hAnsi="Arial" w:cs="Arial"/>
          <w:color w:val="auto"/>
        </w:rPr>
        <w:t xml:space="preserve">: Matrix of key </w:t>
      </w:r>
      <w:r w:rsidR="00A55CA2">
        <w:rPr>
          <w:rFonts w:ascii="Arial" w:hAnsi="Arial" w:cs="Arial"/>
          <w:color w:val="auto"/>
        </w:rPr>
        <w:t>colorectal</w:t>
      </w:r>
      <w:r w:rsidRPr="000C49E8">
        <w:rPr>
          <w:rFonts w:ascii="Arial" w:hAnsi="Arial" w:cs="Arial"/>
          <w:color w:val="auto"/>
        </w:rPr>
        <w:t xml:space="preserve"> cancer figures for South West London Cancer Network.</w:t>
      </w:r>
    </w:p>
    <w:tbl>
      <w:tblPr>
        <w:tblW w:w="8995" w:type="dxa"/>
        <w:tblInd w:w="93" w:type="dxa"/>
        <w:tblLook w:val="04A0"/>
      </w:tblPr>
      <w:tblGrid>
        <w:gridCol w:w="1880"/>
        <w:gridCol w:w="1254"/>
        <w:gridCol w:w="818"/>
        <w:gridCol w:w="960"/>
        <w:gridCol w:w="1039"/>
        <w:gridCol w:w="960"/>
        <w:gridCol w:w="804"/>
        <w:gridCol w:w="1280"/>
      </w:tblGrid>
      <w:tr w:rsidR="00A70BDB" w:rsidRPr="000C49E8" w:rsidTr="00922E19">
        <w:trPr>
          <w:gridAfter w:val="2"/>
          <w:wAfter w:w="2084" w:type="dxa"/>
          <w:trHeight w:val="171"/>
        </w:trPr>
        <w:tc>
          <w:tcPr>
            <w:tcW w:w="188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A70BDB" w:rsidRPr="000C49E8" w:rsidRDefault="00A70BDB" w:rsidP="000C49E8">
            <w:pPr>
              <w:spacing w:after="0" w:line="240" w:lineRule="auto"/>
              <w:rPr>
                <w:rFonts w:ascii="Calibri" w:eastAsia="Times New Roman" w:hAnsi="Calibri" w:cs="Times New Roman"/>
                <w:color w:val="000000"/>
                <w:sz w:val="16"/>
                <w:szCs w:val="16"/>
                <w:lang w:eastAsia="en-GB"/>
              </w:rPr>
            </w:pPr>
          </w:p>
        </w:tc>
        <w:tc>
          <w:tcPr>
            <w:tcW w:w="125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70BDB" w:rsidRPr="00A70BDB" w:rsidRDefault="00A70BDB" w:rsidP="00A70BDB">
            <w:pPr>
              <w:spacing w:after="0" w:line="240" w:lineRule="auto"/>
              <w:rPr>
                <w:rFonts w:ascii="Calibri" w:eastAsia="Times New Roman" w:hAnsi="Calibri" w:cs="Times New Roman"/>
                <w:color w:val="000000"/>
                <w:lang w:eastAsia="en-GB"/>
              </w:rPr>
            </w:pPr>
            <w:r w:rsidRPr="00A70BDB">
              <w:rPr>
                <w:rFonts w:ascii="Calibri" w:eastAsia="Times New Roman" w:hAnsi="Calibri" w:cs="Times New Roman"/>
                <w:color w:val="000000"/>
                <w:lang w:eastAsia="en-GB"/>
              </w:rPr>
              <w:t>SWLCN</w:t>
            </w:r>
          </w:p>
        </w:tc>
        <w:tc>
          <w:tcPr>
            <w:tcW w:w="81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70BDB" w:rsidRPr="00A70BDB" w:rsidRDefault="00A70BDB" w:rsidP="00A70BDB">
            <w:pPr>
              <w:spacing w:after="0" w:line="240" w:lineRule="auto"/>
              <w:rPr>
                <w:rFonts w:ascii="Calibri" w:eastAsia="Times New Roman" w:hAnsi="Calibri" w:cs="Times New Roman"/>
                <w:color w:val="000000"/>
                <w:lang w:eastAsia="en-GB"/>
              </w:rPr>
            </w:pPr>
            <w:r w:rsidRPr="00A70BDB">
              <w:rPr>
                <w:rFonts w:ascii="Calibri" w:eastAsia="Times New Roman" w:hAnsi="Calibri" w:cs="Times New Roman"/>
                <w:color w:val="000000"/>
                <w:lang w:eastAsia="en-GB"/>
              </w:rPr>
              <w:t>NELCN</w:t>
            </w:r>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70BDB" w:rsidRPr="00A70BDB" w:rsidRDefault="00A70BDB" w:rsidP="00A70BDB">
            <w:pPr>
              <w:spacing w:after="0" w:line="240" w:lineRule="auto"/>
              <w:rPr>
                <w:rFonts w:ascii="Calibri" w:eastAsia="Times New Roman" w:hAnsi="Calibri" w:cs="Times New Roman"/>
                <w:color w:val="000000"/>
                <w:lang w:eastAsia="en-GB"/>
              </w:rPr>
            </w:pPr>
            <w:r w:rsidRPr="00A70BDB">
              <w:rPr>
                <w:rFonts w:ascii="Calibri" w:eastAsia="Times New Roman" w:hAnsi="Calibri" w:cs="Times New Roman"/>
                <w:color w:val="000000"/>
                <w:lang w:eastAsia="en-GB"/>
              </w:rPr>
              <w:t>NLCN</w:t>
            </w:r>
          </w:p>
        </w:tc>
        <w:tc>
          <w:tcPr>
            <w:tcW w:w="103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70BDB" w:rsidRPr="00A70BDB" w:rsidRDefault="00A70BDB" w:rsidP="00A70BDB">
            <w:pPr>
              <w:spacing w:after="0" w:line="240" w:lineRule="auto"/>
              <w:rPr>
                <w:rFonts w:ascii="Calibri" w:eastAsia="Times New Roman" w:hAnsi="Calibri" w:cs="Times New Roman"/>
                <w:color w:val="000000"/>
                <w:lang w:eastAsia="en-GB"/>
              </w:rPr>
            </w:pPr>
            <w:r w:rsidRPr="00A70BDB">
              <w:rPr>
                <w:rFonts w:ascii="Calibri" w:eastAsia="Times New Roman" w:hAnsi="Calibri" w:cs="Times New Roman"/>
                <w:color w:val="000000"/>
                <w:lang w:eastAsia="en-GB"/>
              </w:rPr>
              <w:t>(N)WLCN</w:t>
            </w:r>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70BDB" w:rsidRPr="00A70BDB" w:rsidRDefault="00A70BDB" w:rsidP="00A70BDB">
            <w:pPr>
              <w:spacing w:after="0" w:line="240" w:lineRule="auto"/>
              <w:rPr>
                <w:rFonts w:ascii="Calibri" w:eastAsia="Times New Roman" w:hAnsi="Calibri" w:cs="Times New Roman"/>
                <w:color w:val="000000"/>
                <w:lang w:eastAsia="en-GB"/>
              </w:rPr>
            </w:pPr>
            <w:r w:rsidRPr="00A70BDB">
              <w:rPr>
                <w:rFonts w:ascii="Calibri" w:eastAsia="Times New Roman" w:hAnsi="Calibri" w:cs="Times New Roman"/>
                <w:color w:val="000000"/>
                <w:lang w:eastAsia="en-GB"/>
              </w:rPr>
              <w:t>SELCN</w:t>
            </w:r>
          </w:p>
        </w:tc>
      </w:tr>
      <w:tr w:rsidR="00A70BDB" w:rsidRPr="000C49E8" w:rsidTr="008F7947">
        <w:trPr>
          <w:trHeight w:val="168"/>
        </w:trPr>
        <w:tc>
          <w:tcPr>
            <w:tcW w:w="1880" w:type="dxa"/>
            <w:tcBorders>
              <w:top w:val="single" w:sz="8" w:space="0" w:color="auto"/>
              <w:left w:val="single" w:sz="8" w:space="0" w:color="auto"/>
              <w:bottom w:val="single" w:sz="8" w:space="0" w:color="auto"/>
              <w:right w:val="single" w:sz="8" w:space="0" w:color="auto"/>
            </w:tcBorders>
            <w:shd w:val="clear" w:color="auto" w:fill="auto"/>
            <w:hideMark/>
          </w:tcPr>
          <w:p w:rsidR="00A70BDB" w:rsidRPr="00B6367E" w:rsidRDefault="00A70BDB" w:rsidP="008F7947">
            <w:pPr>
              <w:spacing w:after="0" w:line="240" w:lineRule="auto"/>
              <w:rPr>
                <w:rFonts w:ascii="Calibri" w:eastAsia="Times New Roman" w:hAnsi="Calibri" w:cs="Times New Roman"/>
                <w:color w:val="000000"/>
                <w:sz w:val="16"/>
                <w:szCs w:val="16"/>
                <w:lang w:eastAsia="en-GB"/>
              </w:rPr>
            </w:pPr>
            <w:r w:rsidRPr="00B6367E">
              <w:rPr>
                <w:rFonts w:ascii="Calibri" w:eastAsia="Times New Roman" w:hAnsi="Calibri" w:cs="Times New Roman"/>
                <w:color w:val="000000"/>
                <w:sz w:val="16"/>
                <w:szCs w:val="16"/>
                <w:lang w:eastAsia="en-GB"/>
              </w:rPr>
              <w:t>Male Staging (2003-07)</w:t>
            </w:r>
          </w:p>
        </w:tc>
        <w:tc>
          <w:tcPr>
            <w:tcW w:w="125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70BDB" w:rsidRPr="00B6367E" w:rsidRDefault="00A70BDB" w:rsidP="008F7947">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Stage 1: 16.4</w:t>
            </w:r>
            <w:r w:rsidRPr="00B6367E">
              <w:rPr>
                <w:rFonts w:ascii="Calibri" w:eastAsia="Times New Roman" w:hAnsi="Calibri" w:cs="Times New Roman"/>
                <w:color w:val="000000"/>
                <w:sz w:val="16"/>
                <w:szCs w:val="16"/>
                <w:lang w:eastAsia="en-GB"/>
              </w:rPr>
              <w:t xml:space="preserve">%     </w:t>
            </w:r>
            <w:r>
              <w:rPr>
                <w:rFonts w:ascii="Calibri" w:eastAsia="Times New Roman" w:hAnsi="Calibri" w:cs="Times New Roman"/>
                <w:color w:val="000000"/>
                <w:sz w:val="16"/>
                <w:szCs w:val="16"/>
                <w:lang w:eastAsia="en-GB"/>
              </w:rPr>
              <w:t xml:space="preserve">                     Stage 4: 19.3</w:t>
            </w:r>
            <w:r w:rsidRPr="00B6367E">
              <w:rPr>
                <w:rFonts w:ascii="Calibri" w:eastAsia="Times New Roman" w:hAnsi="Calibri" w:cs="Times New Roman"/>
                <w:color w:val="000000"/>
                <w:sz w:val="16"/>
                <w:szCs w:val="16"/>
                <w:lang w:eastAsia="en-GB"/>
              </w:rPr>
              <w:t xml:space="preserve">.%            </w:t>
            </w:r>
            <w:r>
              <w:rPr>
                <w:rFonts w:ascii="Calibri" w:eastAsia="Times New Roman" w:hAnsi="Calibri" w:cs="Times New Roman"/>
                <w:color w:val="000000"/>
                <w:sz w:val="16"/>
                <w:szCs w:val="16"/>
                <w:lang w:eastAsia="en-GB"/>
              </w:rPr>
              <w:t xml:space="preserve">               NK:  29.6</w:t>
            </w:r>
            <w:r w:rsidRPr="00B6367E">
              <w:rPr>
                <w:rFonts w:ascii="Calibri" w:eastAsia="Times New Roman" w:hAnsi="Calibri" w:cs="Times New Roman"/>
                <w:color w:val="000000"/>
                <w:sz w:val="16"/>
                <w:szCs w:val="16"/>
                <w:lang w:eastAsia="en-GB"/>
              </w:rPr>
              <w:t>%</w:t>
            </w:r>
          </w:p>
        </w:tc>
        <w:tc>
          <w:tcPr>
            <w:tcW w:w="8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70BDB" w:rsidRPr="000C49E8" w:rsidRDefault="00A70BDB" w:rsidP="008F7947">
            <w:pPr>
              <w:spacing w:after="0" w:line="240" w:lineRule="auto"/>
              <w:jc w:val="center"/>
              <w:rPr>
                <w:rFonts w:ascii="Calibri" w:eastAsia="Times New Roman" w:hAnsi="Calibri" w:cs="Times New Roman"/>
                <w:color w:val="000000"/>
                <w:sz w:val="16"/>
                <w:szCs w:val="16"/>
                <w:lang w:eastAsia="en-GB"/>
              </w:rPr>
            </w:pPr>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70BDB" w:rsidRPr="000C49E8" w:rsidRDefault="00A70BDB" w:rsidP="008F7947">
            <w:pPr>
              <w:spacing w:after="0" w:line="240" w:lineRule="auto"/>
              <w:jc w:val="center"/>
              <w:rPr>
                <w:rFonts w:ascii="Calibri" w:eastAsia="Times New Roman" w:hAnsi="Calibri" w:cs="Times New Roman"/>
                <w:color w:val="000000"/>
                <w:sz w:val="16"/>
                <w:szCs w:val="16"/>
                <w:lang w:eastAsia="en-GB"/>
              </w:rPr>
            </w:pPr>
          </w:p>
        </w:tc>
        <w:tc>
          <w:tcPr>
            <w:tcW w:w="103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70BDB" w:rsidRPr="000C49E8" w:rsidRDefault="00A70BDB" w:rsidP="008F7947">
            <w:pPr>
              <w:spacing w:after="0" w:line="240" w:lineRule="auto"/>
              <w:jc w:val="center"/>
              <w:rPr>
                <w:rFonts w:ascii="Calibri" w:eastAsia="Times New Roman" w:hAnsi="Calibri" w:cs="Times New Roman"/>
                <w:color w:val="000000"/>
                <w:sz w:val="16"/>
                <w:szCs w:val="16"/>
                <w:lang w:eastAsia="en-GB"/>
              </w:rPr>
            </w:pPr>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70BDB" w:rsidRPr="000C49E8" w:rsidRDefault="00A70BDB" w:rsidP="008F7947">
            <w:pPr>
              <w:spacing w:after="0" w:line="240" w:lineRule="auto"/>
              <w:jc w:val="center"/>
              <w:rPr>
                <w:rFonts w:ascii="Calibri" w:eastAsia="Times New Roman" w:hAnsi="Calibri" w:cs="Times New Roman"/>
                <w:color w:val="000000"/>
                <w:sz w:val="16"/>
                <w:szCs w:val="16"/>
                <w:lang w:eastAsia="en-GB"/>
              </w:rPr>
            </w:pPr>
          </w:p>
        </w:tc>
        <w:tc>
          <w:tcPr>
            <w:tcW w:w="80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70BDB" w:rsidRPr="000C49E8" w:rsidRDefault="00A70BDB" w:rsidP="000C49E8">
            <w:pPr>
              <w:spacing w:after="0" w:line="240" w:lineRule="auto"/>
              <w:jc w:val="center"/>
              <w:rPr>
                <w:rFonts w:ascii="Calibri" w:eastAsia="Times New Roman" w:hAnsi="Calibri" w:cs="Times New Roman"/>
                <w:color w:val="000000"/>
                <w:sz w:val="12"/>
                <w:szCs w:val="12"/>
                <w:lang w:eastAsia="en-GB"/>
              </w:rPr>
            </w:pPr>
          </w:p>
        </w:tc>
        <w:tc>
          <w:tcPr>
            <w:tcW w:w="128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70BDB" w:rsidRPr="000C49E8" w:rsidRDefault="00A70BDB" w:rsidP="000C49E8">
            <w:pPr>
              <w:spacing w:after="0" w:line="240" w:lineRule="auto"/>
              <w:jc w:val="center"/>
              <w:rPr>
                <w:rFonts w:ascii="Calibri" w:eastAsia="Times New Roman" w:hAnsi="Calibri" w:cs="Times New Roman"/>
                <w:color w:val="000000"/>
                <w:sz w:val="12"/>
                <w:szCs w:val="12"/>
                <w:lang w:eastAsia="en-GB"/>
              </w:rPr>
            </w:pPr>
          </w:p>
        </w:tc>
      </w:tr>
      <w:tr w:rsidR="00A70BDB" w:rsidRPr="000C49E8" w:rsidTr="008F7947">
        <w:trPr>
          <w:trHeight w:val="168"/>
        </w:trPr>
        <w:tc>
          <w:tcPr>
            <w:tcW w:w="1880" w:type="dxa"/>
            <w:tcBorders>
              <w:top w:val="single" w:sz="8" w:space="0" w:color="auto"/>
              <w:left w:val="single" w:sz="8" w:space="0" w:color="auto"/>
              <w:bottom w:val="single" w:sz="8" w:space="0" w:color="auto"/>
              <w:right w:val="single" w:sz="8" w:space="0" w:color="auto"/>
            </w:tcBorders>
            <w:shd w:val="clear" w:color="auto" w:fill="auto"/>
            <w:hideMark/>
          </w:tcPr>
          <w:p w:rsidR="00A70BDB" w:rsidRPr="00B6367E" w:rsidRDefault="00A70BDB" w:rsidP="008F7947">
            <w:pPr>
              <w:spacing w:after="0" w:line="240" w:lineRule="auto"/>
              <w:rPr>
                <w:rFonts w:ascii="Calibri" w:eastAsia="Times New Roman" w:hAnsi="Calibri" w:cs="Times New Roman"/>
                <w:color w:val="000000"/>
                <w:sz w:val="16"/>
                <w:szCs w:val="16"/>
                <w:lang w:eastAsia="en-GB"/>
              </w:rPr>
            </w:pPr>
            <w:r w:rsidRPr="00B6367E">
              <w:rPr>
                <w:rFonts w:ascii="Calibri" w:eastAsia="Times New Roman" w:hAnsi="Calibri" w:cs="Times New Roman"/>
                <w:color w:val="000000"/>
                <w:sz w:val="16"/>
                <w:szCs w:val="16"/>
                <w:lang w:eastAsia="en-GB"/>
              </w:rPr>
              <w:t>Female Staging (2003-07)</w:t>
            </w:r>
          </w:p>
        </w:tc>
        <w:tc>
          <w:tcPr>
            <w:tcW w:w="125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70BDB" w:rsidRPr="00B6367E" w:rsidRDefault="00A70BDB" w:rsidP="008F7947">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Stage 1: 17.1</w:t>
            </w:r>
            <w:r w:rsidRPr="00B6367E">
              <w:rPr>
                <w:rFonts w:ascii="Calibri" w:eastAsia="Times New Roman" w:hAnsi="Calibri" w:cs="Times New Roman"/>
                <w:color w:val="000000"/>
                <w:sz w:val="16"/>
                <w:szCs w:val="16"/>
                <w:lang w:eastAsia="en-GB"/>
              </w:rPr>
              <w:t xml:space="preserve">%       </w:t>
            </w:r>
            <w:r>
              <w:rPr>
                <w:rFonts w:ascii="Calibri" w:eastAsia="Times New Roman" w:hAnsi="Calibri" w:cs="Times New Roman"/>
                <w:color w:val="000000"/>
                <w:sz w:val="16"/>
                <w:szCs w:val="16"/>
                <w:lang w:eastAsia="en-GB"/>
              </w:rPr>
              <w:t xml:space="preserve">                   Stage 4: 20.3</w:t>
            </w:r>
            <w:r w:rsidRPr="00B6367E">
              <w:rPr>
                <w:rFonts w:ascii="Calibri" w:eastAsia="Times New Roman" w:hAnsi="Calibri" w:cs="Times New Roman"/>
                <w:color w:val="000000"/>
                <w:sz w:val="16"/>
                <w:szCs w:val="16"/>
                <w:lang w:eastAsia="en-GB"/>
              </w:rPr>
              <w:t xml:space="preserve">%   </w:t>
            </w:r>
            <w:r>
              <w:rPr>
                <w:rFonts w:ascii="Calibri" w:eastAsia="Times New Roman" w:hAnsi="Calibri" w:cs="Times New Roman"/>
                <w:color w:val="000000"/>
                <w:sz w:val="16"/>
                <w:szCs w:val="16"/>
                <w:lang w:eastAsia="en-GB"/>
              </w:rPr>
              <w:t xml:space="preserve">                        NK: 30.1</w:t>
            </w:r>
            <w:r w:rsidRPr="00B6367E">
              <w:rPr>
                <w:rFonts w:ascii="Calibri" w:eastAsia="Times New Roman" w:hAnsi="Calibri" w:cs="Times New Roman"/>
                <w:color w:val="000000"/>
                <w:sz w:val="16"/>
                <w:szCs w:val="16"/>
                <w:lang w:eastAsia="en-GB"/>
              </w:rPr>
              <w:t>%</w:t>
            </w:r>
          </w:p>
        </w:tc>
        <w:tc>
          <w:tcPr>
            <w:tcW w:w="8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70BDB" w:rsidRPr="000C49E8" w:rsidRDefault="00A70BDB" w:rsidP="008F7947">
            <w:pPr>
              <w:spacing w:after="0" w:line="240" w:lineRule="auto"/>
              <w:jc w:val="center"/>
              <w:rPr>
                <w:rFonts w:ascii="Calibri" w:eastAsia="Times New Roman" w:hAnsi="Calibri" w:cs="Times New Roman"/>
                <w:color w:val="000000"/>
                <w:sz w:val="16"/>
                <w:szCs w:val="16"/>
                <w:lang w:eastAsia="en-GB"/>
              </w:rPr>
            </w:pPr>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70BDB" w:rsidRPr="000C49E8" w:rsidRDefault="00A70BDB" w:rsidP="008F7947">
            <w:pPr>
              <w:spacing w:after="0" w:line="240" w:lineRule="auto"/>
              <w:jc w:val="center"/>
              <w:rPr>
                <w:rFonts w:ascii="Calibri" w:eastAsia="Times New Roman" w:hAnsi="Calibri" w:cs="Times New Roman"/>
                <w:color w:val="000000"/>
                <w:sz w:val="16"/>
                <w:szCs w:val="16"/>
                <w:lang w:eastAsia="en-GB"/>
              </w:rPr>
            </w:pPr>
          </w:p>
        </w:tc>
        <w:tc>
          <w:tcPr>
            <w:tcW w:w="103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70BDB" w:rsidRPr="000C49E8" w:rsidRDefault="00A70BDB" w:rsidP="008F7947">
            <w:pPr>
              <w:spacing w:after="0" w:line="240" w:lineRule="auto"/>
              <w:jc w:val="center"/>
              <w:rPr>
                <w:rFonts w:ascii="Calibri" w:eastAsia="Times New Roman" w:hAnsi="Calibri" w:cs="Times New Roman"/>
                <w:color w:val="000000"/>
                <w:sz w:val="16"/>
                <w:szCs w:val="16"/>
                <w:lang w:eastAsia="en-GB"/>
              </w:rPr>
            </w:pPr>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70BDB" w:rsidRPr="000C49E8" w:rsidRDefault="00A70BDB" w:rsidP="008F7947">
            <w:pPr>
              <w:spacing w:after="0" w:line="240" w:lineRule="auto"/>
              <w:jc w:val="center"/>
              <w:rPr>
                <w:rFonts w:ascii="Calibri" w:eastAsia="Times New Roman" w:hAnsi="Calibri" w:cs="Times New Roman"/>
                <w:color w:val="000000"/>
                <w:sz w:val="16"/>
                <w:szCs w:val="16"/>
                <w:lang w:eastAsia="en-GB"/>
              </w:rPr>
            </w:pPr>
          </w:p>
        </w:tc>
        <w:tc>
          <w:tcPr>
            <w:tcW w:w="80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70BDB" w:rsidRPr="000C49E8" w:rsidRDefault="00A70BDB" w:rsidP="000C49E8">
            <w:pPr>
              <w:spacing w:after="0" w:line="240" w:lineRule="auto"/>
              <w:jc w:val="center"/>
              <w:rPr>
                <w:rFonts w:ascii="Calibri" w:eastAsia="Times New Roman" w:hAnsi="Calibri" w:cs="Times New Roman"/>
                <w:color w:val="000000"/>
                <w:sz w:val="12"/>
                <w:szCs w:val="12"/>
                <w:lang w:eastAsia="en-GB"/>
              </w:rPr>
            </w:pPr>
          </w:p>
        </w:tc>
        <w:tc>
          <w:tcPr>
            <w:tcW w:w="128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70BDB" w:rsidRPr="000C49E8" w:rsidRDefault="00A70BDB" w:rsidP="000C49E8">
            <w:pPr>
              <w:spacing w:after="0" w:line="240" w:lineRule="auto"/>
              <w:jc w:val="center"/>
              <w:rPr>
                <w:rFonts w:ascii="Calibri" w:eastAsia="Times New Roman" w:hAnsi="Calibri" w:cs="Times New Roman"/>
                <w:color w:val="000000"/>
                <w:sz w:val="12"/>
                <w:szCs w:val="12"/>
                <w:lang w:eastAsia="en-GB"/>
              </w:rPr>
            </w:pPr>
          </w:p>
        </w:tc>
      </w:tr>
      <w:tr w:rsidR="00A70BDB" w:rsidRPr="000C49E8" w:rsidTr="008F7947">
        <w:trPr>
          <w:trHeight w:val="168"/>
        </w:trPr>
        <w:tc>
          <w:tcPr>
            <w:tcW w:w="1880" w:type="dxa"/>
            <w:tcBorders>
              <w:top w:val="single" w:sz="8" w:space="0" w:color="auto"/>
              <w:left w:val="single" w:sz="8" w:space="0" w:color="auto"/>
              <w:bottom w:val="single" w:sz="8" w:space="0" w:color="auto"/>
              <w:right w:val="single" w:sz="8" w:space="0" w:color="auto"/>
            </w:tcBorders>
            <w:shd w:val="clear" w:color="auto" w:fill="auto"/>
            <w:hideMark/>
          </w:tcPr>
          <w:p w:rsidR="00A70BDB" w:rsidRPr="000C49E8" w:rsidRDefault="00997DBD" w:rsidP="006B1CA3">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 xml:space="preserve">Male </w:t>
            </w:r>
            <w:r w:rsidR="006B1CA3">
              <w:rPr>
                <w:rFonts w:ascii="Calibri" w:eastAsia="Times New Roman" w:hAnsi="Calibri" w:cs="Times New Roman"/>
                <w:color w:val="000000"/>
                <w:sz w:val="16"/>
                <w:szCs w:val="16"/>
                <w:lang w:eastAsia="en-GB"/>
              </w:rPr>
              <w:t>1</w:t>
            </w:r>
            <w:r>
              <w:rPr>
                <w:rFonts w:ascii="Calibri" w:eastAsia="Times New Roman" w:hAnsi="Calibri" w:cs="Times New Roman"/>
                <w:color w:val="000000"/>
                <w:sz w:val="16"/>
                <w:szCs w:val="16"/>
                <w:lang w:eastAsia="en-GB"/>
              </w:rPr>
              <w:t>-year prevalence per 100,000</w:t>
            </w:r>
            <w:r w:rsidR="006B1CA3">
              <w:rPr>
                <w:rFonts w:ascii="Calibri" w:eastAsia="Times New Roman" w:hAnsi="Calibri" w:cs="Times New Roman"/>
                <w:color w:val="000000"/>
                <w:sz w:val="16"/>
                <w:szCs w:val="16"/>
                <w:lang w:eastAsia="en-GB"/>
              </w:rPr>
              <w:t xml:space="preserve"> (2006)</w:t>
            </w:r>
          </w:p>
        </w:tc>
        <w:tc>
          <w:tcPr>
            <w:tcW w:w="1254" w:type="dxa"/>
            <w:tcBorders>
              <w:top w:val="single" w:sz="8" w:space="0" w:color="auto"/>
              <w:left w:val="single" w:sz="8" w:space="0" w:color="auto"/>
              <w:bottom w:val="single" w:sz="8" w:space="0" w:color="auto"/>
              <w:right w:val="single" w:sz="8" w:space="0" w:color="auto"/>
            </w:tcBorders>
            <w:shd w:val="clear" w:color="auto" w:fill="FF0000"/>
            <w:noWrap/>
            <w:vAlign w:val="center"/>
            <w:hideMark/>
          </w:tcPr>
          <w:p w:rsidR="00A70BDB" w:rsidRPr="000C49E8" w:rsidRDefault="00D9432D" w:rsidP="008F7947">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40.0</w:t>
            </w:r>
          </w:p>
        </w:tc>
        <w:tc>
          <w:tcPr>
            <w:tcW w:w="8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70BDB" w:rsidRPr="000C49E8" w:rsidRDefault="00D9432D" w:rsidP="008F7947">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33.0</w:t>
            </w:r>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70BDB" w:rsidRPr="000C49E8" w:rsidRDefault="00D9432D" w:rsidP="008F7947">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35.2</w:t>
            </w:r>
          </w:p>
        </w:tc>
        <w:tc>
          <w:tcPr>
            <w:tcW w:w="1039" w:type="dxa"/>
            <w:tcBorders>
              <w:top w:val="single" w:sz="8" w:space="0" w:color="auto"/>
              <w:left w:val="single" w:sz="8" w:space="0" w:color="auto"/>
              <w:bottom w:val="single" w:sz="8" w:space="0" w:color="auto"/>
              <w:right w:val="single" w:sz="8" w:space="0" w:color="auto"/>
            </w:tcBorders>
            <w:shd w:val="clear" w:color="auto" w:fill="00B050"/>
            <w:noWrap/>
            <w:vAlign w:val="center"/>
            <w:hideMark/>
          </w:tcPr>
          <w:p w:rsidR="00A70BDB" w:rsidRPr="000C49E8" w:rsidRDefault="00D9432D" w:rsidP="008F7947">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32.7</w:t>
            </w:r>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70BDB" w:rsidRPr="000C49E8" w:rsidRDefault="00D9432D" w:rsidP="008F7947">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36.0</w:t>
            </w:r>
          </w:p>
        </w:tc>
        <w:tc>
          <w:tcPr>
            <w:tcW w:w="804" w:type="dxa"/>
            <w:tcBorders>
              <w:top w:val="single" w:sz="8" w:space="0" w:color="auto"/>
              <w:left w:val="single" w:sz="8" w:space="0" w:color="auto"/>
              <w:bottom w:val="single" w:sz="8" w:space="0" w:color="auto"/>
              <w:right w:val="single" w:sz="8" w:space="0" w:color="auto"/>
            </w:tcBorders>
            <w:shd w:val="clear" w:color="auto" w:fill="00B050"/>
            <w:vAlign w:val="center"/>
            <w:hideMark/>
          </w:tcPr>
          <w:p w:rsidR="00A70BDB" w:rsidRPr="000C49E8" w:rsidRDefault="00D9432D" w:rsidP="00A70BDB">
            <w:pPr>
              <w:spacing w:after="0" w:line="240" w:lineRule="auto"/>
              <w:jc w:val="center"/>
              <w:rPr>
                <w:rFonts w:ascii="Calibri" w:eastAsia="Times New Roman" w:hAnsi="Calibri" w:cs="Times New Roman"/>
                <w:color w:val="000000"/>
                <w:sz w:val="12"/>
                <w:szCs w:val="12"/>
                <w:lang w:eastAsia="en-GB"/>
              </w:rPr>
            </w:pPr>
            <w:r>
              <w:rPr>
                <w:rFonts w:ascii="Calibri" w:eastAsia="Times New Roman" w:hAnsi="Calibri" w:cs="Times New Roman"/>
                <w:color w:val="000000"/>
                <w:sz w:val="12"/>
                <w:szCs w:val="12"/>
                <w:lang w:eastAsia="en-GB"/>
              </w:rPr>
              <w:t>Lowest</w:t>
            </w:r>
          </w:p>
        </w:tc>
        <w:tc>
          <w:tcPr>
            <w:tcW w:w="1280" w:type="dxa"/>
            <w:tcBorders>
              <w:top w:val="single" w:sz="8" w:space="0" w:color="auto"/>
              <w:left w:val="single" w:sz="8" w:space="0" w:color="auto"/>
              <w:bottom w:val="single" w:sz="8" w:space="0" w:color="auto"/>
              <w:right w:val="single" w:sz="8" w:space="0" w:color="auto"/>
            </w:tcBorders>
            <w:shd w:val="clear" w:color="auto" w:fill="FF0000"/>
            <w:vAlign w:val="center"/>
            <w:hideMark/>
          </w:tcPr>
          <w:p w:rsidR="00A70BDB" w:rsidRPr="000C49E8" w:rsidRDefault="00D9432D" w:rsidP="00A70BDB">
            <w:pPr>
              <w:spacing w:after="0" w:line="240" w:lineRule="auto"/>
              <w:jc w:val="center"/>
              <w:rPr>
                <w:rFonts w:ascii="Calibri" w:eastAsia="Times New Roman" w:hAnsi="Calibri" w:cs="Times New Roman"/>
                <w:color w:val="000000"/>
                <w:sz w:val="12"/>
                <w:szCs w:val="12"/>
                <w:lang w:eastAsia="en-GB"/>
              </w:rPr>
            </w:pPr>
            <w:r>
              <w:rPr>
                <w:rFonts w:ascii="Calibri" w:eastAsia="Times New Roman" w:hAnsi="Calibri" w:cs="Times New Roman"/>
                <w:color w:val="000000"/>
                <w:sz w:val="12"/>
                <w:szCs w:val="12"/>
                <w:lang w:eastAsia="en-GB"/>
              </w:rPr>
              <w:t>Highest</w:t>
            </w:r>
          </w:p>
        </w:tc>
      </w:tr>
      <w:tr w:rsidR="00A70BDB" w:rsidRPr="000C49E8" w:rsidTr="008F7947">
        <w:trPr>
          <w:trHeight w:val="345"/>
        </w:trPr>
        <w:tc>
          <w:tcPr>
            <w:tcW w:w="1880" w:type="dxa"/>
            <w:tcBorders>
              <w:top w:val="single" w:sz="8" w:space="0" w:color="auto"/>
              <w:left w:val="single" w:sz="8" w:space="0" w:color="auto"/>
              <w:bottom w:val="single" w:sz="8" w:space="0" w:color="auto"/>
              <w:right w:val="single" w:sz="8" w:space="0" w:color="auto"/>
            </w:tcBorders>
            <w:shd w:val="clear" w:color="auto" w:fill="auto"/>
            <w:noWrap/>
            <w:hideMark/>
          </w:tcPr>
          <w:p w:rsidR="00A70BDB" w:rsidRPr="000C49E8" w:rsidRDefault="00997DBD" w:rsidP="006B1CA3">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 xml:space="preserve">Female </w:t>
            </w:r>
            <w:r w:rsidR="006B1CA3">
              <w:rPr>
                <w:rFonts w:ascii="Calibri" w:eastAsia="Times New Roman" w:hAnsi="Calibri" w:cs="Times New Roman"/>
                <w:color w:val="000000"/>
                <w:sz w:val="16"/>
                <w:szCs w:val="16"/>
                <w:lang w:eastAsia="en-GB"/>
              </w:rPr>
              <w:t>1</w:t>
            </w:r>
            <w:r>
              <w:rPr>
                <w:rFonts w:ascii="Calibri" w:eastAsia="Times New Roman" w:hAnsi="Calibri" w:cs="Times New Roman"/>
                <w:color w:val="000000"/>
                <w:sz w:val="16"/>
                <w:szCs w:val="16"/>
                <w:lang w:eastAsia="en-GB"/>
              </w:rPr>
              <w:t>-year prevalence per 100,000</w:t>
            </w:r>
            <w:r w:rsidR="006B1CA3">
              <w:rPr>
                <w:rFonts w:ascii="Calibri" w:eastAsia="Times New Roman" w:hAnsi="Calibri" w:cs="Times New Roman"/>
                <w:color w:val="000000"/>
                <w:sz w:val="16"/>
                <w:szCs w:val="16"/>
                <w:lang w:eastAsia="en-GB"/>
              </w:rPr>
              <w:t xml:space="preserve"> (2006)</w:t>
            </w:r>
          </w:p>
        </w:tc>
        <w:tc>
          <w:tcPr>
            <w:tcW w:w="1254" w:type="dxa"/>
            <w:tcBorders>
              <w:top w:val="single" w:sz="8" w:space="0" w:color="auto"/>
              <w:left w:val="nil"/>
              <w:bottom w:val="nil"/>
              <w:right w:val="nil"/>
            </w:tcBorders>
            <w:shd w:val="clear" w:color="auto" w:fill="FF0000"/>
            <w:noWrap/>
            <w:vAlign w:val="center"/>
            <w:hideMark/>
          </w:tcPr>
          <w:p w:rsidR="00A70BDB" w:rsidRPr="000C49E8" w:rsidRDefault="00D9432D" w:rsidP="008F7947">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24.7</w:t>
            </w:r>
          </w:p>
        </w:tc>
        <w:tc>
          <w:tcPr>
            <w:tcW w:w="818" w:type="dxa"/>
            <w:tcBorders>
              <w:top w:val="single" w:sz="8" w:space="0" w:color="auto"/>
              <w:left w:val="single" w:sz="8" w:space="0" w:color="auto"/>
              <w:bottom w:val="single" w:sz="8" w:space="0" w:color="auto"/>
              <w:right w:val="single" w:sz="8" w:space="0" w:color="auto"/>
            </w:tcBorders>
            <w:shd w:val="clear" w:color="auto" w:fill="00B050"/>
            <w:noWrap/>
            <w:vAlign w:val="center"/>
            <w:hideMark/>
          </w:tcPr>
          <w:p w:rsidR="00A70BDB" w:rsidRPr="000C49E8" w:rsidRDefault="00D9432D" w:rsidP="008F7947">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21.2</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A70BDB" w:rsidRPr="000C49E8" w:rsidRDefault="00D9432D" w:rsidP="008F7947">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21.7</w:t>
            </w:r>
          </w:p>
        </w:tc>
        <w:tc>
          <w:tcPr>
            <w:tcW w:w="1039" w:type="dxa"/>
            <w:tcBorders>
              <w:top w:val="single" w:sz="8" w:space="0" w:color="auto"/>
              <w:left w:val="nil"/>
              <w:bottom w:val="single" w:sz="8" w:space="0" w:color="auto"/>
              <w:right w:val="single" w:sz="8" w:space="0" w:color="auto"/>
            </w:tcBorders>
            <w:shd w:val="clear" w:color="auto" w:fill="auto"/>
            <w:noWrap/>
            <w:vAlign w:val="center"/>
            <w:hideMark/>
          </w:tcPr>
          <w:p w:rsidR="00A70BDB" w:rsidRPr="000C49E8" w:rsidRDefault="00D9432D" w:rsidP="008F7947">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22.5</w:t>
            </w:r>
          </w:p>
        </w:tc>
        <w:tc>
          <w:tcPr>
            <w:tcW w:w="960" w:type="dxa"/>
            <w:tcBorders>
              <w:top w:val="single" w:sz="8" w:space="0" w:color="auto"/>
              <w:left w:val="nil"/>
              <w:bottom w:val="nil"/>
              <w:right w:val="single" w:sz="8" w:space="0" w:color="auto"/>
            </w:tcBorders>
            <w:shd w:val="clear" w:color="auto" w:fill="auto"/>
            <w:noWrap/>
            <w:vAlign w:val="center"/>
            <w:hideMark/>
          </w:tcPr>
          <w:p w:rsidR="00A70BDB" w:rsidRPr="000C49E8" w:rsidRDefault="00D9432D" w:rsidP="008F7947">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22.4</w:t>
            </w:r>
          </w:p>
        </w:tc>
        <w:tc>
          <w:tcPr>
            <w:tcW w:w="804" w:type="dxa"/>
            <w:tcBorders>
              <w:top w:val="single" w:sz="8" w:space="0" w:color="auto"/>
              <w:left w:val="nil"/>
              <w:bottom w:val="single" w:sz="8" w:space="0" w:color="auto"/>
              <w:right w:val="single" w:sz="8" w:space="0" w:color="auto"/>
            </w:tcBorders>
            <w:shd w:val="clear" w:color="auto" w:fill="00B050"/>
            <w:vAlign w:val="center"/>
            <w:hideMark/>
          </w:tcPr>
          <w:p w:rsidR="00A70BDB" w:rsidRPr="000C49E8" w:rsidRDefault="00D9432D" w:rsidP="000C49E8">
            <w:pPr>
              <w:spacing w:after="0" w:line="240" w:lineRule="auto"/>
              <w:jc w:val="center"/>
              <w:rPr>
                <w:rFonts w:ascii="Calibri" w:eastAsia="Times New Roman" w:hAnsi="Calibri" w:cs="Times New Roman"/>
                <w:color w:val="000000"/>
                <w:sz w:val="12"/>
                <w:szCs w:val="12"/>
                <w:lang w:eastAsia="en-GB"/>
              </w:rPr>
            </w:pPr>
            <w:r>
              <w:rPr>
                <w:rFonts w:ascii="Calibri" w:eastAsia="Times New Roman" w:hAnsi="Calibri" w:cs="Times New Roman"/>
                <w:color w:val="000000"/>
                <w:sz w:val="12"/>
                <w:szCs w:val="12"/>
                <w:lang w:eastAsia="en-GB"/>
              </w:rPr>
              <w:t>Lowest</w:t>
            </w:r>
          </w:p>
        </w:tc>
        <w:tc>
          <w:tcPr>
            <w:tcW w:w="1280" w:type="dxa"/>
            <w:tcBorders>
              <w:top w:val="single" w:sz="8" w:space="0" w:color="auto"/>
              <w:left w:val="nil"/>
              <w:bottom w:val="single" w:sz="8" w:space="0" w:color="auto"/>
              <w:right w:val="single" w:sz="8" w:space="0" w:color="auto"/>
            </w:tcBorders>
            <w:shd w:val="clear" w:color="auto" w:fill="FF0000"/>
            <w:vAlign w:val="center"/>
            <w:hideMark/>
          </w:tcPr>
          <w:p w:rsidR="00A70BDB" w:rsidRPr="000C49E8" w:rsidRDefault="00D9432D" w:rsidP="000C49E8">
            <w:pPr>
              <w:spacing w:after="0" w:line="240" w:lineRule="auto"/>
              <w:jc w:val="center"/>
              <w:rPr>
                <w:rFonts w:ascii="Calibri" w:eastAsia="Times New Roman" w:hAnsi="Calibri" w:cs="Times New Roman"/>
                <w:color w:val="000000"/>
                <w:sz w:val="12"/>
                <w:szCs w:val="12"/>
                <w:lang w:eastAsia="en-GB"/>
              </w:rPr>
            </w:pPr>
            <w:r>
              <w:rPr>
                <w:rFonts w:ascii="Calibri" w:eastAsia="Times New Roman" w:hAnsi="Calibri" w:cs="Times New Roman"/>
                <w:color w:val="000000"/>
                <w:sz w:val="12"/>
                <w:szCs w:val="12"/>
                <w:lang w:eastAsia="en-GB"/>
              </w:rPr>
              <w:t>Highest</w:t>
            </w:r>
          </w:p>
        </w:tc>
      </w:tr>
      <w:tr w:rsidR="00997DBD" w:rsidRPr="000C49E8" w:rsidTr="008F7947">
        <w:trPr>
          <w:trHeight w:val="510"/>
        </w:trPr>
        <w:tc>
          <w:tcPr>
            <w:tcW w:w="1880" w:type="dxa"/>
            <w:tcBorders>
              <w:top w:val="nil"/>
              <w:left w:val="single" w:sz="8" w:space="0" w:color="auto"/>
              <w:bottom w:val="nil"/>
              <w:right w:val="nil"/>
            </w:tcBorders>
            <w:shd w:val="clear" w:color="auto" w:fill="auto"/>
            <w:hideMark/>
          </w:tcPr>
          <w:p w:rsidR="00997DBD" w:rsidRPr="000C49E8" w:rsidRDefault="00997DBD" w:rsidP="008F7947">
            <w:pPr>
              <w:spacing w:after="0" w:line="240" w:lineRule="auto"/>
              <w:rPr>
                <w:rFonts w:ascii="Calibri" w:eastAsia="Times New Roman" w:hAnsi="Calibri" w:cs="Times New Roman"/>
                <w:color w:val="000000"/>
                <w:sz w:val="16"/>
                <w:szCs w:val="16"/>
                <w:lang w:eastAsia="en-GB"/>
              </w:rPr>
            </w:pPr>
            <w:r w:rsidRPr="000C49E8">
              <w:rPr>
                <w:rFonts w:ascii="Calibri" w:eastAsia="Times New Roman" w:hAnsi="Calibri" w:cs="Times New Roman"/>
                <w:color w:val="000000"/>
                <w:sz w:val="16"/>
                <w:szCs w:val="16"/>
                <w:lang w:eastAsia="en-GB"/>
              </w:rPr>
              <w:t>Male One-year survival</w:t>
            </w:r>
            <w:r w:rsidR="000A24A2">
              <w:rPr>
                <w:rFonts w:ascii="Calibri" w:eastAsia="Times New Roman" w:hAnsi="Calibri" w:cs="Times New Roman"/>
                <w:color w:val="000000"/>
                <w:sz w:val="16"/>
                <w:szCs w:val="16"/>
                <w:lang w:eastAsia="en-GB"/>
              </w:rPr>
              <w:t xml:space="preserve"> (2002-07</w:t>
            </w:r>
            <w:r w:rsidR="006B1CA3">
              <w:rPr>
                <w:rFonts w:ascii="Calibri" w:eastAsia="Times New Roman" w:hAnsi="Calibri" w:cs="Times New Roman"/>
                <w:color w:val="000000"/>
                <w:sz w:val="16"/>
                <w:szCs w:val="16"/>
                <w:lang w:eastAsia="en-GB"/>
              </w:rPr>
              <w:t>)</w:t>
            </w:r>
          </w:p>
        </w:tc>
        <w:tc>
          <w:tcPr>
            <w:tcW w:w="1254" w:type="dxa"/>
            <w:tcBorders>
              <w:top w:val="single" w:sz="8" w:space="0" w:color="auto"/>
              <w:left w:val="single" w:sz="8" w:space="0" w:color="auto"/>
              <w:bottom w:val="single" w:sz="8" w:space="0" w:color="auto"/>
              <w:right w:val="single" w:sz="8" w:space="0" w:color="auto"/>
            </w:tcBorders>
            <w:shd w:val="clear" w:color="000000" w:fill="00B050"/>
            <w:noWrap/>
            <w:vAlign w:val="center"/>
            <w:hideMark/>
          </w:tcPr>
          <w:p w:rsidR="00997DBD" w:rsidRPr="000C49E8" w:rsidRDefault="00997DBD" w:rsidP="008F7947">
            <w:pPr>
              <w:spacing w:after="0" w:line="240" w:lineRule="auto"/>
              <w:jc w:val="center"/>
              <w:rPr>
                <w:rFonts w:ascii="Calibri" w:eastAsia="Times New Roman" w:hAnsi="Calibri" w:cs="Times New Roman"/>
                <w:color w:val="000000"/>
                <w:sz w:val="16"/>
                <w:szCs w:val="16"/>
                <w:lang w:eastAsia="en-GB"/>
              </w:rPr>
            </w:pPr>
            <w:r w:rsidRPr="000C49E8">
              <w:rPr>
                <w:rFonts w:ascii="Calibri" w:eastAsia="Times New Roman" w:hAnsi="Calibri" w:cs="Times New Roman"/>
                <w:color w:val="000000"/>
                <w:sz w:val="16"/>
                <w:szCs w:val="16"/>
                <w:lang w:eastAsia="en-GB"/>
              </w:rPr>
              <w:t>76.9%</w:t>
            </w:r>
          </w:p>
        </w:tc>
        <w:tc>
          <w:tcPr>
            <w:tcW w:w="818" w:type="dxa"/>
            <w:tcBorders>
              <w:top w:val="nil"/>
              <w:left w:val="nil"/>
              <w:bottom w:val="single" w:sz="8" w:space="0" w:color="auto"/>
              <w:right w:val="single" w:sz="8" w:space="0" w:color="auto"/>
            </w:tcBorders>
            <w:shd w:val="clear" w:color="auto" w:fill="FF0000"/>
            <w:noWrap/>
            <w:vAlign w:val="center"/>
            <w:hideMark/>
          </w:tcPr>
          <w:p w:rsidR="00997DBD" w:rsidRPr="000C49E8" w:rsidRDefault="00997DBD" w:rsidP="008F7947">
            <w:pPr>
              <w:spacing w:after="0" w:line="240" w:lineRule="auto"/>
              <w:jc w:val="center"/>
              <w:rPr>
                <w:rFonts w:ascii="Calibri" w:eastAsia="Times New Roman" w:hAnsi="Calibri" w:cs="Times New Roman"/>
                <w:color w:val="000000"/>
                <w:sz w:val="16"/>
                <w:szCs w:val="16"/>
                <w:lang w:eastAsia="en-GB"/>
              </w:rPr>
            </w:pPr>
            <w:r w:rsidRPr="000C49E8">
              <w:rPr>
                <w:rFonts w:ascii="Calibri" w:eastAsia="Times New Roman" w:hAnsi="Calibri" w:cs="Times New Roman"/>
                <w:color w:val="000000"/>
                <w:sz w:val="16"/>
                <w:szCs w:val="16"/>
                <w:lang w:eastAsia="en-GB"/>
              </w:rPr>
              <w:t>69.7%</w:t>
            </w:r>
          </w:p>
        </w:tc>
        <w:tc>
          <w:tcPr>
            <w:tcW w:w="960" w:type="dxa"/>
            <w:tcBorders>
              <w:top w:val="nil"/>
              <w:left w:val="nil"/>
              <w:bottom w:val="single" w:sz="8" w:space="0" w:color="auto"/>
              <w:right w:val="single" w:sz="8" w:space="0" w:color="auto"/>
            </w:tcBorders>
            <w:shd w:val="clear" w:color="auto" w:fill="FF0000"/>
            <w:noWrap/>
            <w:vAlign w:val="center"/>
            <w:hideMark/>
          </w:tcPr>
          <w:p w:rsidR="00997DBD" w:rsidRPr="000C49E8" w:rsidRDefault="00997DBD" w:rsidP="008F7947">
            <w:pPr>
              <w:spacing w:after="0" w:line="240" w:lineRule="auto"/>
              <w:jc w:val="center"/>
              <w:rPr>
                <w:rFonts w:ascii="Calibri" w:eastAsia="Times New Roman" w:hAnsi="Calibri" w:cs="Times New Roman"/>
                <w:color w:val="000000"/>
                <w:sz w:val="16"/>
                <w:szCs w:val="16"/>
                <w:lang w:eastAsia="en-GB"/>
              </w:rPr>
            </w:pPr>
            <w:r w:rsidRPr="000C49E8">
              <w:rPr>
                <w:rFonts w:ascii="Calibri" w:eastAsia="Times New Roman" w:hAnsi="Calibri" w:cs="Times New Roman"/>
                <w:color w:val="000000"/>
                <w:sz w:val="16"/>
                <w:szCs w:val="16"/>
                <w:lang w:eastAsia="en-GB"/>
              </w:rPr>
              <w:t>69.2%</w:t>
            </w:r>
          </w:p>
        </w:tc>
        <w:tc>
          <w:tcPr>
            <w:tcW w:w="1039" w:type="dxa"/>
            <w:tcBorders>
              <w:top w:val="nil"/>
              <w:left w:val="nil"/>
              <w:bottom w:val="single" w:sz="8" w:space="0" w:color="auto"/>
              <w:right w:val="single" w:sz="8" w:space="0" w:color="auto"/>
            </w:tcBorders>
            <w:shd w:val="clear" w:color="auto" w:fill="FF0000"/>
            <w:noWrap/>
            <w:vAlign w:val="center"/>
            <w:hideMark/>
          </w:tcPr>
          <w:p w:rsidR="00997DBD" w:rsidRPr="000C49E8" w:rsidRDefault="00997DBD" w:rsidP="008F7947">
            <w:pPr>
              <w:spacing w:after="0" w:line="240" w:lineRule="auto"/>
              <w:jc w:val="center"/>
              <w:rPr>
                <w:rFonts w:ascii="Calibri" w:eastAsia="Times New Roman" w:hAnsi="Calibri" w:cs="Times New Roman"/>
                <w:color w:val="000000"/>
                <w:sz w:val="16"/>
                <w:szCs w:val="16"/>
                <w:lang w:eastAsia="en-GB"/>
              </w:rPr>
            </w:pPr>
            <w:r w:rsidRPr="000C49E8">
              <w:rPr>
                <w:rFonts w:ascii="Calibri" w:eastAsia="Times New Roman" w:hAnsi="Calibri" w:cs="Times New Roman"/>
                <w:color w:val="000000"/>
                <w:sz w:val="16"/>
                <w:szCs w:val="16"/>
                <w:lang w:eastAsia="en-GB"/>
              </w:rPr>
              <w:t>71.2%</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997DBD" w:rsidRPr="000C49E8" w:rsidRDefault="00997DBD" w:rsidP="008F7947">
            <w:pPr>
              <w:spacing w:after="0" w:line="240" w:lineRule="auto"/>
              <w:jc w:val="center"/>
              <w:rPr>
                <w:rFonts w:ascii="Calibri" w:eastAsia="Times New Roman" w:hAnsi="Calibri" w:cs="Times New Roman"/>
                <w:color w:val="000000"/>
                <w:sz w:val="16"/>
                <w:szCs w:val="16"/>
                <w:lang w:eastAsia="en-GB"/>
              </w:rPr>
            </w:pPr>
            <w:r w:rsidRPr="000C49E8">
              <w:rPr>
                <w:rFonts w:ascii="Calibri" w:eastAsia="Times New Roman" w:hAnsi="Calibri" w:cs="Times New Roman"/>
                <w:color w:val="000000"/>
                <w:sz w:val="16"/>
                <w:szCs w:val="16"/>
                <w:lang w:eastAsia="en-GB"/>
              </w:rPr>
              <w:t>72.7%</w:t>
            </w:r>
          </w:p>
        </w:tc>
        <w:tc>
          <w:tcPr>
            <w:tcW w:w="804" w:type="dxa"/>
            <w:tcBorders>
              <w:top w:val="nil"/>
              <w:left w:val="nil"/>
              <w:bottom w:val="single" w:sz="8" w:space="0" w:color="auto"/>
              <w:right w:val="single" w:sz="8" w:space="0" w:color="auto"/>
            </w:tcBorders>
            <w:shd w:val="clear" w:color="000000" w:fill="00B050"/>
            <w:vAlign w:val="center"/>
            <w:hideMark/>
          </w:tcPr>
          <w:p w:rsidR="00997DBD" w:rsidRPr="000C49E8" w:rsidRDefault="00997DBD" w:rsidP="00A55CA2">
            <w:pPr>
              <w:spacing w:after="0" w:line="240" w:lineRule="auto"/>
              <w:jc w:val="center"/>
              <w:rPr>
                <w:rFonts w:ascii="Calibri" w:eastAsia="Times New Roman" w:hAnsi="Calibri" w:cs="Times New Roman"/>
                <w:color w:val="000000"/>
                <w:sz w:val="12"/>
                <w:szCs w:val="12"/>
                <w:lang w:eastAsia="en-GB"/>
              </w:rPr>
            </w:pPr>
            <w:r w:rsidRPr="000C49E8">
              <w:rPr>
                <w:rFonts w:ascii="Calibri" w:eastAsia="Times New Roman" w:hAnsi="Calibri" w:cs="Times New Roman"/>
                <w:color w:val="000000"/>
                <w:sz w:val="12"/>
                <w:szCs w:val="12"/>
                <w:lang w:eastAsia="en-GB"/>
              </w:rPr>
              <w:t>Significantly higher than national average</w:t>
            </w:r>
          </w:p>
        </w:tc>
        <w:tc>
          <w:tcPr>
            <w:tcW w:w="1280" w:type="dxa"/>
            <w:tcBorders>
              <w:top w:val="nil"/>
              <w:left w:val="nil"/>
              <w:bottom w:val="single" w:sz="8" w:space="0" w:color="auto"/>
              <w:right w:val="single" w:sz="8" w:space="0" w:color="auto"/>
            </w:tcBorders>
            <w:shd w:val="clear" w:color="auto" w:fill="FF0000"/>
            <w:noWrap/>
            <w:vAlign w:val="center"/>
            <w:hideMark/>
          </w:tcPr>
          <w:p w:rsidR="00997DBD" w:rsidRPr="000C49E8" w:rsidRDefault="00997DBD" w:rsidP="00A55CA2">
            <w:pPr>
              <w:spacing w:after="0" w:line="240" w:lineRule="auto"/>
              <w:jc w:val="center"/>
              <w:rPr>
                <w:rFonts w:ascii="Calibri" w:eastAsia="Times New Roman" w:hAnsi="Calibri" w:cs="Times New Roman"/>
                <w:color w:val="000000"/>
                <w:sz w:val="12"/>
                <w:szCs w:val="12"/>
                <w:lang w:eastAsia="en-GB"/>
              </w:rPr>
            </w:pPr>
            <w:r w:rsidRPr="000C49E8">
              <w:rPr>
                <w:rFonts w:ascii="Calibri" w:eastAsia="Times New Roman" w:hAnsi="Calibri" w:cs="Times New Roman"/>
                <w:color w:val="000000"/>
                <w:sz w:val="12"/>
                <w:szCs w:val="12"/>
                <w:lang w:eastAsia="en-GB"/>
              </w:rPr>
              <w:t>Significantly lower than national average</w:t>
            </w:r>
          </w:p>
        </w:tc>
      </w:tr>
      <w:tr w:rsidR="00997DBD" w:rsidRPr="000C49E8" w:rsidTr="008F7947">
        <w:trPr>
          <w:trHeight w:val="480"/>
        </w:trPr>
        <w:tc>
          <w:tcPr>
            <w:tcW w:w="1880" w:type="dxa"/>
            <w:tcBorders>
              <w:top w:val="single" w:sz="8" w:space="0" w:color="auto"/>
              <w:left w:val="single" w:sz="8" w:space="0" w:color="auto"/>
              <w:bottom w:val="single" w:sz="8" w:space="0" w:color="auto"/>
              <w:right w:val="single" w:sz="8" w:space="0" w:color="auto"/>
            </w:tcBorders>
            <w:shd w:val="clear" w:color="auto" w:fill="auto"/>
            <w:hideMark/>
          </w:tcPr>
          <w:p w:rsidR="00997DBD" w:rsidRPr="000C49E8" w:rsidRDefault="00997DBD" w:rsidP="008F7947">
            <w:pPr>
              <w:spacing w:after="0" w:line="240" w:lineRule="auto"/>
              <w:rPr>
                <w:rFonts w:ascii="Calibri" w:eastAsia="Times New Roman" w:hAnsi="Calibri" w:cs="Times New Roman"/>
                <w:color w:val="000000"/>
                <w:sz w:val="16"/>
                <w:szCs w:val="16"/>
                <w:lang w:eastAsia="en-GB"/>
              </w:rPr>
            </w:pPr>
            <w:r w:rsidRPr="000C49E8">
              <w:rPr>
                <w:rFonts w:ascii="Calibri" w:eastAsia="Times New Roman" w:hAnsi="Calibri" w:cs="Times New Roman"/>
                <w:color w:val="000000"/>
                <w:sz w:val="16"/>
                <w:szCs w:val="16"/>
                <w:lang w:eastAsia="en-GB"/>
              </w:rPr>
              <w:t>Female One-year survival</w:t>
            </w:r>
            <w:r w:rsidR="000A24A2">
              <w:rPr>
                <w:rFonts w:ascii="Calibri" w:eastAsia="Times New Roman" w:hAnsi="Calibri" w:cs="Times New Roman"/>
                <w:color w:val="000000"/>
                <w:sz w:val="16"/>
                <w:szCs w:val="16"/>
                <w:lang w:eastAsia="en-GB"/>
              </w:rPr>
              <w:t xml:space="preserve"> (2002-07</w:t>
            </w:r>
            <w:r w:rsidR="006B1CA3">
              <w:rPr>
                <w:rFonts w:ascii="Calibri" w:eastAsia="Times New Roman" w:hAnsi="Calibri" w:cs="Times New Roman"/>
                <w:color w:val="000000"/>
                <w:sz w:val="16"/>
                <w:szCs w:val="16"/>
                <w:lang w:eastAsia="en-GB"/>
              </w:rPr>
              <w:t>)</w:t>
            </w:r>
          </w:p>
        </w:tc>
        <w:tc>
          <w:tcPr>
            <w:tcW w:w="1254" w:type="dxa"/>
            <w:tcBorders>
              <w:top w:val="nil"/>
              <w:left w:val="nil"/>
              <w:bottom w:val="single" w:sz="8" w:space="0" w:color="auto"/>
              <w:right w:val="single" w:sz="8" w:space="0" w:color="auto"/>
            </w:tcBorders>
            <w:shd w:val="clear" w:color="auto" w:fill="auto"/>
            <w:noWrap/>
            <w:vAlign w:val="center"/>
            <w:hideMark/>
          </w:tcPr>
          <w:p w:rsidR="00997DBD" w:rsidRPr="000C49E8" w:rsidRDefault="00997DBD" w:rsidP="008F7947">
            <w:pPr>
              <w:spacing w:after="0" w:line="240" w:lineRule="auto"/>
              <w:jc w:val="center"/>
              <w:rPr>
                <w:rFonts w:ascii="Calibri" w:eastAsia="Times New Roman" w:hAnsi="Calibri" w:cs="Times New Roman"/>
                <w:color w:val="000000"/>
                <w:sz w:val="16"/>
                <w:szCs w:val="16"/>
                <w:lang w:eastAsia="en-GB"/>
              </w:rPr>
            </w:pPr>
            <w:r w:rsidRPr="000C49E8">
              <w:rPr>
                <w:rFonts w:ascii="Calibri" w:eastAsia="Times New Roman" w:hAnsi="Calibri" w:cs="Times New Roman"/>
                <w:color w:val="000000"/>
                <w:sz w:val="16"/>
                <w:szCs w:val="16"/>
                <w:lang w:eastAsia="en-GB"/>
              </w:rPr>
              <w:t>71.2%</w:t>
            </w:r>
          </w:p>
        </w:tc>
        <w:tc>
          <w:tcPr>
            <w:tcW w:w="818" w:type="dxa"/>
            <w:tcBorders>
              <w:top w:val="nil"/>
              <w:left w:val="nil"/>
              <w:bottom w:val="single" w:sz="8" w:space="0" w:color="auto"/>
              <w:right w:val="single" w:sz="8" w:space="0" w:color="auto"/>
            </w:tcBorders>
            <w:shd w:val="clear" w:color="auto" w:fill="FF0000"/>
            <w:noWrap/>
            <w:vAlign w:val="center"/>
            <w:hideMark/>
          </w:tcPr>
          <w:p w:rsidR="00997DBD" w:rsidRPr="000C49E8" w:rsidRDefault="00997DBD" w:rsidP="008F7947">
            <w:pPr>
              <w:spacing w:after="0" w:line="240" w:lineRule="auto"/>
              <w:jc w:val="center"/>
              <w:rPr>
                <w:rFonts w:ascii="Calibri" w:eastAsia="Times New Roman" w:hAnsi="Calibri" w:cs="Times New Roman"/>
                <w:color w:val="000000"/>
                <w:sz w:val="16"/>
                <w:szCs w:val="16"/>
                <w:lang w:eastAsia="en-GB"/>
              </w:rPr>
            </w:pPr>
            <w:r w:rsidRPr="000C49E8">
              <w:rPr>
                <w:rFonts w:ascii="Calibri" w:eastAsia="Times New Roman" w:hAnsi="Calibri" w:cs="Times New Roman"/>
                <w:color w:val="000000"/>
                <w:sz w:val="16"/>
                <w:szCs w:val="16"/>
                <w:lang w:eastAsia="en-GB"/>
              </w:rPr>
              <w:t>66.7%</w:t>
            </w:r>
          </w:p>
        </w:tc>
        <w:tc>
          <w:tcPr>
            <w:tcW w:w="960" w:type="dxa"/>
            <w:tcBorders>
              <w:top w:val="nil"/>
              <w:left w:val="nil"/>
              <w:bottom w:val="single" w:sz="8" w:space="0" w:color="auto"/>
              <w:right w:val="single" w:sz="8" w:space="0" w:color="auto"/>
            </w:tcBorders>
            <w:shd w:val="clear" w:color="auto" w:fill="FF0000"/>
            <w:noWrap/>
            <w:vAlign w:val="center"/>
            <w:hideMark/>
          </w:tcPr>
          <w:p w:rsidR="00997DBD" w:rsidRPr="000C49E8" w:rsidRDefault="00997DBD" w:rsidP="008F7947">
            <w:pPr>
              <w:spacing w:after="0" w:line="240" w:lineRule="auto"/>
              <w:jc w:val="center"/>
              <w:rPr>
                <w:rFonts w:ascii="Calibri" w:eastAsia="Times New Roman" w:hAnsi="Calibri" w:cs="Times New Roman"/>
                <w:color w:val="000000"/>
                <w:sz w:val="16"/>
                <w:szCs w:val="16"/>
                <w:lang w:eastAsia="en-GB"/>
              </w:rPr>
            </w:pPr>
            <w:r w:rsidRPr="000C49E8">
              <w:rPr>
                <w:rFonts w:ascii="Calibri" w:eastAsia="Times New Roman" w:hAnsi="Calibri" w:cs="Times New Roman"/>
                <w:color w:val="000000"/>
                <w:sz w:val="16"/>
                <w:szCs w:val="16"/>
                <w:lang w:eastAsia="en-GB"/>
              </w:rPr>
              <w:t>64.7%</w:t>
            </w:r>
          </w:p>
        </w:tc>
        <w:tc>
          <w:tcPr>
            <w:tcW w:w="1039" w:type="dxa"/>
            <w:tcBorders>
              <w:top w:val="nil"/>
              <w:left w:val="nil"/>
              <w:bottom w:val="single" w:sz="8" w:space="0" w:color="auto"/>
              <w:right w:val="single" w:sz="8" w:space="0" w:color="auto"/>
            </w:tcBorders>
            <w:shd w:val="clear" w:color="auto" w:fill="auto"/>
            <w:noWrap/>
            <w:vAlign w:val="center"/>
            <w:hideMark/>
          </w:tcPr>
          <w:p w:rsidR="00997DBD" w:rsidRPr="000C49E8" w:rsidRDefault="00997DBD" w:rsidP="008F7947">
            <w:pPr>
              <w:spacing w:after="0" w:line="240" w:lineRule="auto"/>
              <w:jc w:val="center"/>
              <w:rPr>
                <w:rFonts w:ascii="Calibri" w:eastAsia="Times New Roman" w:hAnsi="Calibri" w:cs="Times New Roman"/>
                <w:color w:val="000000"/>
                <w:sz w:val="16"/>
                <w:szCs w:val="16"/>
                <w:lang w:eastAsia="en-GB"/>
              </w:rPr>
            </w:pPr>
            <w:r w:rsidRPr="000C49E8">
              <w:rPr>
                <w:rFonts w:ascii="Calibri" w:eastAsia="Times New Roman" w:hAnsi="Calibri" w:cs="Times New Roman"/>
                <w:color w:val="000000"/>
                <w:sz w:val="16"/>
                <w:szCs w:val="16"/>
                <w:lang w:eastAsia="en-GB"/>
              </w:rPr>
              <w:t>69.2%</w:t>
            </w:r>
          </w:p>
        </w:tc>
        <w:tc>
          <w:tcPr>
            <w:tcW w:w="960" w:type="dxa"/>
            <w:tcBorders>
              <w:top w:val="nil"/>
              <w:left w:val="nil"/>
              <w:bottom w:val="single" w:sz="8" w:space="0" w:color="auto"/>
              <w:right w:val="single" w:sz="8" w:space="0" w:color="auto"/>
            </w:tcBorders>
            <w:shd w:val="clear" w:color="auto" w:fill="FF0000"/>
            <w:noWrap/>
            <w:vAlign w:val="center"/>
            <w:hideMark/>
          </w:tcPr>
          <w:p w:rsidR="00997DBD" w:rsidRPr="000C49E8" w:rsidRDefault="00997DBD" w:rsidP="008F7947">
            <w:pPr>
              <w:spacing w:after="0" w:line="240" w:lineRule="auto"/>
              <w:jc w:val="center"/>
              <w:rPr>
                <w:rFonts w:ascii="Calibri" w:eastAsia="Times New Roman" w:hAnsi="Calibri" w:cs="Times New Roman"/>
                <w:color w:val="000000"/>
                <w:sz w:val="16"/>
                <w:szCs w:val="16"/>
                <w:lang w:eastAsia="en-GB"/>
              </w:rPr>
            </w:pPr>
            <w:r w:rsidRPr="000C49E8">
              <w:rPr>
                <w:rFonts w:ascii="Calibri" w:eastAsia="Times New Roman" w:hAnsi="Calibri" w:cs="Times New Roman"/>
                <w:color w:val="000000"/>
                <w:sz w:val="16"/>
                <w:szCs w:val="16"/>
                <w:lang w:eastAsia="en-GB"/>
              </w:rPr>
              <w:t>67.8%</w:t>
            </w:r>
          </w:p>
        </w:tc>
        <w:tc>
          <w:tcPr>
            <w:tcW w:w="804" w:type="dxa"/>
            <w:tcBorders>
              <w:top w:val="nil"/>
              <w:left w:val="nil"/>
              <w:bottom w:val="single" w:sz="8" w:space="0" w:color="auto"/>
              <w:right w:val="single" w:sz="8" w:space="0" w:color="auto"/>
            </w:tcBorders>
            <w:shd w:val="clear" w:color="auto" w:fill="auto"/>
            <w:vAlign w:val="center"/>
            <w:hideMark/>
          </w:tcPr>
          <w:p w:rsidR="00997DBD" w:rsidRPr="000C49E8" w:rsidRDefault="00997DBD" w:rsidP="00A55CA2">
            <w:pPr>
              <w:spacing w:after="0" w:line="240" w:lineRule="auto"/>
              <w:jc w:val="center"/>
              <w:rPr>
                <w:rFonts w:ascii="Calibri" w:eastAsia="Times New Roman" w:hAnsi="Calibri" w:cs="Times New Roman"/>
                <w:color w:val="000000"/>
                <w:sz w:val="12"/>
                <w:szCs w:val="12"/>
                <w:lang w:eastAsia="en-GB"/>
              </w:rPr>
            </w:pPr>
            <w:r w:rsidRPr="000C49E8">
              <w:rPr>
                <w:rFonts w:ascii="Calibri" w:eastAsia="Times New Roman" w:hAnsi="Calibri" w:cs="Times New Roman"/>
                <w:color w:val="000000"/>
                <w:sz w:val="12"/>
                <w:szCs w:val="12"/>
                <w:lang w:eastAsia="en-GB"/>
              </w:rPr>
              <w:t> </w:t>
            </w:r>
          </w:p>
        </w:tc>
        <w:tc>
          <w:tcPr>
            <w:tcW w:w="1280" w:type="dxa"/>
            <w:tcBorders>
              <w:top w:val="nil"/>
              <w:left w:val="nil"/>
              <w:bottom w:val="single" w:sz="8" w:space="0" w:color="auto"/>
              <w:right w:val="single" w:sz="8" w:space="0" w:color="auto"/>
            </w:tcBorders>
            <w:shd w:val="clear" w:color="000000" w:fill="FF0000"/>
            <w:vAlign w:val="center"/>
            <w:hideMark/>
          </w:tcPr>
          <w:p w:rsidR="00997DBD" w:rsidRPr="000C49E8" w:rsidRDefault="00997DBD" w:rsidP="00A55CA2">
            <w:pPr>
              <w:spacing w:after="0" w:line="240" w:lineRule="auto"/>
              <w:jc w:val="center"/>
              <w:rPr>
                <w:rFonts w:ascii="Calibri" w:eastAsia="Times New Roman" w:hAnsi="Calibri" w:cs="Times New Roman"/>
                <w:color w:val="000000"/>
                <w:sz w:val="12"/>
                <w:szCs w:val="12"/>
                <w:lang w:eastAsia="en-GB"/>
              </w:rPr>
            </w:pPr>
            <w:r w:rsidRPr="000C49E8">
              <w:rPr>
                <w:rFonts w:ascii="Calibri" w:eastAsia="Times New Roman" w:hAnsi="Calibri" w:cs="Times New Roman"/>
                <w:color w:val="000000"/>
                <w:sz w:val="12"/>
                <w:szCs w:val="12"/>
                <w:lang w:eastAsia="en-GB"/>
              </w:rPr>
              <w:t>Significantly lower than national average</w:t>
            </w:r>
          </w:p>
        </w:tc>
      </w:tr>
      <w:tr w:rsidR="00997DBD" w:rsidRPr="000C49E8" w:rsidTr="001565A1">
        <w:trPr>
          <w:trHeight w:val="430"/>
        </w:trPr>
        <w:tc>
          <w:tcPr>
            <w:tcW w:w="1880" w:type="dxa"/>
            <w:tcBorders>
              <w:top w:val="nil"/>
              <w:left w:val="single" w:sz="8" w:space="0" w:color="auto"/>
              <w:bottom w:val="single" w:sz="8" w:space="0" w:color="auto"/>
              <w:right w:val="nil"/>
            </w:tcBorders>
            <w:shd w:val="clear" w:color="auto" w:fill="auto"/>
            <w:hideMark/>
          </w:tcPr>
          <w:p w:rsidR="00997DBD" w:rsidRPr="000C49E8" w:rsidRDefault="00997DBD" w:rsidP="008F7947">
            <w:pPr>
              <w:spacing w:after="0" w:line="240" w:lineRule="auto"/>
              <w:rPr>
                <w:rFonts w:ascii="Calibri" w:eastAsia="Times New Roman" w:hAnsi="Calibri" w:cs="Times New Roman"/>
                <w:color w:val="000000"/>
                <w:sz w:val="16"/>
                <w:szCs w:val="16"/>
                <w:lang w:eastAsia="en-GB"/>
              </w:rPr>
            </w:pPr>
            <w:r w:rsidRPr="000C49E8">
              <w:rPr>
                <w:rFonts w:ascii="Calibri" w:eastAsia="Times New Roman" w:hAnsi="Calibri" w:cs="Times New Roman"/>
                <w:color w:val="000000"/>
                <w:sz w:val="16"/>
                <w:szCs w:val="16"/>
                <w:lang w:eastAsia="en-GB"/>
              </w:rPr>
              <w:t>Five-year survival (Persons)</w:t>
            </w:r>
          </w:p>
        </w:tc>
        <w:tc>
          <w:tcPr>
            <w:tcW w:w="1254" w:type="dxa"/>
            <w:tcBorders>
              <w:top w:val="nil"/>
              <w:left w:val="single" w:sz="8" w:space="0" w:color="auto"/>
              <w:bottom w:val="single" w:sz="8" w:space="0" w:color="auto"/>
              <w:right w:val="single" w:sz="8" w:space="0" w:color="auto"/>
            </w:tcBorders>
            <w:shd w:val="clear" w:color="000000" w:fill="00B050"/>
            <w:noWrap/>
            <w:vAlign w:val="center"/>
            <w:hideMark/>
          </w:tcPr>
          <w:p w:rsidR="00997DBD" w:rsidRPr="000C49E8" w:rsidRDefault="00997DBD" w:rsidP="008F7947">
            <w:pPr>
              <w:spacing w:after="0" w:line="240" w:lineRule="auto"/>
              <w:jc w:val="center"/>
              <w:rPr>
                <w:rFonts w:ascii="Calibri" w:eastAsia="Times New Roman" w:hAnsi="Calibri" w:cs="Times New Roman"/>
                <w:color w:val="000000"/>
                <w:sz w:val="16"/>
                <w:szCs w:val="16"/>
                <w:lang w:eastAsia="en-GB"/>
              </w:rPr>
            </w:pPr>
            <w:r w:rsidRPr="000C49E8">
              <w:rPr>
                <w:rFonts w:ascii="Calibri" w:eastAsia="Times New Roman" w:hAnsi="Calibri" w:cs="Times New Roman"/>
                <w:color w:val="000000"/>
                <w:sz w:val="16"/>
                <w:szCs w:val="16"/>
                <w:lang w:eastAsia="en-GB"/>
              </w:rPr>
              <w:t>52.7%</w:t>
            </w:r>
          </w:p>
        </w:tc>
        <w:tc>
          <w:tcPr>
            <w:tcW w:w="818" w:type="dxa"/>
            <w:tcBorders>
              <w:top w:val="nil"/>
              <w:left w:val="nil"/>
              <w:bottom w:val="single" w:sz="8" w:space="0" w:color="auto"/>
              <w:right w:val="single" w:sz="8" w:space="0" w:color="auto"/>
            </w:tcBorders>
            <w:shd w:val="clear" w:color="auto" w:fill="auto"/>
            <w:noWrap/>
            <w:vAlign w:val="center"/>
            <w:hideMark/>
          </w:tcPr>
          <w:p w:rsidR="00997DBD" w:rsidRPr="000C49E8" w:rsidRDefault="00997DBD" w:rsidP="008F7947">
            <w:pPr>
              <w:spacing w:after="0" w:line="240" w:lineRule="auto"/>
              <w:jc w:val="center"/>
              <w:rPr>
                <w:rFonts w:ascii="Calibri" w:eastAsia="Times New Roman" w:hAnsi="Calibri" w:cs="Times New Roman"/>
                <w:color w:val="000000"/>
                <w:sz w:val="16"/>
                <w:szCs w:val="16"/>
                <w:lang w:eastAsia="en-GB"/>
              </w:rPr>
            </w:pPr>
            <w:r w:rsidRPr="000C49E8">
              <w:rPr>
                <w:rFonts w:ascii="Calibri" w:eastAsia="Times New Roman" w:hAnsi="Calibri" w:cs="Times New Roman"/>
                <w:color w:val="000000"/>
                <w:sz w:val="16"/>
                <w:szCs w:val="16"/>
                <w:lang w:eastAsia="en-GB"/>
              </w:rPr>
              <w:t>45.8%</w:t>
            </w:r>
          </w:p>
        </w:tc>
        <w:tc>
          <w:tcPr>
            <w:tcW w:w="960" w:type="dxa"/>
            <w:tcBorders>
              <w:top w:val="nil"/>
              <w:left w:val="nil"/>
              <w:bottom w:val="single" w:sz="8" w:space="0" w:color="auto"/>
              <w:right w:val="single" w:sz="8" w:space="0" w:color="auto"/>
            </w:tcBorders>
            <w:shd w:val="clear" w:color="auto" w:fill="auto"/>
            <w:noWrap/>
            <w:vAlign w:val="center"/>
            <w:hideMark/>
          </w:tcPr>
          <w:p w:rsidR="00997DBD" w:rsidRPr="000C49E8" w:rsidRDefault="00997DBD" w:rsidP="008F7947">
            <w:pPr>
              <w:spacing w:after="0" w:line="240" w:lineRule="auto"/>
              <w:jc w:val="center"/>
              <w:rPr>
                <w:rFonts w:ascii="Calibri" w:eastAsia="Times New Roman" w:hAnsi="Calibri" w:cs="Times New Roman"/>
                <w:color w:val="000000"/>
                <w:sz w:val="16"/>
                <w:szCs w:val="16"/>
                <w:lang w:eastAsia="en-GB"/>
              </w:rPr>
            </w:pPr>
            <w:r w:rsidRPr="000C49E8">
              <w:rPr>
                <w:rFonts w:ascii="Calibri" w:eastAsia="Times New Roman" w:hAnsi="Calibri" w:cs="Times New Roman"/>
                <w:color w:val="000000"/>
                <w:sz w:val="16"/>
                <w:szCs w:val="16"/>
                <w:lang w:eastAsia="en-GB"/>
              </w:rPr>
              <w:t>46.6%</w:t>
            </w:r>
          </w:p>
        </w:tc>
        <w:tc>
          <w:tcPr>
            <w:tcW w:w="1039" w:type="dxa"/>
            <w:tcBorders>
              <w:top w:val="nil"/>
              <w:left w:val="nil"/>
              <w:bottom w:val="single" w:sz="8" w:space="0" w:color="auto"/>
              <w:right w:val="single" w:sz="8" w:space="0" w:color="auto"/>
            </w:tcBorders>
            <w:shd w:val="clear" w:color="auto" w:fill="auto"/>
            <w:noWrap/>
            <w:vAlign w:val="center"/>
            <w:hideMark/>
          </w:tcPr>
          <w:p w:rsidR="00997DBD" w:rsidRPr="000C49E8" w:rsidRDefault="00997DBD" w:rsidP="008F7947">
            <w:pPr>
              <w:spacing w:after="0" w:line="240" w:lineRule="auto"/>
              <w:jc w:val="center"/>
              <w:rPr>
                <w:rFonts w:ascii="Calibri" w:eastAsia="Times New Roman" w:hAnsi="Calibri" w:cs="Times New Roman"/>
                <w:color w:val="000000"/>
                <w:sz w:val="16"/>
                <w:szCs w:val="16"/>
                <w:lang w:eastAsia="en-GB"/>
              </w:rPr>
            </w:pPr>
            <w:r w:rsidRPr="000C49E8">
              <w:rPr>
                <w:rFonts w:ascii="Calibri" w:eastAsia="Times New Roman" w:hAnsi="Calibri" w:cs="Times New Roman"/>
                <w:color w:val="000000"/>
                <w:sz w:val="16"/>
                <w:szCs w:val="16"/>
                <w:lang w:eastAsia="en-GB"/>
              </w:rPr>
              <w:t>46.0%</w:t>
            </w:r>
          </w:p>
        </w:tc>
        <w:tc>
          <w:tcPr>
            <w:tcW w:w="960" w:type="dxa"/>
            <w:tcBorders>
              <w:top w:val="nil"/>
              <w:left w:val="nil"/>
              <w:bottom w:val="single" w:sz="8" w:space="0" w:color="auto"/>
              <w:right w:val="single" w:sz="8" w:space="0" w:color="auto"/>
            </w:tcBorders>
            <w:shd w:val="clear" w:color="auto" w:fill="auto"/>
            <w:noWrap/>
            <w:vAlign w:val="center"/>
            <w:hideMark/>
          </w:tcPr>
          <w:p w:rsidR="00997DBD" w:rsidRPr="000C49E8" w:rsidRDefault="00997DBD" w:rsidP="008F7947">
            <w:pPr>
              <w:spacing w:after="0" w:line="240" w:lineRule="auto"/>
              <w:jc w:val="center"/>
              <w:rPr>
                <w:rFonts w:ascii="Calibri" w:eastAsia="Times New Roman" w:hAnsi="Calibri" w:cs="Times New Roman"/>
                <w:color w:val="000000"/>
                <w:sz w:val="16"/>
                <w:szCs w:val="16"/>
                <w:lang w:eastAsia="en-GB"/>
              </w:rPr>
            </w:pPr>
            <w:r w:rsidRPr="000C49E8">
              <w:rPr>
                <w:rFonts w:ascii="Calibri" w:eastAsia="Times New Roman" w:hAnsi="Calibri" w:cs="Times New Roman"/>
                <w:color w:val="000000"/>
                <w:sz w:val="16"/>
                <w:szCs w:val="16"/>
                <w:lang w:eastAsia="en-GB"/>
              </w:rPr>
              <w:t>46.5%</w:t>
            </w:r>
          </w:p>
        </w:tc>
        <w:tc>
          <w:tcPr>
            <w:tcW w:w="804" w:type="dxa"/>
            <w:tcBorders>
              <w:top w:val="nil"/>
              <w:left w:val="nil"/>
              <w:bottom w:val="single" w:sz="8" w:space="0" w:color="auto"/>
              <w:right w:val="single" w:sz="8" w:space="0" w:color="auto"/>
            </w:tcBorders>
            <w:shd w:val="clear" w:color="000000" w:fill="00B050"/>
            <w:vAlign w:val="center"/>
            <w:hideMark/>
          </w:tcPr>
          <w:p w:rsidR="00997DBD" w:rsidRPr="000C49E8" w:rsidRDefault="00997DBD" w:rsidP="00A55CA2">
            <w:pPr>
              <w:spacing w:after="0" w:line="240" w:lineRule="auto"/>
              <w:jc w:val="center"/>
              <w:rPr>
                <w:rFonts w:ascii="Calibri" w:eastAsia="Times New Roman" w:hAnsi="Calibri" w:cs="Times New Roman"/>
                <w:color w:val="000000"/>
                <w:sz w:val="12"/>
                <w:szCs w:val="12"/>
                <w:lang w:eastAsia="en-GB"/>
              </w:rPr>
            </w:pPr>
            <w:r w:rsidRPr="000C49E8">
              <w:rPr>
                <w:rFonts w:ascii="Calibri" w:eastAsia="Times New Roman" w:hAnsi="Calibri" w:cs="Times New Roman"/>
                <w:color w:val="000000"/>
                <w:sz w:val="12"/>
                <w:szCs w:val="12"/>
                <w:lang w:eastAsia="en-GB"/>
              </w:rPr>
              <w:t>Higher than national average</w:t>
            </w:r>
          </w:p>
        </w:tc>
        <w:tc>
          <w:tcPr>
            <w:tcW w:w="1280" w:type="dxa"/>
            <w:tcBorders>
              <w:top w:val="nil"/>
              <w:left w:val="nil"/>
              <w:bottom w:val="single" w:sz="8" w:space="0" w:color="auto"/>
              <w:right w:val="single" w:sz="8" w:space="0" w:color="auto"/>
            </w:tcBorders>
            <w:shd w:val="clear" w:color="auto" w:fill="auto"/>
            <w:noWrap/>
            <w:vAlign w:val="bottom"/>
            <w:hideMark/>
          </w:tcPr>
          <w:p w:rsidR="00997DBD" w:rsidRPr="000C49E8" w:rsidRDefault="00997DBD" w:rsidP="00A55CA2">
            <w:pPr>
              <w:spacing w:after="0" w:line="240" w:lineRule="auto"/>
              <w:rPr>
                <w:rFonts w:ascii="Calibri" w:eastAsia="Times New Roman" w:hAnsi="Calibri" w:cs="Times New Roman"/>
                <w:color w:val="000000"/>
                <w:sz w:val="16"/>
                <w:szCs w:val="16"/>
                <w:lang w:eastAsia="en-GB"/>
              </w:rPr>
            </w:pPr>
            <w:r w:rsidRPr="000C49E8">
              <w:rPr>
                <w:rFonts w:ascii="Calibri" w:eastAsia="Times New Roman" w:hAnsi="Calibri" w:cs="Times New Roman"/>
                <w:color w:val="000000"/>
                <w:sz w:val="16"/>
                <w:szCs w:val="16"/>
                <w:lang w:eastAsia="en-GB"/>
              </w:rPr>
              <w:t> </w:t>
            </w:r>
          </w:p>
        </w:tc>
      </w:tr>
      <w:tr w:rsidR="00997DBD" w:rsidRPr="000C49E8" w:rsidTr="001565A1">
        <w:trPr>
          <w:trHeight w:val="413"/>
        </w:trPr>
        <w:tc>
          <w:tcPr>
            <w:tcW w:w="1880" w:type="dxa"/>
            <w:tcBorders>
              <w:top w:val="nil"/>
              <w:left w:val="single" w:sz="8" w:space="0" w:color="auto"/>
              <w:bottom w:val="single" w:sz="8" w:space="0" w:color="auto"/>
              <w:right w:val="nil"/>
            </w:tcBorders>
            <w:shd w:val="clear" w:color="auto" w:fill="auto"/>
          </w:tcPr>
          <w:p w:rsidR="00997DBD" w:rsidRPr="000C49E8" w:rsidRDefault="00997DBD" w:rsidP="008F7947">
            <w:pPr>
              <w:spacing w:after="0" w:line="240" w:lineRule="auto"/>
              <w:rPr>
                <w:rFonts w:ascii="Calibri" w:eastAsia="Times New Roman" w:hAnsi="Calibri" w:cs="Times New Roman"/>
                <w:color w:val="000000"/>
                <w:sz w:val="16"/>
                <w:szCs w:val="16"/>
                <w:lang w:eastAsia="en-GB"/>
              </w:rPr>
            </w:pPr>
            <w:r w:rsidRPr="000C49E8">
              <w:rPr>
                <w:rFonts w:ascii="Calibri" w:eastAsia="Times New Roman" w:hAnsi="Calibri" w:cs="Times New Roman"/>
                <w:color w:val="000000"/>
                <w:sz w:val="16"/>
                <w:szCs w:val="16"/>
                <w:lang w:eastAsia="en-GB"/>
              </w:rPr>
              <w:t>Emergency Bed Days per 100,000</w:t>
            </w:r>
            <w:r w:rsidR="006B1CA3">
              <w:rPr>
                <w:rFonts w:ascii="Calibri" w:eastAsia="Times New Roman" w:hAnsi="Calibri" w:cs="Times New Roman"/>
                <w:color w:val="000000"/>
                <w:sz w:val="16"/>
                <w:szCs w:val="16"/>
                <w:lang w:eastAsia="en-GB"/>
              </w:rPr>
              <w:t xml:space="preserve"> (2007-08)</w:t>
            </w:r>
          </w:p>
        </w:tc>
        <w:tc>
          <w:tcPr>
            <w:tcW w:w="1254" w:type="dxa"/>
            <w:tcBorders>
              <w:top w:val="nil"/>
              <w:left w:val="single" w:sz="8" w:space="0" w:color="auto"/>
              <w:bottom w:val="single" w:sz="8" w:space="0" w:color="auto"/>
              <w:right w:val="single" w:sz="8" w:space="0" w:color="auto"/>
            </w:tcBorders>
            <w:shd w:val="clear" w:color="auto" w:fill="FF0000"/>
            <w:noWrap/>
            <w:vAlign w:val="center"/>
          </w:tcPr>
          <w:p w:rsidR="00997DBD" w:rsidRPr="000C49E8" w:rsidRDefault="00997DBD" w:rsidP="008F7947">
            <w:pPr>
              <w:spacing w:after="0" w:line="240" w:lineRule="auto"/>
              <w:jc w:val="center"/>
              <w:rPr>
                <w:rFonts w:ascii="Calibri" w:eastAsia="Times New Roman" w:hAnsi="Calibri" w:cs="Times New Roman"/>
                <w:color w:val="000000"/>
                <w:sz w:val="16"/>
                <w:szCs w:val="16"/>
                <w:lang w:eastAsia="en-GB"/>
              </w:rPr>
            </w:pPr>
            <w:r w:rsidRPr="000C49E8">
              <w:rPr>
                <w:rFonts w:ascii="Calibri" w:eastAsia="Times New Roman" w:hAnsi="Calibri" w:cs="Times New Roman"/>
                <w:color w:val="000000"/>
                <w:sz w:val="16"/>
                <w:szCs w:val="16"/>
                <w:lang w:eastAsia="en-GB"/>
              </w:rPr>
              <w:t>404</w:t>
            </w:r>
          </w:p>
        </w:tc>
        <w:tc>
          <w:tcPr>
            <w:tcW w:w="818" w:type="dxa"/>
            <w:tcBorders>
              <w:top w:val="nil"/>
              <w:left w:val="nil"/>
              <w:bottom w:val="single" w:sz="8" w:space="0" w:color="auto"/>
              <w:right w:val="single" w:sz="8" w:space="0" w:color="auto"/>
            </w:tcBorders>
            <w:shd w:val="clear" w:color="auto" w:fill="auto"/>
            <w:noWrap/>
            <w:vAlign w:val="center"/>
          </w:tcPr>
          <w:p w:rsidR="00997DBD" w:rsidRPr="000C49E8" w:rsidRDefault="00997DBD" w:rsidP="008F7947">
            <w:pPr>
              <w:spacing w:after="0" w:line="240" w:lineRule="auto"/>
              <w:jc w:val="center"/>
              <w:rPr>
                <w:rFonts w:ascii="Calibri" w:eastAsia="Times New Roman" w:hAnsi="Calibri" w:cs="Times New Roman"/>
                <w:color w:val="000000"/>
                <w:sz w:val="16"/>
                <w:szCs w:val="16"/>
                <w:lang w:eastAsia="en-GB"/>
              </w:rPr>
            </w:pPr>
            <w:r w:rsidRPr="000C49E8">
              <w:rPr>
                <w:rFonts w:ascii="Calibri" w:eastAsia="Times New Roman" w:hAnsi="Calibri" w:cs="Times New Roman"/>
                <w:color w:val="000000"/>
                <w:sz w:val="16"/>
                <w:szCs w:val="16"/>
                <w:lang w:eastAsia="en-GB"/>
              </w:rPr>
              <w:t>227</w:t>
            </w:r>
          </w:p>
        </w:tc>
        <w:tc>
          <w:tcPr>
            <w:tcW w:w="960" w:type="dxa"/>
            <w:tcBorders>
              <w:top w:val="nil"/>
              <w:left w:val="nil"/>
              <w:bottom w:val="single" w:sz="8" w:space="0" w:color="auto"/>
              <w:right w:val="single" w:sz="8" w:space="0" w:color="auto"/>
            </w:tcBorders>
            <w:shd w:val="clear" w:color="auto" w:fill="auto"/>
            <w:noWrap/>
            <w:vAlign w:val="center"/>
          </w:tcPr>
          <w:p w:rsidR="00997DBD" w:rsidRPr="000C49E8" w:rsidRDefault="00997DBD" w:rsidP="008F7947">
            <w:pPr>
              <w:spacing w:after="0" w:line="240" w:lineRule="auto"/>
              <w:jc w:val="center"/>
              <w:rPr>
                <w:rFonts w:ascii="Calibri" w:eastAsia="Times New Roman" w:hAnsi="Calibri" w:cs="Times New Roman"/>
                <w:color w:val="000000"/>
                <w:sz w:val="16"/>
                <w:szCs w:val="16"/>
                <w:lang w:eastAsia="en-GB"/>
              </w:rPr>
            </w:pPr>
            <w:r w:rsidRPr="000C49E8">
              <w:rPr>
                <w:rFonts w:ascii="Calibri" w:eastAsia="Times New Roman" w:hAnsi="Calibri" w:cs="Times New Roman"/>
                <w:color w:val="000000"/>
                <w:sz w:val="16"/>
                <w:szCs w:val="16"/>
                <w:lang w:eastAsia="en-GB"/>
              </w:rPr>
              <w:t>270</w:t>
            </w:r>
          </w:p>
        </w:tc>
        <w:tc>
          <w:tcPr>
            <w:tcW w:w="1039" w:type="dxa"/>
            <w:tcBorders>
              <w:top w:val="nil"/>
              <w:left w:val="nil"/>
              <w:bottom w:val="single" w:sz="8" w:space="0" w:color="auto"/>
              <w:right w:val="single" w:sz="8" w:space="0" w:color="auto"/>
            </w:tcBorders>
            <w:shd w:val="clear" w:color="auto" w:fill="auto"/>
            <w:noWrap/>
            <w:vAlign w:val="center"/>
          </w:tcPr>
          <w:p w:rsidR="00997DBD" w:rsidRPr="000C49E8" w:rsidRDefault="00997DBD" w:rsidP="008F7947">
            <w:pPr>
              <w:spacing w:after="0" w:line="240" w:lineRule="auto"/>
              <w:jc w:val="center"/>
              <w:rPr>
                <w:rFonts w:ascii="Calibri" w:eastAsia="Times New Roman" w:hAnsi="Calibri" w:cs="Times New Roman"/>
                <w:color w:val="000000"/>
                <w:sz w:val="16"/>
                <w:szCs w:val="16"/>
                <w:lang w:eastAsia="en-GB"/>
              </w:rPr>
            </w:pPr>
            <w:r w:rsidRPr="000C49E8">
              <w:rPr>
                <w:rFonts w:ascii="Calibri" w:eastAsia="Times New Roman" w:hAnsi="Calibri" w:cs="Times New Roman"/>
                <w:color w:val="000000"/>
                <w:sz w:val="16"/>
                <w:szCs w:val="16"/>
                <w:lang w:eastAsia="en-GB"/>
              </w:rPr>
              <w:t>321</w:t>
            </w:r>
          </w:p>
        </w:tc>
        <w:tc>
          <w:tcPr>
            <w:tcW w:w="960" w:type="dxa"/>
            <w:tcBorders>
              <w:top w:val="nil"/>
              <w:left w:val="nil"/>
              <w:bottom w:val="single" w:sz="8" w:space="0" w:color="auto"/>
              <w:right w:val="single" w:sz="8" w:space="0" w:color="auto"/>
            </w:tcBorders>
            <w:shd w:val="clear" w:color="auto" w:fill="auto"/>
            <w:noWrap/>
            <w:vAlign w:val="center"/>
          </w:tcPr>
          <w:p w:rsidR="00997DBD" w:rsidRPr="000C49E8" w:rsidRDefault="00997DBD" w:rsidP="008F7947">
            <w:pPr>
              <w:spacing w:after="0" w:line="240" w:lineRule="auto"/>
              <w:jc w:val="center"/>
              <w:rPr>
                <w:rFonts w:ascii="Calibri" w:eastAsia="Times New Roman" w:hAnsi="Calibri" w:cs="Times New Roman"/>
                <w:color w:val="000000"/>
                <w:sz w:val="16"/>
                <w:szCs w:val="16"/>
                <w:lang w:eastAsia="en-GB"/>
              </w:rPr>
            </w:pPr>
            <w:r w:rsidRPr="000C49E8">
              <w:rPr>
                <w:rFonts w:ascii="Calibri" w:eastAsia="Times New Roman" w:hAnsi="Calibri" w:cs="Times New Roman"/>
                <w:color w:val="000000"/>
                <w:sz w:val="16"/>
                <w:szCs w:val="16"/>
                <w:lang w:eastAsia="en-GB"/>
              </w:rPr>
              <w:t>279</w:t>
            </w:r>
          </w:p>
        </w:tc>
        <w:tc>
          <w:tcPr>
            <w:tcW w:w="804" w:type="dxa"/>
            <w:tcBorders>
              <w:top w:val="nil"/>
              <w:left w:val="nil"/>
              <w:bottom w:val="single" w:sz="8" w:space="0" w:color="auto"/>
              <w:right w:val="single" w:sz="8" w:space="0" w:color="auto"/>
            </w:tcBorders>
            <w:shd w:val="clear" w:color="auto" w:fill="auto"/>
            <w:vAlign w:val="center"/>
          </w:tcPr>
          <w:p w:rsidR="00997DBD" w:rsidRPr="000C49E8" w:rsidRDefault="00997DBD" w:rsidP="00A55CA2">
            <w:pPr>
              <w:spacing w:after="0" w:line="240" w:lineRule="auto"/>
              <w:jc w:val="center"/>
              <w:rPr>
                <w:rFonts w:ascii="Calibri" w:eastAsia="Times New Roman" w:hAnsi="Calibri" w:cs="Times New Roman"/>
                <w:color w:val="000000"/>
                <w:sz w:val="12"/>
                <w:szCs w:val="12"/>
                <w:lang w:eastAsia="en-GB"/>
              </w:rPr>
            </w:pPr>
            <w:r w:rsidRPr="000C49E8">
              <w:rPr>
                <w:rFonts w:ascii="Calibri" w:eastAsia="Times New Roman" w:hAnsi="Calibri" w:cs="Times New Roman"/>
                <w:color w:val="000000"/>
                <w:sz w:val="12"/>
                <w:szCs w:val="12"/>
                <w:lang w:eastAsia="en-GB"/>
              </w:rPr>
              <w:t> </w:t>
            </w:r>
          </w:p>
        </w:tc>
        <w:tc>
          <w:tcPr>
            <w:tcW w:w="1280" w:type="dxa"/>
            <w:tcBorders>
              <w:top w:val="nil"/>
              <w:left w:val="nil"/>
              <w:bottom w:val="single" w:sz="8" w:space="0" w:color="auto"/>
              <w:right w:val="single" w:sz="8" w:space="0" w:color="auto"/>
            </w:tcBorders>
            <w:shd w:val="clear" w:color="auto" w:fill="FF0000"/>
            <w:noWrap/>
            <w:vAlign w:val="center"/>
          </w:tcPr>
          <w:p w:rsidR="00997DBD" w:rsidRPr="000C49E8" w:rsidRDefault="00997DBD" w:rsidP="00A55CA2">
            <w:pPr>
              <w:spacing w:after="0" w:line="240" w:lineRule="auto"/>
              <w:jc w:val="center"/>
              <w:rPr>
                <w:rFonts w:ascii="Calibri" w:eastAsia="Times New Roman" w:hAnsi="Calibri" w:cs="Times New Roman"/>
                <w:color w:val="000000"/>
                <w:sz w:val="12"/>
                <w:szCs w:val="12"/>
                <w:lang w:eastAsia="en-GB"/>
              </w:rPr>
            </w:pPr>
            <w:r w:rsidRPr="000C49E8">
              <w:rPr>
                <w:rFonts w:ascii="Calibri" w:eastAsia="Times New Roman" w:hAnsi="Calibri" w:cs="Times New Roman"/>
                <w:color w:val="000000"/>
                <w:sz w:val="12"/>
                <w:szCs w:val="12"/>
                <w:lang w:eastAsia="en-GB"/>
              </w:rPr>
              <w:t>Higher than national average</w:t>
            </w:r>
          </w:p>
        </w:tc>
      </w:tr>
      <w:tr w:rsidR="00997DBD" w:rsidRPr="000C49E8" w:rsidTr="001565A1">
        <w:trPr>
          <w:trHeight w:val="537"/>
        </w:trPr>
        <w:tc>
          <w:tcPr>
            <w:tcW w:w="1880" w:type="dxa"/>
            <w:tcBorders>
              <w:top w:val="nil"/>
              <w:left w:val="single" w:sz="8" w:space="0" w:color="auto"/>
              <w:bottom w:val="single" w:sz="4" w:space="0" w:color="auto"/>
              <w:right w:val="nil"/>
            </w:tcBorders>
            <w:shd w:val="clear" w:color="auto" w:fill="auto"/>
          </w:tcPr>
          <w:p w:rsidR="00997DBD" w:rsidRPr="000C49E8" w:rsidRDefault="008F7947" w:rsidP="008F7947">
            <w:pPr>
              <w:spacing w:after="0" w:line="240" w:lineRule="auto"/>
              <w:rPr>
                <w:rFonts w:ascii="Calibri" w:eastAsia="Times New Roman" w:hAnsi="Calibri" w:cs="Times New Roman"/>
                <w:color w:val="000000"/>
                <w:sz w:val="16"/>
                <w:szCs w:val="16"/>
                <w:lang w:eastAsia="en-GB"/>
              </w:rPr>
            </w:pPr>
            <w:r w:rsidRPr="001E6AAD">
              <w:rPr>
                <w:rFonts w:ascii="Calibri" w:eastAsia="Times New Roman" w:hAnsi="Calibri" w:cs="Times New Roman"/>
                <w:color w:val="000000"/>
                <w:sz w:val="16"/>
                <w:szCs w:val="16"/>
                <w:lang w:eastAsia="en-GB"/>
              </w:rPr>
              <w:t xml:space="preserve">% of </w:t>
            </w:r>
            <w:r>
              <w:rPr>
                <w:rFonts w:ascii="Calibri" w:eastAsia="Times New Roman" w:hAnsi="Calibri" w:cs="Times New Roman"/>
                <w:color w:val="000000"/>
                <w:sz w:val="16"/>
                <w:szCs w:val="16"/>
                <w:lang w:eastAsia="en-GB"/>
              </w:rPr>
              <w:t>cases diagnosed through non-</w:t>
            </w:r>
            <w:r w:rsidRPr="001E6AAD">
              <w:rPr>
                <w:rFonts w:ascii="Calibri" w:eastAsia="Times New Roman" w:hAnsi="Calibri" w:cs="Times New Roman"/>
                <w:color w:val="000000"/>
                <w:sz w:val="16"/>
                <w:szCs w:val="16"/>
                <w:lang w:eastAsia="en-GB"/>
              </w:rPr>
              <w:t>urgent</w:t>
            </w:r>
            <w:r>
              <w:rPr>
                <w:rFonts w:ascii="Calibri" w:eastAsia="Times New Roman" w:hAnsi="Calibri" w:cs="Times New Roman"/>
                <w:color w:val="000000"/>
                <w:sz w:val="16"/>
                <w:szCs w:val="16"/>
                <w:lang w:eastAsia="en-GB"/>
              </w:rPr>
              <w:t xml:space="preserve"> referrals</w:t>
            </w:r>
            <w:r w:rsidR="006B1CA3">
              <w:rPr>
                <w:rFonts w:ascii="Calibri" w:eastAsia="Times New Roman" w:hAnsi="Calibri" w:cs="Times New Roman"/>
                <w:color w:val="000000"/>
                <w:sz w:val="16"/>
                <w:szCs w:val="16"/>
                <w:lang w:eastAsia="en-GB"/>
              </w:rPr>
              <w:t xml:space="preserve"> (2010)</w:t>
            </w:r>
          </w:p>
        </w:tc>
        <w:tc>
          <w:tcPr>
            <w:tcW w:w="1254" w:type="dxa"/>
            <w:tcBorders>
              <w:top w:val="nil"/>
              <w:left w:val="single" w:sz="8" w:space="0" w:color="auto"/>
              <w:bottom w:val="single" w:sz="4" w:space="0" w:color="auto"/>
              <w:right w:val="single" w:sz="8" w:space="0" w:color="auto"/>
            </w:tcBorders>
            <w:shd w:val="clear" w:color="auto" w:fill="FF0000"/>
            <w:noWrap/>
            <w:vAlign w:val="center"/>
          </w:tcPr>
          <w:p w:rsidR="00997DBD" w:rsidRPr="000C49E8" w:rsidRDefault="008F7947" w:rsidP="008F7947">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54.3%</w:t>
            </w:r>
          </w:p>
        </w:tc>
        <w:tc>
          <w:tcPr>
            <w:tcW w:w="818" w:type="dxa"/>
            <w:tcBorders>
              <w:top w:val="nil"/>
              <w:left w:val="nil"/>
              <w:bottom w:val="single" w:sz="4" w:space="0" w:color="auto"/>
              <w:right w:val="single" w:sz="8" w:space="0" w:color="auto"/>
            </w:tcBorders>
            <w:shd w:val="clear" w:color="auto" w:fill="auto"/>
            <w:noWrap/>
            <w:vAlign w:val="center"/>
          </w:tcPr>
          <w:p w:rsidR="00997DBD" w:rsidRPr="000C49E8" w:rsidRDefault="008F7947" w:rsidP="008F7947">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49.9%</w:t>
            </w:r>
          </w:p>
        </w:tc>
        <w:tc>
          <w:tcPr>
            <w:tcW w:w="960" w:type="dxa"/>
            <w:tcBorders>
              <w:top w:val="nil"/>
              <w:left w:val="nil"/>
              <w:bottom w:val="single" w:sz="4" w:space="0" w:color="auto"/>
              <w:right w:val="single" w:sz="8" w:space="0" w:color="auto"/>
            </w:tcBorders>
            <w:shd w:val="clear" w:color="auto" w:fill="00B050"/>
            <w:noWrap/>
            <w:vAlign w:val="center"/>
          </w:tcPr>
          <w:p w:rsidR="00997DBD" w:rsidRPr="000C49E8" w:rsidRDefault="008F7947" w:rsidP="008F7947">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43.4%</w:t>
            </w:r>
          </w:p>
        </w:tc>
        <w:tc>
          <w:tcPr>
            <w:tcW w:w="1039" w:type="dxa"/>
            <w:tcBorders>
              <w:top w:val="nil"/>
              <w:left w:val="nil"/>
              <w:bottom w:val="single" w:sz="4" w:space="0" w:color="auto"/>
              <w:right w:val="single" w:sz="8" w:space="0" w:color="auto"/>
            </w:tcBorders>
            <w:shd w:val="clear" w:color="auto" w:fill="auto"/>
            <w:noWrap/>
            <w:vAlign w:val="center"/>
          </w:tcPr>
          <w:p w:rsidR="00997DBD" w:rsidRPr="000C49E8" w:rsidRDefault="008F7947" w:rsidP="008F7947">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w:t>
            </w:r>
          </w:p>
        </w:tc>
        <w:tc>
          <w:tcPr>
            <w:tcW w:w="960" w:type="dxa"/>
            <w:tcBorders>
              <w:top w:val="nil"/>
              <w:left w:val="nil"/>
              <w:bottom w:val="single" w:sz="4" w:space="0" w:color="auto"/>
              <w:right w:val="single" w:sz="8" w:space="0" w:color="auto"/>
            </w:tcBorders>
            <w:shd w:val="clear" w:color="auto" w:fill="auto"/>
            <w:noWrap/>
            <w:vAlign w:val="center"/>
          </w:tcPr>
          <w:p w:rsidR="00997DBD" w:rsidRPr="000C49E8" w:rsidRDefault="008F7947" w:rsidP="008F7947">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47.1%</w:t>
            </w:r>
          </w:p>
        </w:tc>
        <w:tc>
          <w:tcPr>
            <w:tcW w:w="804" w:type="dxa"/>
            <w:tcBorders>
              <w:top w:val="nil"/>
              <w:left w:val="nil"/>
              <w:bottom w:val="single" w:sz="4" w:space="0" w:color="auto"/>
              <w:right w:val="single" w:sz="8" w:space="0" w:color="auto"/>
            </w:tcBorders>
            <w:shd w:val="clear" w:color="000000" w:fill="00B050"/>
            <w:vAlign w:val="center"/>
          </w:tcPr>
          <w:p w:rsidR="00997DBD" w:rsidRPr="000C49E8" w:rsidRDefault="008F7947" w:rsidP="00A55CA2">
            <w:pPr>
              <w:spacing w:after="0" w:line="240" w:lineRule="auto"/>
              <w:jc w:val="center"/>
              <w:rPr>
                <w:rFonts w:ascii="Calibri" w:eastAsia="Times New Roman" w:hAnsi="Calibri" w:cs="Times New Roman"/>
                <w:color w:val="000000"/>
                <w:sz w:val="12"/>
                <w:szCs w:val="12"/>
                <w:lang w:eastAsia="en-GB"/>
              </w:rPr>
            </w:pPr>
            <w:r>
              <w:rPr>
                <w:rFonts w:ascii="Calibri" w:eastAsia="Times New Roman" w:hAnsi="Calibri" w:cs="Times New Roman"/>
                <w:color w:val="000000"/>
                <w:sz w:val="12"/>
                <w:szCs w:val="12"/>
                <w:lang w:eastAsia="en-GB"/>
              </w:rPr>
              <w:t>Lowest</w:t>
            </w:r>
          </w:p>
        </w:tc>
        <w:tc>
          <w:tcPr>
            <w:tcW w:w="1280" w:type="dxa"/>
            <w:tcBorders>
              <w:top w:val="nil"/>
              <w:left w:val="nil"/>
              <w:bottom w:val="single" w:sz="4" w:space="0" w:color="auto"/>
              <w:right w:val="single" w:sz="8" w:space="0" w:color="auto"/>
            </w:tcBorders>
            <w:shd w:val="clear" w:color="auto" w:fill="FF0000"/>
            <w:noWrap/>
            <w:vAlign w:val="center"/>
          </w:tcPr>
          <w:p w:rsidR="00997DBD" w:rsidRPr="000C49E8" w:rsidRDefault="008F7947" w:rsidP="008F7947">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sz w:val="12"/>
                <w:szCs w:val="12"/>
                <w:lang w:eastAsia="en-GB"/>
              </w:rPr>
              <w:t>Highest</w:t>
            </w:r>
          </w:p>
        </w:tc>
      </w:tr>
      <w:tr w:rsidR="008F7947" w:rsidRPr="000C49E8" w:rsidTr="001565A1">
        <w:trPr>
          <w:trHeight w:val="542"/>
        </w:trPr>
        <w:tc>
          <w:tcPr>
            <w:tcW w:w="1880" w:type="dxa"/>
            <w:tcBorders>
              <w:top w:val="single" w:sz="4" w:space="0" w:color="auto"/>
              <w:left w:val="single" w:sz="4" w:space="0" w:color="auto"/>
              <w:bottom w:val="single" w:sz="4" w:space="0" w:color="auto"/>
              <w:right w:val="single" w:sz="4" w:space="0" w:color="auto"/>
            </w:tcBorders>
            <w:shd w:val="clear" w:color="auto" w:fill="auto"/>
          </w:tcPr>
          <w:p w:rsidR="008F7947" w:rsidRPr="000C49E8" w:rsidRDefault="008F7947" w:rsidP="008F7947">
            <w:pPr>
              <w:spacing w:after="0" w:line="240" w:lineRule="auto"/>
              <w:rPr>
                <w:rFonts w:ascii="Calibri" w:eastAsia="Times New Roman" w:hAnsi="Calibri" w:cs="Times New Roman"/>
                <w:color w:val="000000"/>
                <w:sz w:val="16"/>
                <w:szCs w:val="16"/>
                <w:lang w:eastAsia="en-GB"/>
              </w:rPr>
            </w:pPr>
            <w:r w:rsidRPr="000C49E8">
              <w:rPr>
                <w:rFonts w:ascii="Calibri" w:eastAsia="Times New Roman" w:hAnsi="Calibri" w:cs="Times New Roman"/>
                <w:color w:val="000000"/>
                <w:sz w:val="16"/>
                <w:szCs w:val="16"/>
                <w:lang w:eastAsia="en-GB"/>
              </w:rPr>
              <w:t>% urgent 2 week wait referrals resulting in cancer diagnosis</w:t>
            </w:r>
            <w:r w:rsidR="006B1CA3">
              <w:rPr>
                <w:rFonts w:ascii="Calibri" w:eastAsia="Times New Roman" w:hAnsi="Calibri" w:cs="Times New Roman"/>
                <w:color w:val="000000"/>
                <w:sz w:val="16"/>
                <w:szCs w:val="16"/>
                <w:lang w:eastAsia="en-GB"/>
              </w:rPr>
              <w:t xml:space="preserve"> (2010)</w:t>
            </w:r>
          </w:p>
        </w:tc>
        <w:tc>
          <w:tcPr>
            <w:tcW w:w="1254" w:type="dxa"/>
            <w:tcBorders>
              <w:top w:val="single" w:sz="4" w:space="0" w:color="auto"/>
              <w:left w:val="single" w:sz="4" w:space="0" w:color="auto"/>
              <w:bottom w:val="single" w:sz="4" w:space="0" w:color="auto"/>
              <w:right w:val="single" w:sz="4" w:space="0" w:color="auto"/>
            </w:tcBorders>
            <w:shd w:val="clear" w:color="000000" w:fill="00B050"/>
            <w:noWrap/>
            <w:vAlign w:val="center"/>
          </w:tcPr>
          <w:p w:rsidR="008F7947" w:rsidRPr="000C49E8" w:rsidRDefault="008F7947" w:rsidP="008F7947">
            <w:pPr>
              <w:spacing w:after="0" w:line="240" w:lineRule="auto"/>
              <w:jc w:val="center"/>
              <w:rPr>
                <w:rFonts w:ascii="Calibri" w:eastAsia="Times New Roman" w:hAnsi="Calibri" w:cs="Times New Roman"/>
                <w:color w:val="000000"/>
                <w:sz w:val="16"/>
                <w:szCs w:val="16"/>
                <w:lang w:eastAsia="en-GB"/>
              </w:rPr>
            </w:pPr>
            <w:r w:rsidRPr="000C49E8">
              <w:rPr>
                <w:rFonts w:ascii="Calibri" w:eastAsia="Times New Roman" w:hAnsi="Calibri" w:cs="Times New Roman"/>
                <w:color w:val="000000"/>
                <w:sz w:val="16"/>
                <w:szCs w:val="16"/>
                <w:lang w:eastAsia="en-GB"/>
              </w:rPr>
              <w:t>8.9%</w:t>
            </w:r>
          </w:p>
        </w:tc>
        <w:tc>
          <w:tcPr>
            <w:tcW w:w="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7947" w:rsidRPr="000C49E8" w:rsidRDefault="008F7947" w:rsidP="008F7947">
            <w:pPr>
              <w:spacing w:after="0" w:line="240" w:lineRule="auto"/>
              <w:jc w:val="center"/>
              <w:rPr>
                <w:rFonts w:ascii="Calibri" w:eastAsia="Times New Roman" w:hAnsi="Calibri" w:cs="Times New Roman"/>
                <w:color w:val="000000"/>
                <w:sz w:val="16"/>
                <w:szCs w:val="16"/>
                <w:lang w:eastAsia="en-GB"/>
              </w:rPr>
            </w:pPr>
            <w:r w:rsidRPr="000C49E8">
              <w:rPr>
                <w:rFonts w:ascii="Calibri" w:eastAsia="Times New Roman" w:hAnsi="Calibri" w:cs="Times New Roman"/>
                <w:color w:val="000000"/>
                <w:sz w:val="16"/>
                <w:szCs w:val="16"/>
                <w:lang w:eastAsia="en-GB"/>
              </w:rPr>
              <w:t>7.7%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7947" w:rsidRPr="000C49E8" w:rsidRDefault="008F7947" w:rsidP="008F7947">
            <w:pPr>
              <w:spacing w:after="0" w:line="240" w:lineRule="auto"/>
              <w:jc w:val="center"/>
              <w:rPr>
                <w:rFonts w:ascii="Calibri" w:eastAsia="Times New Roman" w:hAnsi="Calibri" w:cs="Times New Roman"/>
                <w:color w:val="000000"/>
                <w:sz w:val="16"/>
                <w:szCs w:val="16"/>
                <w:lang w:eastAsia="en-GB"/>
              </w:rPr>
            </w:pPr>
            <w:r w:rsidRPr="000C49E8">
              <w:rPr>
                <w:rFonts w:ascii="Calibri" w:eastAsia="Times New Roman" w:hAnsi="Calibri" w:cs="Times New Roman"/>
                <w:color w:val="000000"/>
                <w:sz w:val="16"/>
                <w:szCs w:val="16"/>
                <w:lang w:eastAsia="en-GB"/>
              </w:rPr>
              <w:t>7.3%</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7947" w:rsidRPr="000C49E8" w:rsidRDefault="008F7947" w:rsidP="008F7947">
            <w:pPr>
              <w:spacing w:after="0" w:line="240" w:lineRule="auto"/>
              <w:jc w:val="center"/>
              <w:rPr>
                <w:rFonts w:ascii="Calibri" w:eastAsia="Times New Roman" w:hAnsi="Calibri" w:cs="Times New Roman"/>
                <w:color w:val="000000"/>
                <w:sz w:val="16"/>
                <w:szCs w:val="16"/>
                <w:lang w:eastAsia="en-GB"/>
              </w:rPr>
            </w:pPr>
            <w:r w:rsidRPr="000C49E8">
              <w:rPr>
                <w:rFonts w:ascii="Calibri" w:eastAsia="Times New Roman" w:hAnsi="Calibri" w:cs="Times New Roman"/>
                <w:color w:val="000000"/>
                <w:sz w:val="16"/>
                <w:szCs w:val="16"/>
                <w:lang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7947" w:rsidRPr="000C49E8" w:rsidRDefault="008F7947" w:rsidP="008F7947">
            <w:pPr>
              <w:spacing w:after="0" w:line="240" w:lineRule="auto"/>
              <w:jc w:val="center"/>
              <w:rPr>
                <w:rFonts w:ascii="Calibri" w:eastAsia="Times New Roman" w:hAnsi="Calibri" w:cs="Times New Roman"/>
                <w:color w:val="000000"/>
                <w:sz w:val="16"/>
                <w:szCs w:val="16"/>
                <w:lang w:eastAsia="en-GB"/>
              </w:rPr>
            </w:pPr>
            <w:r w:rsidRPr="000C49E8">
              <w:rPr>
                <w:rFonts w:ascii="Calibri" w:eastAsia="Times New Roman" w:hAnsi="Calibri" w:cs="Times New Roman"/>
                <w:color w:val="000000"/>
                <w:sz w:val="16"/>
                <w:szCs w:val="16"/>
                <w:lang w:eastAsia="en-GB"/>
              </w:rPr>
              <w:t>7.6%</w:t>
            </w:r>
          </w:p>
        </w:tc>
        <w:tc>
          <w:tcPr>
            <w:tcW w:w="804" w:type="dxa"/>
            <w:tcBorders>
              <w:top w:val="single" w:sz="4" w:space="0" w:color="auto"/>
              <w:left w:val="single" w:sz="4" w:space="0" w:color="auto"/>
              <w:bottom w:val="single" w:sz="4" w:space="0" w:color="auto"/>
              <w:right w:val="single" w:sz="4" w:space="0" w:color="auto"/>
            </w:tcBorders>
            <w:shd w:val="clear" w:color="000000" w:fill="00B050"/>
            <w:vAlign w:val="center"/>
          </w:tcPr>
          <w:p w:rsidR="008F7947" w:rsidRPr="000C49E8" w:rsidRDefault="008F7947" w:rsidP="008F7947">
            <w:pPr>
              <w:spacing w:after="0" w:line="240" w:lineRule="auto"/>
              <w:jc w:val="center"/>
              <w:rPr>
                <w:rFonts w:ascii="Calibri" w:eastAsia="Times New Roman" w:hAnsi="Calibri" w:cs="Times New Roman"/>
                <w:color w:val="000000"/>
                <w:sz w:val="12"/>
                <w:szCs w:val="12"/>
                <w:lang w:eastAsia="en-GB"/>
              </w:rPr>
            </w:pPr>
            <w:r w:rsidRPr="000C49E8">
              <w:rPr>
                <w:rFonts w:ascii="Calibri" w:eastAsia="Times New Roman" w:hAnsi="Calibri" w:cs="Times New Roman"/>
                <w:color w:val="000000"/>
                <w:sz w:val="12"/>
                <w:szCs w:val="12"/>
                <w:lang w:eastAsia="en-GB"/>
              </w:rPr>
              <w:t>Higher than national average</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7947" w:rsidRPr="000C49E8" w:rsidRDefault="008F7947" w:rsidP="008F7947">
            <w:pPr>
              <w:spacing w:after="0" w:line="240" w:lineRule="auto"/>
              <w:rPr>
                <w:rFonts w:ascii="Calibri" w:eastAsia="Times New Roman" w:hAnsi="Calibri" w:cs="Times New Roman"/>
                <w:color w:val="000000"/>
                <w:lang w:eastAsia="en-GB"/>
              </w:rPr>
            </w:pPr>
            <w:r w:rsidRPr="000C49E8">
              <w:rPr>
                <w:rFonts w:ascii="Calibri" w:eastAsia="Times New Roman" w:hAnsi="Calibri" w:cs="Times New Roman"/>
                <w:color w:val="000000"/>
                <w:lang w:eastAsia="en-GB"/>
              </w:rPr>
              <w:t> </w:t>
            </w:r>
          </w:p>
        </w:tc>
      </w:tr>
    </w:tbl>
    <w:p w:rsidR="00C77014" w:rsidRDefault="00C77014" w:rsidP="007309C1">
      <w:pPr>
        <w:pStyle w:val="Heading2"/>
        <w:numPr>
          <w:ilvl w:val="1"/>
          <w:numId w:val="1"/>
        </w:numPr>
        <w:spacing w:after="240"/>
        <w:rPr>
          <w:rFonts w:ascii="Arial" w:hAnsi="Arial" w:cs="Arial"/>
          <w:color w:val="auto"/>
          <w:sz w:val="24"/>
          <w:szCs w:val="24"/>
        </w:rPr>
      </w:pPr>
      <w:bookmarkStart w:id="122" w:name="_Toc274128764"/>
      <w:bookmarkStart w:id="123" w:name="_Toc276037876"/>
      <w:r>
        <w:rPr>
          <w:rFonts w:ascii="Arial" w:hAnsi="Arial" w:cs="Arial"/>
          <w:color w:val="auto"/>
          <w:sz w:val="24"/>
          <w:szCs w:val="24"/>
        </w:rPr>
        <w:t>Recommendations</w:t>
      </w:r>
      <w:bookmarkEnd w:id="122"/>
      <w:bookmarkEnd w:id="123"/>
    </w:p>
    <w:p w:rsidR="00C77014" w:rsidRDefault="00C77014" w:rsidP="001F2601">
      <w:pPr>
        <w:pStyle w:val="ListParagraph"/>
        <w:numPr>
          <w:ilvl w:val="0"/>
          <w:numId w:val="4"/>
        </w:numPr>
        <w:rPr>
          <w:rFonts w:ascii="Arial" w:hAnsi="Arial" w:cs="Arial"/>
          <w:sz w:val="20"/>
        </w:rPr>
      </w:pPr>
      <w:r w:rsidRPr="00C77014">
        <w:rPr>
          <w:rFonts w:ascii="Arial" w:hAnsi="Arial" w:cs="Arial"/>
          <w:sz w:val="20"/>
        </w:rPr>
        <w:t>Improve</w:t>
      </w:r>
      <w:r>
        <w:rPr>
          <w:rFonts w:ascii="Arial" w:hAnsi="Arial" w:cs="Arial"/>
          <w:sz w:val="20"/>
        </w:rPr>
        <w:t xml:space="preserve"> bowel</w:t>
      </w:r>
      <w:r w:rsidRPr="00C77014">
        <w:rPr>
          <w:rFonts w:ascii="Arial" w:hAnsi="Arial" w:cs="Arial"/>
          <w:sz w:val="20"/>
        </w:rPr>
        <w:t xml:space="preserve"> screening </w:t>
      </w:r>
      <w:r>
        <w:rPr>
          <w:rFonts w:ascii="Arial" w:hAnsi="Arial" w:cs="Arial"/>
          <w:sz w:val="20"/>
        </w:rPr>
        <w:t xml:space="preserve">uptake </w:t>
      </w:r>
      <w:r w:rsidRPr="00C77014">
        <w:rPr>
          <w:rFonts w:ascii="Arial" w:hAnsi="Arial" w:cs="Arial"/>
          <w:sz w:val="20"/>
        </w:rPr>
        <w:t>rates across the sector</w:t>
      </w:r>
      <w:r>
        <w:rPr>
          <w:rFonts w:ascii="Arial" w:hAnsi="Arial" w:cs="Arial"/>
          <w:sz w:val="20"/>
        </w:rPr>
        <w:t xml:space="preserve"> as all PCTs record rates below the national average (as well as the higher national target of 60%).</w:t>
      </w:r>
      <w:r w:rsidRPr="00C77014">
        <w:rPr>
          <w:rFonts w:ascii="Arial" w:hAnsi="Arial" w:cs="Arial"/>
          <w:sz w:val="20"/>
        </w:rPr>
        <w:t xml:space="preserve"> </w:t>
      </w:r>
    </w:p>
    <w:p w:rsidR="00C95282" w:rsidRDefault="00C95282" w:rsidP="00C95282">
      <w:pPr>
        <w:pStyle w:val="ListParagraph"/>
        <w:rPr>
          <w:rFonts w:ascii="Arial" w:hAnsi="Arial" w:cs="Arial"/>
          <w:sz w:val="20"/>
        </w:rPr>
      </w:pPr>
    </w:p>
    <w:p w:rsidR="00C77014" w:rsidRDefault="00C77014" w:rsidP="001F2601">
      <w:pPr>
        <w:pStyle w:val="ListParagraph"/>
        <w:numPr>
          <w:ilvl w:val="0"/>
          <w:numId w:val="4"/>
        </w:numPr>
        <w:rPr>
          <w:rFonts w:ascii="Arial" w:hAnsi="Arial" w:cs="Arial"/>
          <w:sz w:val="20"/>
        </w:rPr>
      </w:pPr>
      <w:r>
        <w:rPr>
          <w:rFonts w:ascii="Arial" w:hAnsi="Arial" w:cs="Arial"/>
          <w:sz w:val="20"/>
        </w:rPr>
        <w:t xml:space="preserve">Diagnose colorectal </w:t>
      </w:r>
      <w:r w:rsidR="00830500">
        <w:rPr>
          <w:rFonts w:ascii="Arial" w:hAnsi="Arial" w:cs="Arial"/>
          <w:sz w:val="20"/>
        </w:rPr>
        <w:t xml:space="preserve">cancer </w:t>
      </w:r>
      <w:r>
        <w:rPr>
          <w:rFonts w:ascii="Arial" w:hAnsi="Arial" w:cs="Arial"/>
          <w:sz w:val="20"/>
        </w:rPr>
        <w:t xml:space="preserve">cases earlier, latest figures show </w:t>
      </w:r>
      <w:r w:rsidR="00C95282">
        <w:rPr>
          <w:rFonts w:ascii="Arial" w:hAnsi="Arial" w:cs="Arial"/>
          <w:sz w:val="20"/>
        </w:rPr>
        <w:t xml:space="preserve">one in five cases </w:t>
      </w:r>
      <w:proofErr w:type="gramStart"/>
      <w:r w:rsidR="00C95282">
        <w:rPr>
          <w:rFonts w:ascii="Arial" w:hAnsi="Arial" w:cs="Arial"/>
          <w:sz w:val="20"/>
        </w:rPr>
        <w:t>are</w:t>
      </w:r>
      <w:proofErr w:type="gramEnd"/>
      <w:r w:rsidR="00C95282">
        <w:rPr>
          <w:rFonts w:ascii="Arial" w:hAnsi="Arial" w:cs="Arial"/>
          <w:sz w:val="20"/>
        </w:rPr>
        <w:t xml:space="preserve"> diagnosed late at stage 4.</w:t>
      </w:r>
    </w:p>
    <w:p w:rsidR="00C77014" w:rsidRDefault="00C77014" w:rsidP="00C77014">
      <w:pPr>
        <w:pStyle w:val="ListParagraph"/>
        <w:rPr>
          <w:rFonts w:ascii="Arial" w:hAnsi="Arial" w:cs="Arial"/>
          <w:sz w:val="20"/>
        </w:rPr>
      </w:pPr>
    </w:p>
    <w:p w:rsidR="00C77014" w:rsidRDefault="00051496" w:rsidP="001F2601">
      <w:pPr>
        <w:pStyle w:val="ListParagraph"/>
        <w:numPr>
          <w:ilvl w:val="0"/>
          <w:numId w:val="4"/>
        </w:numPr>
        <w:spacing w:after="0"/>
        <w:rPr>
          <w:rFonts w:ascii="Arial" w:hAnsi="Arial" w:cs="Arial"/>
          <w:sz w:val="20"/>
        </w:rPr>
      </w:pPr>
      <w:r>
        <w:rPr>
          <w:rFonts w:ascii="Arial" w:hAnsi="Arial" w:cs="Arial"/>
          <w:sz w:val="20"/>
        </w:rPr>
        <w:t>I</w:t>
      </w:r>
      <w:r w:rsidR="00C77014">
        <w:rPr>
          <w:rFonts w:ascii="Arial" w:hAnsi="Arial" w:cs="Arial"/>
          <w:sz w:val="20"/>
        </w:rPr>
        <w:t>mprove</w:t>
      </w:r>
      <w:r>
        <w:rPr>
          <w:rFonts w:ascii="Arial" w:hAnsi="Arial" w:cs="Arial"/>
          <w:sz w:val="20"/>
        </w:rPr>
        <w:t xml:space="preserve"> female</w:t>
      </w:r>
      <w:r w:rsidR="00C77014">
        <w:rPr>
          <w:rFonts w:ascii="Arial" w:hAnsi="Arial" w:cs="Arial"/>
          <w:sz w:val="20"/>
        </w:rPr>
        <w:t xml:space="preserve"> one-year survival rate </w:t>
      </w:r>
      <w:r>
        <w:rPr>
          <w:rFonts w:ascii="Arial" w:hAnsi="Arial" w:cs="Arial"/>
          <w:sz w:val="20"/>
        </w:rPr>
        <w:t>as rate is below European counterparts.</w:t>
      </w:r>
      <w:r w:rsidR="00C77014">
        <w:rPr>
          <w:rFonts w:ascii="Arial" w:hAnsi="Arial" w:cs="Arial"/>
          <w:sz w:val="20"/>
        </w:rPr>
        <w:t xml:space="preserve"> </w:t>
      </w:r>
    </w:p>
    <w:p w:rsidR="00C77014" w:rsidRPr="002A216A" w:rsidRDefault="00C77014" w:rsidP="00C77014">
      <w:pPr>
        <w:pStyle w:val="ListParagraph"/>
        <w:rPr>
          <w:rFonts w:ascii="Arial" w:hAnsi="Arial" w:cs="Arial"/>
          <w:sz w:val="20"/>
        </w:rPr>
      </w:pPr>
    </w:p>
    <w:p w:rsidR="00C77014" w:rsidRDefault="00C77014" w:rsidP="001F2601">
      <w:pPr>
        <w:pStyle w:val="ListParagraph"/>
        <w:numPr>
          <w:ilvl w:val="0"/>
          <w:numId w:val="4"/>
        </w:numPr>
        <w:spacing w:after="0"/>
        <w:rPr>
          <w:rFonts w:ascii="Arial" w:hAnsi="Arial" w:cs="Arial"/>
          <w:sz w:val="20"/>
        </w:rPr>
      </w:pPr>
      <w:r>
        <w:rPr>
          <w:rFonts w:ascii="Arial" w:hAnsi="Arial" w:cs="Arial"/>
          <w:sz w:val="20"/>
        </w:rPr>
        <w:t xml:space="preserve">Investigate the </w:t>
      </w:r>
      <w:r w:rsidR="00871B3E">
        <w:rPr>
          <w:rFonts w:ascii="Arial" w:hAnsi="Arial" w:cs="Arial"/>
          <w:sz w:val="20"/>
        </w:rPr>
        <w:t xml:space="preserve">substantial increase in male colorectal cancer mortality in Richmond &amp; Twickenham since  </w:t>
      </w:r>
      <w:r>
        <w:rPr>
          <w:rFonts w:ascii="Arial" w:hAnsi="Arial" w:cs="Arial"/>
          <w:sz w:val="20"/>
        </w:rPr>
        <w:t xml:space="preserve"> </w:t>
      </w:r>
      <w:r w:rsidR="00871B3E">
        <w:rPr>
          <w:rFonts w:ascii="Arial" w:hAnsi="Arial" w:cs="Arial"/>
          <w:sz w:val="20"/>
        </w:rPr>
        <w:t>2003-05.</w:t>
      </w:r>
    </w:p>
    <w:p w:rsidR="00C77014" w:rsidRPr="00C97B31" w:rsidRDefault="00C77014" w:rsidP="00C77014">
      <w:pPr>
        <w:spacing w:after="0"/>
        <w:rPr>
          <w:rFonts w:ascii="Arial" w:hAnsi="Arial" w:cs="Arial"/>
          <w:sz w:val="20"/>
        </w:rPr>
      </w:pPr>
    </w:p>
    <w:p w:rsidR="00C77014" w:rsidRDefault="007E34EA" w:rsidP="001F2601">
      <w:pPr>
        <w:pStyle w:val="ListParagraph"/>
        <w:numPr>
          <w:ilvl w:val="0"/>
          <w:numId w:val="4"/>
        </w:numPr>
        <w:spacing w:after="0"/>
        <w:rPr>
          <w:rFonts w:ascii="Arial" w:hAnsi="Arial" w:cs="Arial"/>
          <w:sz w:val="20"/>
        </w:rPr>
      </w:pPr>
      <w:r>
        <w:rPr>
          <w:rFonts w:ascii="Arial" w:hAnsi="Arial" w:cs="Arial"/>
          <w:sz w:val="20"/>
        </w:rPr>
        <w:t>Investigate</w:t>
      </w:r>
      <w:r w:rsidR="00C77014">
        <w:rPr>
          <w:rFonts w:ascii="Arial" w:hAnsi="Arial" w:cs="Arial"/>
          <w:sz w:val="20"/>
        </w:rPr>
        <w:t xml:space="preserve"> emergency admissions</w:t>
      </w:r>
      <w:r w:rsidR="00FD4036">
        <w:rPr>
          <w:rFonts w:ascii="Arial" w:hAnsi="Arial" w:cs="Arial"/>
          <w:sz w:val="20"/>
        </w:rPr>
        <w:t xml:space="preserve"> for Lower GI cancer </w:t>
      </w:r>
      <w:r w:rsidR="00C77014">
        <w:rPr>
          <w:rFonts w:ascii="Arial" w:hAnsi="Arial" w:cs="Arial"/>
          <w:sz w:val="20"/>
        </w:rPr>
        <w:t xml:space="preserve">in </w:t>
      </w:r>
      <w:r w:rsidR="00FD4036">
        <w:rPr>
          <w:rFonts w:ascii="Arial" w:hAnsi="Arial" w:cs="Arial"/>
          <w:sz w:val="20"/>
        </w:rPr>
        <w:t>PCTs in the SWL sector, the emergency bed day rate is above the national average in all PCTs.</w:t>
      </w:r>
    </w:p>
    <w:p w:rsidR="00C77014" w:rsidRPr="00C97B31" w:rsidRDefault="00C77014" w:rsidP="00C77014">
      <w:pPr>
        <w:spacing w:after="0"/>
        <w:rPr>
          <w:rFonts w:ascii="Arial" w:hAnsi="Arial" w:cs="Arial"/>
          <w:sz w:val="20"/>
        </w:rPr>
      </w:pPr>
    </w:p>
    <w:p w:rsidR="00C77014" w:rsidRDefault="007E34EA" w:rsidP="001F2601">
      <w:pPr>
        <w:pStyle w:val="ListParagraph"/>
        <w:numPr>
          <w:ilvl w:val="0"/>
          <w:numId w:val="4"/>
        </w:numPr>
        <w:spacing w:after="0"/>
        <w:rPr>
          <w:rFonts w:ascii="Arial" w:hAnsi="Arial" w:cs="Arial"/>
          <w:sz w:val="20"/>
        </w:rPr>
      </w:pPr>
      <w:r>
        <w:rPr>
          <w:rFonts w:ascii="Arial" w:hAnsi="Arial" w:cs="Arial"/>
          <w:sz w:val="20"/>
        </w:rPr>
        <w:t>Review the</w:t>
      </w:r>
      <w:r w:rsidR="00C77014">
        <w:rPr>
          <w:rFonts w:ascii="Arial" w:hAnsi="Arial" w:cs="Arial"/>
          <w:sz w:val="20"/>
        </w:rPr>
        <w:t xml:space="preserve"> proportion of diagnosed </w:t>
      </w:r>
      <w:r w:rsidR="009642BF">
        <w:rPr>
          <w:rFonts w:ascii="Arial" w:hAnsi="Arial" w:cs="Arial"/>
          <w:sz w:val="20"/>
        </w:rPr>
        <w:t xml:space="preserve">colorectal </w:t>
      </w:r>
      <w:r w:rsidR="00C77014">
        <w:rPr>
          <w:rFonts w:ascii="Arial" w:hAnsi="Arial" w:cs="Arial"/>
          <w:sz w:val="20"/>
        </w:rPr>
        <w:t xml:space="preserve">cancer cases referred through </w:t>
      </w:r>
      <w:r w:rsidR="00FD4036">
        <w:rPr>
          <w:rFonts w:ascii="Arial" w:hAnsi="Arial" w:cs="Arial"/>
          <w:sz w:val="20"/>
        </w:rPr>
        <w:t xml:space="preserve">a </w:t>
      </w:r>
      <w:r>
        <w:rPr>
          <w:rFonts w:ascii="Arial" w:hAnsi="Arial" w:cs="Arial"/>
          <w:sz w:val="20"/>
        </w:rPr>
        <w:t>non-urgent route in Croydon,</w:t>
      </w:r>
      <w:r w:rsidR="00C77014">
        <w:rPr>
          <w:rFonts w:ascii="Arial" w:hAnsi="Arial" w:cs="Arial"/>
          <w:sz w:val="20"/>
        </w:rPr>
        <w:t xml:space="preserve"> Richmond &amp; Twickenham</w:t>
      </w:r>
      <w:r w:rsidR="009642BF">
        <w:rPr>
          <w:rFonts w:ascii="Arial" w:hAnsi="Arial" w:cs="Arial"/>
          <w:sz w:val="20"/>
        </w:rPr>
        <w:t>, Sutton &amp; Merton and Wandsworth.</w:t>
      </w:r>
    </w:p>
    <w:p w:rsidR="00C77014" w:rsidRPr="00C97B31" w:rsidRDefault="00C77014" w:rsidP="00C77014">
      <w:pPr>
        <w:spacing w:after="0"/>
        <w:rPr>
          <w:rFonts w:ascii="Arial" w:hAnsi="Arial" w:cs="Arial"/>
          <w:sz w:val="20"/>
        </w:rPr>
      </w:pPr>
    </w:p>
    <w:p w:rsidR="00C77014" w:rsidRPr="00C97B31" w:rsidRDefault="00C77014" w:rsidP="001F2601">
      <w:pPr>
        <w:pStyle w:val="ListParagraph"/>
        <w:numPr>
          <w:ilvl w:val="0"/>
          <w:numId w:val="4"/>
        </w:numPr>
        <w:spacing w:after="0"/>
        <w:rPr>
          <w:rFonts w:ascii="Arial" w:hAnsi="Arial" w:cs="Arial"/>
          <w:sz w:val="20"/>
        </w:rPr>
      </w:pPr>
      <w:r>
        <w:rPr>
          <w:rFonts w:ascii="Arial" w:hAnsi="Arial" w:cs="Arial"/>
          <w:sz w:val="20"/>
          <w:szCs w:val="20"/>
        </w:rPr>
        <w:t>Investigate</w:t>
      </w:r>
      <w:r w:rsidRPr="009E2E5E">
        <w:rPr>
          <w:rFonts w:ascii="Arial" w:hAnsi="Arial" w:cs="Arial"/>
          <w:sz w:val="20"/>
          <w:szCs w:val="20"/>
        </w:rPr>
        <w:t xml:space="preserve"> </w:t>
      </w:r>
      <w:r>
        <w:rPr>
          <w:rFonts w:ascii="Arial" w:hAnsi="Arial" w:cs="Arial"/>
          <w:sz w:val="20"/>
          <w:szCs w:val="20"/>
        </w:rPr>
        <w:t>the interpretation of the two week referral</w:t>
      </w:r>
      <w:r w:rsidRPr="009E2E5E">
        <w:rPr>
          <w:rFonts w:ascii="Arial" w:hAnsi="Arial" w:cs="Arial"/>
          <w:sz w:val="20"/>
          <w:szCs w:val="20"/>
        </w:rPr>
        <w:t xml:space="preserve"> NICE Referral Guidelines </w:t>
      </w:r>
      <w:r>
        <w:rPr>
          <w:rFonts w:ascii="Arial" w:hAnsi="Arial" w:cs="Arial"/>
          <w:sz w:val="20"/>
          <w:szCs w:val="20"/>
        </w:rPr>
        <w:t xml:space="preserve">for breast cancer </w:t>
      </w:r>
      <w:r w:rsidRPr="009E2E5E">
        <w:rPr>
          <w:rFonts w:ascii="Arial" w:hAnsi="Arial" w:cs="Arial"/>
          <w:sz w:val="20"/>
          <w:szCs w:val="20"/>
        </w:rPr>
        <w:t>by primary care</w:t>
      </w:r>
      <w:r>
        <w:rPr>
          <w:rFonts w:ascii="Arial" w:hAnsi="Arial" w:cs="Arial"/>
          <w:sz w:val="20"/>
          <w:szCs w:val="20"/>
        </w:rPr>
        <w:t xml:space="preserve"> at Wandsworth and Richmond &amp; Twickenham (Proportion of urgent 2 week referrals resulting in cancer diagnosis is low)</w:t>
      </w:r>
      <w:r w:rsidRPr="009E2E5E">
        <w:rPr>
          <w:rFonts w:ascii="Arial" w:hAnsi="Arial" w:cs="Arial"/>
          <w:sz w:val="20"/>
          <w:szCs w:val="20"/>
        </w:rPr>
        <w:t>.</w:t>
      </w:r>
    </w:p>
    <w:p w:rsidR="00C77014" w:rsidRPr="00C97B31" w:rsidRDefault="00C77014" w:rsidP="00C77014">
      <w:pPr>
        <w:spacing w:after="0"/>
        <w:rPr>
          <w:rFonts w:ascii="Arial" w:hAnsi="Arial" w:cs="Arial"/>
          <w:sz w:val="20"/>
        </w:rPr>
      </w:pPr>
    </w:p>
    <w:p w:rsidR="00C77014" w:rsidRPr="00830CB6" w:rsidRDefault="00C77014" w:rsidP="001F2601">
      <w:pPr>
        <w:pStyle w:val="ListParagraph"/>
        <w:numPr>
          <w:ilvl w:val="0"/>
          <w:numId w:val="4"/>
        </w:numPr>
        <w:rPr>
          <w:rFonts w:ascii="Arial" w:hAnsi="Arial" w:cs="Arial"/>
          <w:sz w:val="20"/>
        </w:rPr>
      </w:pPr>
      <w:r>
        <w:rPr>
          <w:rFonts w:ascii="Arial" w:hAnsi="Arial" w:cs="Arial"/>
          <w:sz w:val="20"/>
          <w:szCs w:val="20"/>
        </w:rPr>
        <w:t>L</w:t>
      </w:r>
      <w:r w:rsidRPr="009E2E5E">
        <w:rPr>
          <w:rFonts w:ascii="Arial" w:hAnsi="Arial" w:cs="Arial"/>
          <w:sz w:val="20"/>
          <w:szCs w:val="20"/>
        </w:rPr>
        <w:t xml:space="preserve">ocal secondary care teams to </w:t>
      </w:r>
      <w:r w:rsidR="007E34EA">
        <w:rPr>
          <w:rFonts w:ascii="Arial" w:hAnsi="Arial" w:cs="Arial"/>
          <w:sz w:val="20"/>
          <w:szCs w:val="20"/>
        </w:rPr>
        <w:t xml:space="preserve">consider </w:t>
      </w:r>
      <w:r w:rsidRPr="009E2E5E">
        <w:rPr>
          <w:rFonts w:ascii="Arial" w:hAnsi="Arial" w:cs="Arial"/>
          <w:sz w:val="20"/>
          <w:szCs w:val="20"/>
        </w:rPr>
        <w:t>audit</w:t>
      </w:r>
      <w:r w:rsidR="007E34EA">
        <w:rPr>
          <w:rFonts w:ascii="Arial" w:hAnsi="Arial" w:cs="Arial"/>
          <w:sz w:val="20"/>
          <w:szCs w:val="20"/>
        </w:rPr>
        <w:t>ing</w:t>
      </w:r>
      <w:r w:rsidRPr="009E2E5E">
        <w:rPr>
          <w:rFonts w:ascii="Arial" w:hAnsi="Arial" w:cs="Arial"/>
          <w:sz w:val="20"/>
          <w:szCs w:val="20"/>
        </w:rPr>
        <w:t xml:space="preserve"> the appropriateness</w:t>
      </w:r>
      <w:r>
        <w:rPr>
          <w:rFonts w:ascii="Arial" w:hAnsi="Arial" w:cs="Arial"/>
          <w:sz w:val="20"/>
          <w:szCs w:val="20"/>
        </w:rPr>
        <w:t xml:space="preserve"> of all breast cancer urgent 2 week referrals received from Wandsworth and Richmond &amp; Twickenham (Proportion of urgent 2 week referrals resulting in cancer diagnosis is low)</w:t>
      </w:r>
      <w:r w:rsidRPr="009E2E5E">
        <w:rPr>
          <w:rFonts w:ascii="Arial" w:hAnsi="Arial" w:cs="Arial"/>
          <w:sz w:val="20"/>
          <w:szCs w:val="20"/>
        </w:rPr>
        <w:t>.</w:t>
      </w:r>
    </w:p>
    <w:p w:rsidR="00C77014" w:rsidRPr="00830CB6" w:rsidRDefault="00C77014" w:rsidP="00C77014">
      <w:pPr>
        <w:pStyle w:val="ListParagraph"/>
        <w:rPr>
          <w:rFonts w:ascii="Arial" w:hAnsi="Arial" w:cs="Arial"/>
          <w:sz w:val="20"/>
        </w:rPr>
      </w:pPr>
    </w:p>
    <w:p w:rsidR="00C77014" w:rsidRDefault="00C77014" w:rsidP="001F2601">
      <w:pPr>
        <w:pStyle w:val="ListParagraph"/>
        <w:numPr>
          <w:ilvl w:val="0"/>
          <w:numId w:val="4"/>
        </w:numPr>
        <w:rPr>
          <w:rFonts w:ascii="Arial" w:hAnsi="Arial" w:cs="Arial"/>
          <w:sz w:val="20"/>
        </w:rPr>
      </w:pPr>
      <w:r>
        <w:rPr>
          <w:rFonts w:ascii="Arial" w:hAnsi="Arial" w:cs="Arial"/>
          <w:sz w:val="20"/>
        </w:rPr>
        <w:t>Implement the recommendations of the Primary Care Audit of Cancer.</w:t>
      </w:r>
    </w:p>
    <w:p w:rsidR="00C77014" w:rsidRPr="00830CB6" w:rsidRDefault="00C77014" w:rsidP="00C77014">
      <w:pPr>
        <w:pStyle w:val="ListParagraph"/>
        <w:rPr>
          <w:rFonts w:ascii="Arial" w:hAnsi="Arial" w:cs="Arial"/>
          <w:sz w:val="20"/>
        </w:rPr>
      </w:pPr>
    </w:p>
    <w:p w:rsidR="00C77014" w:rsidRDefault="00C77014" w:rsidP="001F2601">
      <w:pPr>
        <w:pStyle w:val="ListParagraph"/>
        <w:numPr>
          <w:ilvl w:val="0"/>
          <w:numId w:val="4"/>
        </w:numPr>
        <w:rPr>
          <w:rFonts w:ascii="Arial" w:hAnsi="Arial" w:cs="Arial"/>
          <w:sz w:val="20"/>
        </w:rPr>
      </w:pPr>
      <w:r>
        <w:rPr>
          <w:rFonts w:ascii="Arial" w:hAnsi="Arial" w:cs="Arial"/>
          <w:sz w:val="20"/>
        </w:rPr>
        <w:t>Implement social marketing strategy resultant from the results of the CAM survey.</w:t>
      </w:r>
    </w:p>
    <w:p w:rsidR="0060663D" w:rsidRPr="0060663D" w:rsidRDefault="0060663D" w:rsidP="0060663D"/>
    <w:p w:rsidR="00784E76" w:rsidRDefault="00784E76" w:rsidP="00784E76">
      <w:pPr>
        <w:pStyle w:val="Heading1"/>
      </w:pPr>
    </w:p>
    <w:p w:rsidR="009642BF" w:rsidRDefault="009642BF" w:rsidP="009642BF"/>
    <w:p w:rsidR="009642BF" w:rsidRDefault="009642BF" w:rsidP="009642BF"/>
    <w:p w:rsidR="009642BF" w:rsidRDefault="009642BF" w:rsidP="009642BF"/>
    <w:p w:rsidR="009642BF" w:rsidRDefault="009642BF" w:rsidP="009642BF"/>
    <w:p w:rsidR="009642BF" w:rsidRDefault="009642BF" w:rsidP="009642BF"/>
    <w:p w:rsidR="009642BF" w:rsidRDefault="009642BF" w:rsidP="009642BF"/>
    <w:p w:rsidR="009642BF" w:rsidRDefault="009642BF" w:rsidP="009642BF"/>
    <w:p w:rsidR="009642BF" w:rsidRDefault="009642BF" w:rsidP="009642BF"/>
    <w:p w:rsidR="009642BF" w:rsidRDefault="009642BF" w:rsidP="009642BF"/>
    <w:p w:rsidR="009642BF" w:rsidRPr="009642BF" w:rsidRDefault="009642BF" w:rsidP="009642BF"/>
    <w:p w:rsidR="0039588B" w:rsidRDefault="0039588B" w:rsidP="0039588B"/>
    <w:p w:rsidR="00BB4E4C" w:rsidRDefault="00BB4E4C" w:rsidP="0039588B"/>
    <w:p w:rsidR="00FB09D5" w:rsidRDefault="00FB09D5" w:rsidP="0039588B"/>
    <w:p w:rsidR="00FB09D5" w:rsidRDefault="00FB09D5" w:rsidP="0039588B"/>
    <w:p w:rsidR="004A6CE8" w:rsidRDefault="00AE0D35" w:rsidP="00CE3761">
      <w:pPr>
        <w:pStyle w:val="Heading1"/>
        <w:spacing w:after="240"/>
        <w:rPr>
          <w:rFonts w:ascii="Arial" w:hAnsi="Arial" w:cs="Arial"/>
          <w:color w:val="auto"/>
        </w:rPr>
      </w:pPr>
      <w:bookmarkStart w:id="124" w:name="_Toc276037877"/>
      <w:r>
        <w:rPr>
          <w:rFonts w:ascii="Arial" w:hAnsi="Arial" w:cs="Arial"/>
          <w:color w:val="auto"/>
        </w:rPr>
        <w:t>R</w:t>
      </w:r>
      <w:r w:rsidR="00CE3761">
        <w:rPr>
          <w:rFonts w:ascii="Arial" w:hAnsi="Arial" w:cs="Arial"/>
          <w:color w:val="auto"/>
        </w:rPr>
        <w:t>eferences</w:t>
      </w:r>
      <w:bookmarkEnd w:id="124"/>
    </w:p>
    <w:p w:rsidR="004346E3" w:rsidRDefault="004346E3" w:rsidP="00083630">
      <w:pPr>
        <w:rPr>
          <w:rFonts w:ascii="Arial" w:hAnsi="Arial" w:cs="Arial"/>
          <w:sz w:val="20"/>
          <w:szCs w:val="20"/>
        </w:rPr>
      </w:pPr>
      <w:proofErr w:type="spellStart"/>
      <w:r w:rsidRPr="00DF0DFA">
        <w:rPr>
          <w:rFonts w:ascii="Arial" w:hAnsi="Arial" w:cs="Arial"/>
          <w:sz w:val="20"/>
          <w:szCs w:val="20"/>
        </w:rPr>
        <w:t>Botteri</w:t>
      </w:r>
      <w:proofErr w:type="spellEnd"/>
      <w:r w:rsidRPr="00DF0DFA">
        <w:rPr>
          <w:rFonts w:ascii="Arial" w:hAnsi="Arial" w:cs="Arial"/>
          <w:sz w:val="20"/>
          <w:szCs w:val="20"/>
        </w:rPr>
        <w:t xml:space="preserve"> E, </w:t>
      </w:r>
      <w:proofErr w:type="spellStart"/>
      <w:r w:rsidRPr="00DF0DFA">
        <w:rPr>
          <w:rFonts w:ascii="Arial" w:hAnsi="Arial" w:cs="Arial"/>
          <w:sz w:val="20"/>
          <w:szCs w:val="20"/>
        </w:rPr>
        <w:t>Iodice</w:t>
      </w:r>
      <w:proofErr w:type="spellEnd"/>
      <w:r w:rsidRPr="00DF0DFA">
        <w:rPr>
          <w:rFonts w:ascii="Arial" w:hAnsi="Arial" w:cs="Arial"/>
          <w:sz w:val="20"/>
          <w:szCs w:val="20"/>
        </w:rPr>
        <w:t xml:space="preserve"> S, </w:t>
      </w:r>
      <w:proofErr w:type="spellStart"/>
      <w:r w:rsidRPr="00DF0DFA">
        <w:rPr>
          <w:rFonts w:ascii="Arial" w:hAnsi="Arial" w:cs="Arial"/>
          <w:sz w:val="20"/>
          <w:szCs w:val="20"/>
        </w:rPr>
        <w:t>Bagnardi</w:t>
      </w:r>
      <w:proofErr w:type="spellEnd"/>
      <w:r w:rsidRPr="00DF0DFA">
        <w:rPr>
          <w:rFonts w:ascii="Arial" w:hAnsi="Arial" w:cs="Arial"/>
          <w:sz w:val="20"/>
          <w:szCs w:val="20"/>
        </w:rPr>
        <w:t xml:space="preserve"> V et al. (2008). </w:t>
      </w:r>
      <w:proofErr w:type="gramStart"/>
      <w:r w:rsidRPr="00DF0DFA">
        <w:rPr>
          <w:rFonts w:ascii="Arial" w:hAnsi="Arial" w:cs="Arial"/>
          <w:i/>
          <w:sz w:val="20"/>
          <w:szCs w:val="20"/>
        </w:rPr>
        <w:t>Smoking and colorectal cancer.</w:t>
      </w:r>
      <w:proofErr w:type="gramEnd"/>
      <w:r w:rsidRPr="00DF0DFA">
        <w:rPr>
          <w:rFonts w:ascii="Arial" w:hAnsi="Arial" w:cs="Arial"/>
          <w:sz w:val="20"/>
          <w:szCs w:val="20"/>
        </w:rPr>
        <w:t xml:space="preserve"> </w:t>
      </w:r>
      <w:proofErr w:type="gramStart"/>
      <w:r w:rsidRPr="00DF0DFA">
        <w:rPr>
          <w:rFonts w:ascii="Arial" w:hAnsi="Arial" w:cs="Arial"/>
          <w:sz w:val="20"/>
          <w:szCs w:val="20"/>
        </w:rPr>
        <w:t>J</w:t>
      </w:r>
      <w:r w:rsidRPr="00DF0DFA">
        <w:rPr>
          <w:rStyle w:val="Emphasis"/>
          <w:rFonts w:ascii="Arial" w:hAnsi="Arial" w:cs="Arial"/>
          <w:sz w:val="20"/>
          <w:szCs w:val="20"/>
        </w:rPr>
        <w:t>AMA.</w:t>
      </w:r>
      <w:proofErr w:type="gramEnd"/>
      <w:r w:rsidRPr="00DF0DFA">
        <w:rPr>
          <w:rFonts w:ascii="Arial" w:hAnsi="Arial" w:cs="Arial"/>
          <w:sz w:val="20"/>
          <w:szCs w:val="20"/>
        </w:rPr>
        <w:t>  2008; 300(23</w:t>
      </w:r>
      <w:proofErr w:type="gramStart"/>
      <w:r w:rsidRPr="00DF0DFA">
        <w:rPr>
          <w:rFonts w:ascii="Arial" w:hAnsi="Arial" w:cs="Arial"/>
          <w:sz w:val="20"/>
          <w:szCs w:val="20"/>
        </w:rPr>
        <w:t>) :</w:t>
      </w:r>
      <w:proofErr w:type="gramEnd"/>
      <w:r w:rsidRPr="00DF0DFA">
        <w:rPr>
          <w:rFonts w:ascii="Arial" w:hAnsi="Arial" w:cs="Arial"/>
          <w:sz w:val="20"/>
          <w:szCs w:val="20"/>
        </w:rPr>
        <w:t>2765-2778.</w:t>
      </w:r>
    </w:p>
    <w:p w:rsidR="00E54251" w:rsidRDefault="00E54251" w:rsidP="00C819F2">
      <w:pPr>
        <w:rPr>
          <w:rFonts w:ascii="Arial" w:hAnsi="Arial" w:cs="Arial"/>
          <w:sz w:val="20"/>
          <w:szCs w:val="20"/>
        </w:rPr>
      </w:pPr>
      <w:r w:rsidRPr="00DF0DFA">
        <w:rPr>
          <w:rFonts w:ascii="Arial" w:hAnsi="Arial" w:cs="Arial"/>
          <w:sz w:val="20"/>
          <w:szCs w:val="20"/>
        </w:rPr>
        <w:t xml:space="preserve">Block G, Patterson B, </w:t>
      </w:r>
      <w:proofErr w:type="spellStart"/>
      <w:r w:rsidRPr="00DF0DFA">
        <w:rPr>
          <w:rFonts w:ascii="Arial" w:hAnsi="Arial" w:cs="Arial"/>
          <w:sz w:val="20"/>
          <w:szCs w:val="20"/>
        </w:rPr>
        <w:t>Subar</w:t>
      </w:r>
      <w:proofErr w:type="spellEnd"/>
      <w:r w:rsidRPr="00DF0DFA">
        <w:rPr>
          <w:rFonts w:ascii="Arial" w:hAnsi="Arial" w:cs="Arial"/>
          <w:sz w:val="20"/>
          <w:szCs w:val="20"/>
        </w:rPr>
        <w:t xml:space="preserve"> A (1992). </w:t>
      </w:r>
      <w:r w:rsidRPr="00DF0DFA">
        <w:rPr>
          <w:rFonts w:ascii="Arial" w:hAnsi="Arial" w:cs="Arial"/>
          <w:i/>
          <w:sz w:val="20"/>
          <w:szCs w:val="20"/>
        </w:rPr>
        <w:t>Fruit, vegetables, and cancer prevention: a review of the epidemiological evidence.</w:t>
      </w:r>
      <w:r w:rsidRPr="00DF0DFA">
        <w:rPr>
          <w:rFonts w:ascii="Arial" w:hAnsi="Arial" w:cs="Arial"/>
          <w:sz w:val="20"/>
          <w:szCs w:val="20"/>
        </w:rPr>
        <w:t xml:space="preserve"> </w:t>
      </w:r>
      <w:proofErr w:type="spellStart"/>
      <w:r w:rsidRPr="00DF0DFA">
        <w:rPr>
          <w:rFonts w:ascii="Arial" w:hAnsi="Arial" w:cs="Arial"/>
          <w:sz w:val="20"/>
          <w:szCs w:val="20"/>
        </w:rPr>
        <w:t>Nutr</w:t>
      </w:r>
      <w:proofErr w:type="spellEnd"/>
      <w:r w:rsidRPr="00DF0DFA">
        <w:rPr>
          <w:rFonts w:ascii="Arial" w:hAnsi="Arial" w:cs="Arial"/>
          <w:sz w:val="20"/>
          <w:szCs w:val="20"/>
        </w:rPr>
        <w:t xml:space="preserve"> Cancer 18:1–29.</w:t>
      </w:r>
    </w:p>
    <w:p w:rsidR="00083630" w:rsidRPr="00DD306E" w:rsidRDefault="00083630" w:rsidP="00083630">
      <w:pPr>
        <w:rPr>
          <w:rFonts w:ascii="Arial" w:hAnsi="Arial" w:cs="Arial"/>
          <w:sz w:val="20"/>
          <w:szCs w:val="20"/>
          <w:lang w:val="en-US"/>
        </w:rPr>
      </w:pPr>
      <w:r w:rsidRPr="00DD306E">
        <w:rPr>
          <w:rFonts w:ascii="Arial" w:hAnsi="Arial" w:cs="Arial"/>
          <w:sz w:val="20"/>
          <w:szCs w:val="20"/>
          <w:lang w:val="en-US"/>
        </w:rPr>
        <w:t xml:space="preserve">Brewster DH (2010). </w:t>
      </w:r>
      <w:r w:rsidRPr="00DD306E">
        <w:rPr>
          <w:rFonts w:ascii="Arial" w:hAnsi="Arial" w:cs="Arial"/>
          <w:bCs/>
          <w:i/>
          <w:color w:val="000000"/>
          <w:kern w:val="36"/>
          <w:sz w:val="20"/>
          <w:szCs w:val="20"/>
        </w:rPr>
        <w:t xml:space="preserve">Survival is </w:t>
      </w:r>
      <w:proofErr w:type="spellStart"/>
      <w:r w:rsidRPr="00DD306E">
        <w:rPr>
          <w:rFonts w:ascii="Arial" w:hAnsi="Arial" w:cs="Arial"/>
          <w:bCs/>
          <w:i/>
          <w:color w:val="000000"/>
          <w:kern w:val="36"/>
          <w:sz w:val="20"/>
          <w:szCs w:val="20"/>
        </w:rPr>
        <w:t>multifactorial</w:t>
      </w:r>
      <w:proofErr w:type="spellEnd"/>
      <w:r w:rsidRPr="00DD306E">
        <w:rPr>
          <w:rFonts w:ascii="Arial" w:hAnsi="Arial" w:cs="Arial"/>
          <w:bCs/>
          <w:color w:val="000000"/>
          <w:kern w:val="36"/>
          <w:sz w:val="20"/>
          <w:szCs w:val="20"/>
        </w:rPr>
        <w:t xml:space="preserve">. </w:t>
      </w:r>
      <w:r w:rsidRPr="00DD306E">
        <w:rPr>
          <w:rFonts w:ascii="Arial" w:hAnsi="Arial" w:cs="Arial"/>
          <w:color w:val="333300"/>
          <w:sz w:val="20"/>
          <w:szCs w:val="20"/>
        </w:rPr>
        <w:t xml:space="preserve">BMJ </w:t>
      </w:r>
      <w:r w:rsidRPr="00DD306E">
        <w:rPr>
          <w:rStyle w:val="slug-pop-date"/>
          <w:rFonts w:ascii="Arial" w:hAnsi="Arial" w:cs="Arial"/>
          <w:color w:val="333300"/>
          <w:sz w:val="20"/>
          <w:szCs w:val="20"/>
        </w:rPr>
        <w:t>2010;</w:t>
      </w:r>
      <w:r w:rsidRPr="00DD306E">
        <w:rPr>
          <w:rFonts w:ascii="Arial" w:hAnsi="Arial" w:cs="Arial"/>
          <w:color w:val="333300"/>
          <w:sz w:val="20"/>
          <w:szCs w:val="20"/>
        </w:rPr>
        <w:t xml:space="preserve"> </w:t>
      </w:r>
      <w:r w:rsidRPr="00DD306E">
        <w:rPr>
          <w:rStyle w:val="pop-slug"/>
          <w:rFonts w:ascii="Arial" w:hAnsi="Arial" w:cs="Arial"/>
          <w:color w:val="333300"/>
          <w:sz w:val="20"/>
          <w:szCs w:val="20"/>
        </w:rPr>
        <w:t>341:c5133</w:t>
      </w:r>
    </w:p>
    <w:p w:rsidR="008E7269" w:rsidRPr="00DF0DFA" w:rsidRDefault="008E7269" w:rsidP="00C819F2">
      <w:pPr>
        <w:rPr>
          <w:rFonts w:ascii="Arial" w:hAnsi="Arial" w:cs="Arial"/>
          <w:sz w:val="20"/>
          <w:szCs w:val="20"/>
        </w:rPr>
      </w:pPr>
      <w:proofErr w:type="spellStart"/>
      <w:r w:rsidRPr="00DF0DFA">
        <w:rPr>
          <w:rFonts w:ascii="Arial" w:hAnsi="Arial" w:cs="Arial"/>
          <w:sz w:val="20"/>
          <w:szCs w:val="20"/>
        </w:rPr>
        <w:t>Chaiter</w:t>
      </w:r>
      <w:proofErr w:type="spellEnd"/>
      <w:r w:rsidRPr="00DF0DFA">
        <w:rPr>
          <w:rFonts w:ascii="Arial" w:hAnsi="Arial" w:cs="Arial"/>
          <w:sz w:val="20"/>
          <w:szCs w:val="20"/>
        </w:rPr>
        <w:t xml:space="preserve"> Y, Gruber SB, Ben-</w:t>
      </w:r>
      <w:proofErr w:type="spellStart"/>
      <w:r w:rsidRPr="00DF0DFA">
        <w:rPr>
          <w:rFonts w:ascii="Arial" w:hAnsi="Arial" w:cs="Arial"/>
          <w:sz w:val="20"/>
          <w:szCs w:val="20"/>
        </w:rPr>
        <w:t>Amotz</w:t>
      </w:r>
      <w:proofErr w:type="spellEnd"/>
      <w:r w:rsidRPr="00DF0DFA">
        <w:rPr>
          <w:rFonts w:ascii="Arial" w:hAnsi="Arial" w:cs="Arial"/>
          <w:sz w:val="20"/>
          <w:szCs w:val="20"/>
        </w:rPr>
        <w:t xml:space="preserve"> A et al. (2009). </w:t>
      </w:r>
      <w:r w:rsidRPr="00DF0DFA">
        <w:rPr>
          <w:rStyle w:val="Strong"/>
          <w:rFonts w:ascii="Arial" w:hAnsi="Arial" w:cs="Arial"/>
          <w:b w:val="0"/>
          <w:i/>
          <w:sz w:val="20"/>
          <w:szCs w:val="20"/>
        </w:rPr>
        <w:t xml:space="preserve">Smoking attenuates the negative association between </w:t>
      </w:r>
      <w:proofErr w:type="spellStart"/>
      <w:r w:rsidRPr="00DF0DFA">
        <w:rPr>
          <w:rStyle w:val="Strong"/>
          <w:rFonts w:ascii="Arial" w:hAnsi="Arial" w:cs="Arial"/>
          <w:b w:val="0"/>
          <w:i/>
          <w:sz w:val="20"/>
          <w:szCs w:val="20"/>
        </w:rPr>
        <w:t>carotenoids</w:t>
      </w:r>
      <w:proofErr w:type="spellEnd"/>
      <w:r w:rsidRPr="00DF0DFA">
        <w:rPr>
          <w:rStyle w:val="Strong"/>
          <w:rFonts w:ascii="Arial" w:hAnsi="Arial" w:cs="Arial"/>
          <w:b w:val="0"/>
          <w:i/>
          <w:sz w:val="20"/>
          <w:szCs w:val="20"/>
        </w:rPr>
        <w:t xml:space="preserve"> consumption and colorectal cancer risk.</w:t>
      </w:r>
      <w:r w:rsidRPr="00DF0DFA">
        <w:rPr>
          <w:rStyle w:val="Strong"/>
          <w:rFonts w:ascii="Arial" w:hAnsi="Arial" w:cs="Arial"/>
          <w:sz w:val="20"/>
          <w:szCs w:val="20"/>
        </w:rPr>
        <w:t xml:space="preserve"> </w:t>
      </w:r>
      <w:r w:rsidRPr="00DF0DFA">
        <w:rPr>
          <w:rFonts w:ascii="Arial" w:hAnsi="Arial" w:cs="Arial"/>
          <w:sz w:val="20"/>
          <w:szCs w:val="20"/>
        </w:rPr>
        <w:t>Cancer Causes &amp; Control, Oct 2009, vol</w:t>
      </w:r>
      <w:proofErr w:type="gramStart"/>
      <w:r w:rsidRPr="00DF0DFA">
        <w:rPr>
          <w:rFonts w:ascii="Arial" w:hAnsi="Arial" w:cs="Arial"/>
          <w:sz w:val="20"/>
          <w:szCs w:val="20"/>
        </w:rPr>
        <w:t>./</w:t>
      </w:r>
      <w:proofErr w:type="gramEnd"/>
      <w:r w:rsidRPr="00DF0DFA">
        <w:rPr>
          <w:rFonts w:ascii="Arial" w:hAnsi="Arial" w:cs="Arial"/>
          <w:sz w:val="20"/>
          <w:szCs w:val="20"/>
        </w:rPr>
        <w:t>is. 20/8(1327-38), 0957-5243</w:t>
      </w:r>
      <w:proofErr w:type="gramStart"/>
      <w:r w:rsidRPr="00DF0DFA">
        <w:rPr>
          <w:rFonts w:ascii="Arial" w:hAnsi="Arial" w:cs="Arial"/>
          <w:sz w:val="20"/>
          <w:szCs w:val="20"/>
        </w:rPr>
        <w:t>;1573</w:t>
      </w:r>
      <w:proofErr w:type="gramEnd"/>
      <w:r w:rsidRPr="00DF0DFA">
        <w:rPr>
          <w:rFonts w:ascii="Arial" w:hAnsi="Arial" w:cs="Arial"/>
          <w:sz w:val="20"/>
          <w:szCs w:val="20"/>
        </w:rPr>
        <w:t>-7225 (2009 Oct).</w:t>
      </w:r>
    </w:p>
    <w:p w:rsidR="004A66B6" w:rsidRDefault="004A66B6" w:rsidP="00C819F2">
      <w:pPr>
        <w:rPr>
          <w:rFonts w:ascii="Arial" w:hAnsi="Arial" w:cs="Arial"/>
          <w:sz w:val="20"/>
          <w:szCs w:val="20"/>
        </w:rPr>
      </w:pPr>
      <w:r w:rsidRPr="00DF0DFA">
        <w:rPr>
          <w:rFonts w:ascii="Arial" w:hAnsi="Arial" w:cs="Arial"/>
          <w:sz w:val="20"/>
          <w:szCs w:val="20"/>
        </w:rPr>
        <w:t xml:space="preserve">Cancer Research UK (2010). Accessed 25/06/10, </w:t>
      </w:r>
      <w:hyperlink r:id="rId55" w:history="1">
        <w:r w:rsidR="00DF0DFA" w:rsidRPr="000D5D24">
          <w:rPr>
            <w:rStyle w:val="Hyperlink"/>
            <w:rFonts w:ascii="Arial" w:hAnsi="Arial" w:cs="Arial"/>
            <w:sz w:val="20"/>
            <w:szCs w:val="20"/>
          </w:rPr>
          <w:t>http://www.cancerhelp.org.uk/type/bowel-cancer/about/risks/high-risk-groups-for-bowel-caner</w:t>
        </w:r>
      </w:hyperlink>
    </w:p>
    <w:p w:rsidR="00D604B0" w:rsidRPr="00DF0DFA" w:rsidRDefault="00D604B0" w:rsidP="00C819F2">
      <w:pPr>
        <w:rPr>
          <w:rFonts w:ascii="Arial" w:hAnsi="Arial" w:cs="Arial"/>
          <w:sz w:val="20"/>
          <w:szCs w:val="20"/>
        </w:rPr>
      </w:pPr>
      <w:proofErr w:type="gramStart"/>
      <w:r w:rsidRPr="00DF0DFA">
        <w:rPr>
          <w:rFonts w:ascii="Arial" w:hAnsi="Arial" w:cs="Arial"/>
          <w:sz w:val="20"/>
          <w:szCs w:val="20"/>
        </w:rPr>
        <w:t xml:space="preserve">Chan AT, </w:t>
      </w:r>
      <w:proofErr w:type="spellStart"/>
      <w:r w:rsidRPr="00DF0DFA">
        <w:rPr>
          <w:rFonts w:ascii="Arial" w:hAnsi="Arial" w:cs="Arial"/>
          <w:sz w:val="20"/>
          <w:szCs w:val="20"/>
        </w:rPr>
        <w:t>Giovannucci</w:t>
      </w:r>
      <w:proofErr w:type="spellEnd"/>
      <w:r w:rsidRPr="00DF0DFA">
        <w:rPr>
          <w:rFonts w:ascii="Arial" w:hAnsi="Arial" w:cs="Arial"/>
          <w:sz w:val="20"/>
          <w:szCs w:val="20"/>
        </w:rPr>
        <w:t xml:space="preserve"> EL (2010).</w:t>
      </w:r>
      <w:proofErr w:type="gramEnd"/>
      <w:r w:rsidRPr="00DF0DFA">
        <w:rPr>
          <w:rFonts w:ascii="Arial" w:hAnsi="Arial" w:cs="Arial"/>
          <w:sz w:val="20"/>
          <w:szCs w:val="20"/>
        </w:rPr>
        <w:t xml:space="preserve"> </w:t>
      </w:r>
      <w:proofErr w:type="gramStart"/>
      <w:r w:rsidRPr="00DF0DFA">
        <w:rPr>
          <w:rStyle w:val="Strong"/>
          <w:rFonts w:ascii="Arial" w:hAnsi="Arial" w:cs="Arial"/>
          <w:b w:val="0"/>
          <w:i/>
          <w:sz w:val="20"/>
          <w:szCs w:val="20"/>
        </w:rPr>
        <w:t>Primary prevention of colorectal cancer.</w:t>
      </w:r>
      <w:proofErr w:type="gramEnd"/>
      <w:r w:rsidRPr="00DF0DFA">
        <w:rPr>
          <w:rStyle w:val="Strong"/>
          <w:rFonts w:ascii="Arial" w:hAnsi="Arial" w:cs="Arial"/>
          <w:b w:val="0"/>
          <w:i/>
          <w:sz w:val="20"/>
          <w:szCs w:val="20"/>
        </w:rPr>
        <w:t xml:space="preserve"> </w:t>
      </w:r>
      <w:r w:rsidRPr="00DF0DFA">
        <w:rPr>
          <w:rFonts w:ascii="Arial" w:hAnsi="Arial" w:cs="Arial"/>
          <w:sz w:val="20"/>
          <w:szCs w:val="20"/>
        </w:rPr>
        <w:t>Gastroenterology, Jun 2010, vol</w:t>
      </w:r>
      <w:proofErr w:type="gramStart"/>
      <w:r w:rsidRPr="00DF0DFA">
        <w:rPr>
          <w:rFonts w:ascii="Arial" w:hAnsi="Arial" w:cs="Arial"/>
          <w:sz w:val="20"/>
          <w:szCs w:val="20"/>
        </w:rPr>
        <w:t>./</w:t>
      </w:r>
      <w:proofErr w:type="gramEnd"/>
      <w:r w:rsidRPr="00DF0DFA">
        <w:rPr>
          <w:rFonts w:ascii="Arial" w:hAnsi="Arial" w:cs="Arial"/>
          <w:sz w:val="20"/>
          <w:szCs w:val="20"/>
        </w:rPr>
        <w:t>is. 138/6(2029-2043.e10), 0016-5085</w:t>
      </w:r>
      <w:proofErr w:type="gramStart"/>
      <w:r w:rsidRPr="00DF0DFA">
        <w:rPr>
          <w:rFonts w:ascii="Arial" w:hAnsi="Arial" w:cs="Arial"/>
          <w:sz w:val="20"/>
          <w:szCs w:val="20"/>
        </w:rPr>
        <w:t>;1528</w:t>
      </w:r>
      <w:proofErr w:type="gramEnd"/>
      <w:r w:rsidRPr="00DF0DFA">
        <w:rPr>
          <w:rFonts w:ascii="Arial" w:hAnsi="Arial" w:cs="Arial"/>
          <w:sz w:val="20"/>
          <w:szCs w:val="20"/>
        </w:rPr>
        <w:t>-0012 (2010 Jun).</w:t>
      </w:r>
    </w:p>
    <w:p w:rsidR="00DF7D85" w:rsidRDefault="00DF7D85" w:rsidP="00C819F2">
      <w:pPr>
        <w:rPr>
          <w:rFonts w:ascii="Arial" w:hAnsi="Arial" w:cs="Arial"/>
          <w:sz w:val="20"/>
          <w:szCs w:val="20"/>
        </w:rPr>
      </w:pPr>
      <w:proofErr w:type="gramStart"/>
      <w:r w:rsidRPr="00DF0DFA">
        <w:rPr>
          <w:rFonts w:ascii="Arial" w:hAnsi="Arial" w:cs="Arial"/>
          <w:sz w:val="20"/>
          <w:szCs w:val="20"/>
        </w:rPr>
        <w:t>Cho E, Smith-Warner SA, Ritz J et al. (2004).</w:t>
      </w:r>
      <w:proofErr w:type="gramEnd"/>
      <w:r w:rsidRPr="00DF0DFA">
        <w:rPr>
          <w:rFonts w:ascii="Arial" w:hAnsi="Arial" w:cs="Arial"/>
          <w:sz w:val="20"/>
          <w:szCs w:val="20"/>
        </w:rPr>
        <w:t xml:space="preserve"> </w:t>
      </w:r>
      <w:r w:rsidRPr="00DF0DFA">
        <w:rPr>
          <w:rFonts w:ascii="Arial" w:hAnsi="Arial" w:cs="Arial"/>
          <w:i/>
          <w:sz w:val="20"/>
          <w:szCs w:val="20"/>
        </w:rPr>
        <w:t>Alcohol intake and colorectal cancer: a pooled analysis of 8 cohort studies</w:t>
      </w:r>
      <w:r w:rsidRPr="00DF0DFA">
        <w:rPr>
          <w:rFonts w:ascii="Arial" w:hAnsi="Arial" w:cs="Arial"/>
          <w:sz w:val="20"/>
          <w:szCs w:val="20"/>
        </w:rPr>
        <w:t>. Ann Intern Med 140:603–613.</w:t>
      </w:r>
    </w:p>
    <w:p w:rsidR="00342DB8" w:rsidRPr="006355C1" w:rsidRDefault="00342DB8" w:rsidP="00342DB8">
      <w:pPr>
        <w:spacing w:line="240" w:lineRule="auto"/>
        <w:rPr>
          <w:rFonts w:ascii="Arial" w:hAnsi="Arial" w:cs="Arial"/>
          <w:sz w:val="20"/>
          <w:szCs w:val="20"/>
        </w:rPr>
      </w:pPr>
      <w:r w:rsidRPr="006355C1">
        <w:rPr>
          <w:rFonts w:ascii="Arial" w:hAnsi="Arial" w:cs="Arial"/>
          <w:sz w:val="20"/>
          <w:szCs w:val="20"/>
        </w:rPr>
        <w:t xml:space="preserve">Crawford SM (2010). </w:t>
      </w:r>
      <w:r w:rsidRPr="00183B6C">
        <w:rPr>
          <w:rFonts w:ascii="Arial" w:hAnsi="Arial" w:cs="Arial"/>
          <w:bCs/>
          <w:i/>
          <w:color w:val="333333"/>
          <w:sz w:val="20"/>
          <w:szCs w:val="27"/>
        </w:rPr>
        <w:t>UK cancer survival statistics reflect clinical realities in the NHS</w:t>
      </w:r>
      <w:r w:rsidRPr="006355C1">
        <w:rPr>
          <w:rFonts w:ascii="Arial" w:hAnsi="Arial" w:cs="Arial"/>
          <w:bCs/>
          <w:color w:val="000000"/>
          <w:kern w:val="36"/>
          <w:sz w:val="20"/>
          <w:szCs w:val="20"/>
        </w:rPr>
        <w:t xml:space="preserve">. </w:t>
      </w:r>
      <w:r w:rsidRPr="006355C1">
        <w:rPr>
          <w:rFonts w:ascii="Arial" w:hAnsi="Arial" w:cs="Arial"/>
          <w:color w:val="333300"/>
          <w:sz w:val="20"/>
          <w:szCs w:val="20"/>
        </w:rPr>
        <w:t xml:space="preserve">BMJ </w:t>
      </w:r>
      <w:r w:rsidRPr="006355C1">
        <w:rPr>
          <w:rStyle w:val="slug-pop-date"/>
          <w:rFonts w:ascii="Arial" w:hAnsi="Arial" w:cs="Arial"/>
          <w:color w:val="333300"/>
          <w:sz w:val="20"/>
          <w:szCs w:val="20"/>
        </w:rPr>
        <w:t>2010;</w:t>
      </w:r>
      <w:r w:rsidRPr="006355C1">
        <w:rPr>
          <w:rFonts w:ascii="Arial" w:hAnsi="Arial" w:cs="Arial"/>
          <w:color w:val="333300"/>
          <w:sz w:val="20"/>
          <w:szCs w:val="20"/>
        </w:rPr>
        <w:t xml:space="preserve"> </w:t>
      </w:r>
      <w:r w:rsidRPr="006355C1">
        <w:rPr>
          <w:rStyle w:val="pop-slug"/>
          <w:rFonts w:ascii="Arial" w:hAnsi="Arial" w:cs="Arial"/>
          <w:color w:val="333300"/>
          <w:sz w:val="20"/>
          <w:szCs w:val="20"/>
        </w:rPr>
        <w:t>341:c5134.</w:t>
      </w:r>
    </w:p>
    <w:p w:rsidR="007174C0" w:rsidRPr="00DF0DFA" w:rsidRDefault="007174C0" w:rsidP="00C819F2">
      <w:pPr>
        <w:rPr>
          <w:rFonts w:ascii="Arial" w:hAnsi="Arial" w:cs="Arial"/>
          <w:sz w:val="20"/>
          <w:szCs w:val="20"/>
        </w:rPr>
      </w:pPr>
      <w:r w:rsidRPr="00DF0DFA">
        <w:rPr>
          <w:rFonts w:ascii="Arial" w:hAnsi="Arial" w:cs="Arial"/>
          <w:sz w:val="20"/>
          <w:szCs w:val="20"/>
        </w:rPr>
        <w:t xml:space="preserve">Cross AJ, </w:t>
      </w:r>
      <w:proofErr w:type="spellStart"/>
      <w:r w:rsidRPr="00DF0DFA">
        <w:rPr>
          <w:rFonts w:ascii="Arial" w:hAnsi="Arial" w:cs="Arial"/>
          <w:sz w:val="20"/>
          <w:szCs w:val="20"/>
        </w:rPr>
        <w:t>Ferrucci</w:t>
      </w:r>
      <w:proofErr w:type="spellEnd"/>
      <w:r w:rsidRPr="00DF0DFA">
        <w:rPr>
          <w:rFonts w:ascii="Arial" w:hAnsi="Arial" w:cs="Arial"/>
          <w:sz w:val="20"/>
          <w:szCs w:val="20"/>
        </w:rPr>
        <w:t xml:space="preserve"> LM, </w:t>
      </w:r>
      <w:proofErr w:type="spellStart"/>
      <w:r w:rsidRPr="00DF0DFA">
        <w:rPr>
          <w:rFonts w:ascii="Arial" w:hAnsi="Arial" w:cs="Arial"/>
          <w:sz w:val="20"/>
          <w:szCs w:val="20"/>
        </w:rPr>
        <w:t>Risch</w:t>
      </w:r>
      <w:proofErr w:type="spellEnd"/>
      <w:r w:rsidRPr="00DF0DFA">
        <w:rPr>
          <w:rFonts w:ascii="Arial" w:hAnsi="Arial" w:cs="Arial"/>
          <w:sz w:val="20"/>
          <w:szCs w:val="20"/>
        </w:rPr>
        <w:t xml:space="preserve"> A et al. (2010). </w:t>
      </w:r>
      <w:r w:rsidRPr="00DF0DFA">
        <w:rPr>
          <w:rStyle w:val="Strong"/>
          <w:rFonts w:ascii="Arial" w:hAnsi="Arial" w:cs="Arial"/>
          <w:b w:val="0"/>
          <w:i/>
          <w:sz w:val="20"/>
          <w:szCs w:val="20"/>
        </w:rPr>
        <w:t>A large prospective study of meat consumption and colorectal cancer risk: an investigation of potential mechanisms underlying this association.</w:t>
      </w:r>
      <w:r w:rsidRPr="00DF0DFA">
        <w:rPr>
          <w:rStyle w:val="Strong"/>
          <w:rFonts w:ascii="Arial" w:hAnsi="Arial" w:cs="Arial"/>
          <w:sz w:val="20"/>
          <w:szCs w:val="20"/>
        </w:rPr>
        <w:t xml:space="preserve"> </w:t>
      </w:r>
      <w:r w:rsidRPr="00DF0DFA">
        <w:rPr>
          <w:rFonts w:ascii="Arial" w:hAnsi="Arial" w:cs="Arial"/>
          <w:sz w:val="20"/>
          <w:szCs w:val="20"/>
        </w:rPr>
        <w:t>Cancer Research, Mar 2010, vol</w:t>
      </w:r>
      <w:proofErr w:type="gramStart"/>
      <w:r w:rsidRPr="00DF0DFA">
        <w:rPr>
          <w:rFonts w:ascii="Arial" w:hAnsi="Arial" w:cs="Arial"/>
          <w:sz w:val="20"/>
          <w:szCs w:val="20"/>
        </w:rPr>
        <w:t>./</w:t>
      </w:r>
      <w:proofErr w:type="gramEnd"/>
      <w:r w:rsidRPr="00DF0DFA">
        <w:rPr>
          <w:rFonts w:ascii="Arial" w:hAnsi="Arial" w:cs="Arial"/>
          <w:sz w:val="20"/>
          <w:szCs w:val="20"/>
        </w:rPr>
        <w:t>is. 70/6(2406-14), 0008-5472</w:t>
      </w:r>
      <w:proofErr w:type="gramStart"/>
      <w:r w:rsidRPr="00DF0DFA">
        <w:rPr>
          <w:rFonts w:ascii="Arial" w:hAnsi="Arial" w:cs="Arial"/>
          <w:sz w:val="20"/>
          <w:szCs w:val="20"/>
        </w:rPr>
        <w:t>;1538</w:t>
      </w:r>
      <w:proofErr w:type="gramEnd"/>
      <w:r w:rsidRPr="00DF0DFA">
        <w:rPr>
          <w:rFonts w:ascii="Arial" w:hAnsi="Arial" w:cs="Arial"/>
          <w:sz w:val="20"/>
          <w:szCs w:val="20"/>
        </w:rPr>
        <w:t>-7445 (2010 Mar 15).</w:t>
      </w:r>
    </w:p>
    <w:p w:rsidR="00DB3270" w:rsidRPr="00DF0DFA" w:rsidRDefault="00DB3270" w:rsidP="00C819F2">
      <w:pPr>
        <w:rPr>
          <w:rFonts w:ascii="Arial" w:hAnsi="Arial" w:cs="Arial"/>
          <w:sz w:val="20"/>
          <w:szCs w:val="20"/>
        </w:rPr>
      </w:pPr>
      <w:r w:rsidRPr="00DF0DFA">
        <w:rPr>
          <w:rFonts w:ascii="Arial" w:hAnsi="Arial" w:cs="Arial"/>
          <w:sz w:val="20"/>
          <w:szCs w:val="20"/>
        </w:rPr>
        <w:t xml:space="preserve">Cummins S, Smith DM, Taylor M et al. (2009). </w:t>
      </w:r>
      <w:proofErr w:type="gramStart"/>
      <w:r w:rsidRPr="00DF0DFA">
        <w:rPr>
          <w:rStyle w:val="Strong"/>
          <w:rFonts w:ascii="Arial" w:hAnsi="Arial" w:cs="Arial"/>
          <w:b w:val="0"/>
          <w:i/>
          <w:sz w:val="20"/>
          <w:szCs w:val="20"/>
        </w:rPr>
        <w:t>Variations in fresh fruit and vegetable quality by store type, urban-rural setting and neighbourhood deprivation in Scotland.</w:t>
      </w:r>
      <w:proofErr w:type="gramEnd"/>
      <w:r w:rsidRPr="00DF0DFA">
        <w:rPr>
          <w:rStyle w:val="Strong"/>
          <w:rFonts w:ascii="Arial" w:hAnsi="Arial" w:cs="Arial"/>
          <w:sz w:val="20"/>
          <w:szCs w:val="20"/>
        </w:rPr>
        <w:t xml:space="preserve"> </w:t>
      </w:r>
      <w:r w:rsidRPr="00DF0DFA">
        <w:rPr>
          <w:rFonts w:ascii="Arial" w:hAnsi="Arial" w:cs="Arial"/>
          <w:sz w:val="20"/>
          <w:szCs w:val="20"/>
        </w:rPr>
        <w:t>Public health nutrition, November 2009, vol</w:t>
      </w:r>
      <w:proofErr w:type="gramStart"/>
      <w:r w:rsidRPr="00DF0DFA">
        <w:rPr>
          <w:rFonts w:ascii="Arial" w:hAnsi="Arial" w:cs="Arial"/>
          <w:sz w:val="20"/>
          <w:szCs w:val="20"/>
        </w:rPr>
        <w:t>./</w:t>
      </w:r>
      <w:proofErr w:type="gramEnd"/>
      <w:r w:rsidRPr="00DF0DFA">
        <w:rPr>
          <w:rFonts w:ascii="Arial" w:hAnsi="Arial" w:cs="Arial"/>
          <w:sz w:val="20"/>
          <w:szCs w:val="20"/>
        </w:rPr>
        <w:t xml:space="preserve">is. </w:t>
      </w:r>
      <w:proofErr w:type="gramStart"/>
      <w:r w:rsidRPr="00DF0DFA">
        <w:rPr>
          <w:rFonts w:ascii="Arial" w:hAnsi="Arial" w:cs="Arial"/>
          <w:sz w:val="20"/>
          <w:szCs w:val="20"/>
        </w:rPr>
        <w:t>12/11(2044-50), 1475-2727.</w:t>
      </w:r>
      <w:proofErr w:type="gramEnd"/>
    </w:p>
    <w:p w:rsidR="00B20372" w:rsidRPr="00DF0DFA" w:rsidRDefault="00B20372" w:rsidP="00C819F2">
      <w:pPr>
        <w:rPr>
          <w:rFonts w:ascii="Arial" w:hAnsi="Arial" w:cs="Arial"/>
          <w:sz w:val="20"/>
          <w:szCs w:val="20"/>
        </w:rPr>
      </w:pPr>
      <w:proofErr w:type="gramStart"/>
      <w:r w:rsidRPr="00DF0DFA">
        <w:rPr>
          <w:rFonts w:ascii="Arial" w:hAnsi="Arial" w:cs="Arial"/>
          <w:sz w:val="20"/>
          <w:szCs w:val="20"/>
        </w:rPr>
        <w:t>Department of Health (1998).</w:t>
      </w:r>
      <w:proofErr w:type="gramEnd"/>
      <w:r w:rsidRPr="00DF0DFA">
        <w:rPr>
          <w:rFonts w:ascii="Arial" w:hAnsi="Arial" w:cs="Arial"/>
          <w:sz w:val="20"/>
          <w:szCs w:val="20"/>
        </w:rPr>
        <w:t xml:space="preserve"> </w:t>
      </w:r>
      <w:proofErr w:type="gramStart"/>
      <w:r w:rsidRPr="00DF0DFA">
        <w:rPr>
          <w:rFonts w:ascii="Arial" w:hAnsi="Arial" w:cs="Arial"/>
          <w:i/>
          <w:sz w:val="20"/>
          <w:szCs w:val="20"/>
        </w:rPr>
        <w:t>Nutritional Aspects of the Development of Cancer.</w:t>
      </w:r>
      <w:proofErr w:type="gramEnd"/>
      <w:r w:rsidRPr="00DF0DFA">
        <w:rPr>
          <w:rFonts w:ascii="Arial" w:hAnsi="Arial" w:cs="Arial"/>
          <w:i/>
          <w:sz w:val="20"/>
          <w:szCs w:val="20"/>
        </w:rPr>
        <w:t xml:space="preserve"> </w:t>
      </w:r>
      <w:proofErr w:type="gramStart"/>
      <w:r w:rsidRPr="00DF0DFA">
        <w:rPr>
          <w:rFonts w:ascii="Arial" w:hAnsi="Arial" w:cs="Arial"/>
          <w:i/>
          <w:sz w:val="20"/>
          <w:szCs w:val="20"/>
        </w:rPr>
        <w:t>Report of the Working Group on Diet and Cancer.</w:t>
      </w:r>
      <w:proofErr w:type="gramEnd"/>
      <w:r w:rsidRPr="00DF0DFA">
        <w:rPr>
          <w:rFonts w:ascii="Arial" w:hAnsi="Arial" w:cs="Arial"/>
          <w:i/>
          <w:sz w:val="20"/>
          <w:szCs w:val="20"/>
        </w:rPr>
        <w:t xml:space="preserve"> </w:t>
      </w:r>
      <w:proofErr w:type="gramStart"/>
      <w:r w:rsidRPr="00DF0DFA">
        <w:rPr>
          <w:rFonts w:ascii="Arial" w:hAnsi="Arial" w:cs="Arial"/>
          <w:sz w:val="20"/>
          <w:szCs w:val="20"/>
        </w:rPr>
        <w:t>Committee on Medical Aspects of Food Nutrition Policy.</w:t>
      </w:r>
      <w:proofErr w:type="gramEnd"/>
      <w:r w:rsidRPr="00DF0DFA">
        <w:rPr>
          <w:rFonts w:ascii="Arial" w:hAnsi="Arial" w:cs="Arial"/>
          <w:sz w:val="20"/>
          <w:szCs w:val="20"/>
        </w:rPr>
        <w:t xml:space="preserve"> </w:t>
      </w:r>
      <w:proofErr w:type="gramStart"/>
      <w:r w:rsidRPr="00DF0DFA">
        <w:rPr>
          <w:rFonts w:ascii="Arial" w:hAnsi="Arial" w:cs="Arial"/>
          <w:sz w:val="20"/>
          <w:szCs w:val="20"/>
        </w:rPr>
        <w:t>HMSO.</w:t>
      </w:r>
      <w:proofErr w:type="gramEnd"/>
    </w:p>
    <w:p w:rsidR="00B24BF0" w:rsidRPr="00DF0DFA" w:rsidRDefault="00B24BF0" w:rsidP="00B24BF0">
      <w:pPr>
        <w:autoSpaceDE w:val="0"/>
        <w:autoSpaceDN w:val="0"/>
        <w:adjustRightInd w:val="0"/>
        <w:spacing w:line="240" w:lineRule="auto"/>
        <w:rPr>
          <w:rFonts w:ascii="Arial" w:hAnsi="Arial" w:cs="Arial"/>
          <w:sz w:val="20"/>
          <w:szCs w:val="20"/>
        </w:rPr>
      </w:pPr>
      <w:proofErr w:type="gramStart"/>
      <w:r w:rsidRPr="00DF0DFA">
        <w:rPr>
          <w:rFonts w:ascii="Arial" w:hAnsi="Arial" w:cs="Arial"/>
          <w:sz w:val="20"/>
          <w:szCs w:val="20"/>
        </w:rPr>
        <w:t>Department of Health (2007).</w:t>
      </w:r>
      <w:proofErr w:type="gramEnd"/>
      <w:r w:rsidRPr="00DF0DFA">
        <w:rPr>
          <w:rFonts w:ascii="Arial" w:hAnsi="Arial" w:cs="Arial"/>
          <w:sz w:val="20"/>
          <w:szCs w:val="20"/>
        </w:rPr>
        <w:t xml:space="preserve"> </w:t>
      </w:r>
      <w:proofErr w:type="gramStart"/>
      <w:r w:rsidRPr="00DF0DFA">
        <w:rPr>
          <w:rFonts w:ascii="Arial" w:hAnsi="Arial" w:cs="Arial"/>
          <w:i/>
          <w:sz w:val="20"/>
          <w:szCs w:val="20"/>
        </w:rPr>
        <w:t>Cancer reform strategy.</w:t>
      </w:r>
      <w:proofErr w:type="gramEnd"/>
      <w:r w:rsidRPr="00DF0DFA">
        <w:rPr>
          <w:rFonts w:ascii="Arial" w:hAnsi="Arial" w:cs="Arial"/>
          <w:sz w:val="20"/>
          <w:szCs w:val="20"/>
        </w:rPr>
        <w:t xml:space="preserve"> London: Department of Health.</w:t>
      </w:r>
    </w:p>
    <w:p w:rsidR="00C97455" w:rsidRPr="00DF0DFA" w:rsidRDefault="00C97455" w:rsidP="00B24BF0">
      <w:pPr>
        <w:autoSpaceDE w:val="0"/>
        <w:autoSpaceDN w:val="0"/>
        <w:adjustRightInd w:val="0"/>
        <w:spacing w:line="240" w:lineRule="auto"/>
        <w:rPr>
          <w:rFonts w:ascii="Arial" w:hAnsi="Arial" w:cs="Arial"/>
          <w:sz w:val="20"/>
          <w:szCs w:val="20"/>
        </w:rPr>
      </w:pPr>
      <w:proofErr w:type="gramStart"/>
      <w:r w:rsidRPr="00DF0DFA">
        <w:rPr>
          <w:rFonts w:ascii="Arial" w:hAnsi="Arial" w:cs="Arial"/>
          <w:sz w:val="20"/>
          <w:szCs w:val="20"/>
        </w:rPr>
        <w:t>Department of Health (2009).</w:t>
      </w:r>
      <w:proofErr w:type="gramEnd"/>
      <w:r w:rsidRPr="00DF0DFA">
        <w:rPr>
          <w:rFonts w:ascii="Arial" w:hAnsi="Arial" w:cs="Arial"/>
          <w:sz w:val="20"/>
          <w:szCs w:val="20"/>
        </w:rPr>
        <w:t xml:space="preserve"> </w:t>
      </w:r>
      <w:proofErr w:type="gramStart"/>
      <w:r w:rsidRPr="00DF0DFA">
        <w:rPr>
          <w:rFonts w:ascii="Arial" w:hAnsi="Arial" w:cs="Arial"/>
          <w:i/>
          <w:sz w:val="20"/>
          <w:szCs w:val="20"/>
        </w:rPr>
        <w:t>Cancer Reform Strategy – Achieving local implementation second annual report.</w:t>
      </w:r>
      <w:proofErr w:type="gramEnd"/>
      <w:r w:rsidRPr="00DF0DFA">
        <w:rPr>
          <w:rFonts w:ascii="Arial" w:hAnsi="Arial" w:cs="Arial"/>
          <w:sz w:val="20"/>
          <w:szCs w:val="20"/>
        </w:rPr>
        <w:t xml:space="preserve"> London: Department of Health.</w:t>
      </w:r>
    </w:p>
    <w:p w:rsidR="00DF7D85" w:rsidRPr="00DF0DFA" w:rsidRDefault="00DF7D85" w:rsidP="00EA4D5D">
      <w:pPr>
        <w:shd w:val="clear" w:color="auto" w:fill="FFFFFF"/>
        <w:spacing w:line="240" w:lineRule="auto"/>
        <w:jc w:val="both"/>
        <w:rPr>
          <w:rFonts w:ascii="Arial" w:eastAsia="Times New Roman" w:hAnsi="Arial" w:cs="Arial"/>
          <w:iCs/>
          <w:sz w:val="20"/>
          <w:szCs w:val="20"/>
          <w:lang w:eastAsia="en-GB"/>
        </w:rPr>
      </w:pPr>
      <w:r w:rsidRPr="00DF0DFA">
        <w:rPr>
          <w:rFonts w:ascii="Arial" w:hAnsi="Arial" w:cs="Arial"/>
          <w:sz w:val="20"/>
          <w:szCs w:val="20"/>
        </w:rPr>
        <w:t xml:space="preserve">Ferrari P, </w:t>
      </w:r>
      <w:proofErr w:type="spellStart"/>
      <w:r w:rsidRPr="00DF0DFA">
        <w:rPr>
          <w:rFonts w:ascii="Arial" w:hAnsi="Arial" w:cs="Arial"/>
          <w:sz w:val="20"/>
          <w:szCs w:val="20"/>
        </w:rPr>
        <w:t>Jenab</w:t>
      </w:r>
      <w:proofErr w:type="spellEnd"/>
      <w:r w:rsidRPr="00DF0DFA">
        <w:rPr>
          <w:rFonts w:ascii="Arial" w:hAnsi="Arial" w:cs="Arial"/>
          <w:sz w:val="20"/>
          <w:szCs w:val="20"/>
        </w:rPr>
        <w:t xml:space="preserve"> M, </w:t>
      </w:r>
      <w:proofErr w:type="spellStart"/>
      <w:r w:rsidRPr="00DF0DFA">
        <w:rPr>
          <w:rFonts w:ascii="Arial" w:hAnsi="Arial" w:cs="Arial"/>
          <w:sz w:val="20"/>
          <w:szCs w:val="20"/>
        </w:rPr>
        <w:t>Norat</w:t>
      </w:r>
      <w:proofErr w:type="spellEnd"/>
      <w:r w:rsidRPr="00DF0DFA">
        <w:rPr>
          <w:rFonts w:ascii="Arial" w:hAnsi="Arial" w:cs="Arial"/>
          <w:sz w:val="20"/>
          <w:szCs w:val="20"/>
        </w:rPr>
        <w:t xml:space="preserve"> T et al. (2007). </w:t>
      </w:r>
      <w:proofErr w:type="gramStart"/>
      <w:r w:rsidRPr="00DF0DFA">
        <w:rPr>
          <w:rFonts w:ascii="Arial" w:hAnsi="Arial" w:cs="Arial"/>
          <w:i/>
          <w:sz w:val="20"/>
          <w:szCs w:val="20"/>
        </w:rPr>
        <w:t>Lifetime and baseline alcohol intake and risk of colon and rectal cancers in the European Prospective Investigation into Cancer and Nutrition (EPIC).</w:t>
      </w:r>
      <w:proofErr w:type="gramEnd"/>
      <w:r w:rsidRPr="00DF0DFA">
        <w:rPr>
          <w:rFonts w:ascii="Arial" w:hAnsi="Arial" w:cs="Arial"/>
          <w:i/>
          <w:sz w:val="20"/>
          <w:szCs w:val="20"/>
        </w:rPr>
        <w:t xml:space="preserve"> </w:t>
      </w:r>
      <w:proofErr w:type="spellStart"/>
      <w:r w:rsidRPr="00DF0DFA">
        <w:rPr>
          <w:rFonts w:ascii="Arial" w:hAnsi="Arial" w:cs="Arial"/>
          <w:sz w:val="20"/>
          <w:szCs w:val="20"/>
        </w:rPr>
        <w:t>Int</w:t>
      </w:r>
      <w:proofErr w:type="spellEnd"/>
      <w:r w:rsidRPr="00DF0DFA">
        <w:rPr>
          <w:rFonts w:ascii="Arial" w:hAnsi="Arial" w:cs="Arial"/>
          <w:sz w:val="20"/>
          <w:szCs w:val="20"/>
        </w:rPr>
        <w:t xml:space="preserve"> J Cancer 121:2065–2072.</w:t>
      </w:r>
    </w:p>
    <w:p w:rsidR="002D256A" w:rsidRPr="00DF0DFA" w:rsidRDefault="002D256A" w:rsidP="002D256A">
      <w:pPr>
        <w:pStyle w:val="Default"/>
        <w:spacing w:after="240"/>
        <w:rPr>
          <w:bCs/>
          <w:color w:val="auto"/>
          <w:sz w:val="20"/>
          <w:szCs w:val="20"/>
        </w:rPr>
      </w:pPr>
      <w:proofErr w:type="gramStart"/>
      <w:r w:rsidRPr="00DF0DFA">
        <w:rPr>
          <w:rFonts w:eastAsia="Times New Roman"/>
          <w:iCs/>
          <w:color w:val="auto"/>
          <w:sz w:val="20"/>
          <w:szCs w:val="20"/>
          <w:lang w:eastAsia="en-GB"/>
        </w:rPr>
        <w:t>Foods standards Agency (2010).</w:t>
      </w:r>
      <w:proofErr w:type="gramEnd"/>
      <w:r w:rsidRPr="00DF0DFA">
        <w:rPr>
          <w:rFonts w:eastAsia="Times New Roman"/>
          <w:iCs/>
          <w:color w:val="auto"/>
          <w:sz w:val="20"/>
          <w:szCs w:val="20"/>
          <w:lang w:eastAsia="en-GB"/>
        </w:rPr>
        <w:t xml:space="preserve"> </w:t>
      </w:r>
      <w:r w:rsidRPr="00DF0DFA">
        <w:rPr>
          <w:bCs/>
          <w:color w:val="auto"/>
          <w:sz w:val="20"/>
          <w:szCs w:val="20"/>
        </w:rPr>
        <w:t xml:space="preserve">National Diet and Nutrition Survey - Headline results from Year 1 of the Rolling Programme (2008/2009). Edited by: Beverley Bates, Alison Lennox, </w:t>
      </w:r>
      <w:proofErr w:type="gramStart"/>
      <w:r w:rsidRPr="00DF0DFA">
        <w:rPr>
          <w:bCs/>
          <w:color w:val="auto"/>
          <w:sz w:val="20"/>
          <w:szCs w:val="20"/>
        </w:rPr>
        <w:t>Gillian</w:t>
      </w:r>
      <w:proofErr w:type="gramEnd"/>
      <w:r w:rsidRPr="00DF0DFA">
        <w:rPr>
          <w:bCs/>
          <w:color w:val="auto"/>
          <w:sz w:val="20"/>
          <w:szCs w:val="20"/>
        </w:rPr>
        <w:t xml:space="preserve"> Swan.</w:t>
      </w:r>
    </w:p>
    <w:p w:rsidR="00F71FCD" w:rsidRPr="00DF0DFA" w:rsidRDefault="00F71FCD" w:rsidP="00F71FCD">
      <w:pPr>
        <w:pStyle w:val="Default"/>
        <w:spacing w:after="240"/>
        <w:rPr>
          <w:color w:val="auto"/>
          <w:sz w:val="20"/>
          <w:szCs w:val="20"/>
        </w:rPr>
      </w:pPr>
      <w:proofErr w:type="spellStart"/>
      <w:r w:rsidRPr="00DF0DFA">
        <w:rPr>
          <w:color w:val="auto"/>
          <w:sz w:val="20"/>
          <w:szCs w:val="20"/>
        </w:rPr>
        <w:t>Friedenreich</w:t>
      </w:r>
      <w:proofErr w:type="spellEnd"/>
      <w:r w:rsidRPr="00DF0DFA">
        <w:rPr>
          <w:color w:val="auto"/>
          <w:sz w:val="20"/>
          <w:szCs w:val="20"/>
        </w:rPr>
        <w:t xml:space="preserve"> C, </w:t>
      </w:r>
      <w:proofErr w:type="spellStart"/>
      <w:r w:rsidRPr="00DF0DFA">
        <w:rPr>
          <w:color w:val="auto"/>
          <w:sz w:val="20"/>
          <w:szCs w:val="20"/>
        </w:rPr>
        <w:t>Norat</w:t>
      </w:r>
      <w:proofErr w:type="spellEnd"/>
      <w:r w:rsidRPr="00DF0DFA">
        <w:rPr>
          <w:color w:val="auto"/>
          <w:sz w:val="20"/>
          <w:szCs w:val="20"/>
        </w:rPr>
        <w:t xml:space="preserve"> T, </w:t>
      </w:r>
      <w:proofErr w:type="spellStart"/>
      <w:r w:rsidRPr="00DF0DFA">
        <w:rPr>
          <w:color w:val="auto"/>
          <w:sz w:val="20"/>
          <w:szCs w:val="20"/>
        </w:rPr>
        <w:t>Steindorf</w:t>
      </w:r>
      <w:proofErr w:type="spellEnd"/>
      <w:r w:rsidRPr="00DF0DFA">
        <w:rPr>
          <w:color w:val="auto"/>
          <w:sz w:val="20"/>
          <w:szCs w:val="20"/>
        </w:rPr>
        <w:t xml:space="preserve"> K, </w:t>
      </w:r>
      <w:proofErr w:type="spellStart"/>
      <w:r w:rsidRPr="00DF0DFA">
        <w:rPr>
          <w:color w:val="auto"/>
          <w:sz w:val="20"/>
          <w:szCs w:val="20"/>
        </w:rPr>
        <w:t>Boutron-Ruault</w:t>
      </w:r>
      <w:proofErr w:type="spellEnd"/>
      <w:r w:rsidRPr="00DF0DFA">
        <w:rPr>
          <w:color w:val="auto"/>
          <w:sz w:val="20"/>
          <w:szCs w:val="20"/>
        </w:rPr>
        <w:t xml:space="preserve"> MC, </w:t>
      </w:r>
      <w:proofErr w:type="spellStart"/>
      <w:r w:rsidRPr="00DF0DFA">
        <w:rPr>
          <w:color w:val="auto"/>
          <w:sz w:val="20"/>
          <w:szCs w:val="20"/>
        </w:rPr>
        <w:t>Pischon</w:t>
      </w:r>
      <w:proofErr w:type="spellEnd"/>
      <w:r w:rsidRPr="00DF0DFA">
        <w:rPr>
          <w:color w:val="auto"/>
          <w:sz w:val="20"/>
          <w:szCs w:val="20"/>
        </w:rPr>
        <w:t xml:space="preserve"> T, </w:t>
      </w:r>
      <w:proofErr w:type="spellStart"/>
      <w:r w:rsidRPr="00DF0DFA">
        <w:rPr>
          <w:color w:val="auto"/>
          <w:sz w:val="20"/>
          <w:szCs w:val="20"/>
        </w:rPr>
        <w:t>Mazuir</w:t>
      </w:r>
      <w:proofErr w:type="spellEnd"/>
      <w:r w:rsidRPr="00DF0DFA">
        <w:rPr>
          <w:color w:val="auto"/>
          <w:sz w:val="20"/>
          <w:szCs w:val="20"/>
        </w:rPr>
        <w:t xml:space="preserve"> M, et al. 2006. </w:t>
      </w:r>
      <w:r w:rsidRPr="00DF0DFA">
        <w:rPr>
          <w:i/>
          <w:color w:val="auto"/>
          <w:sz w:val="20"/>
          <w:szCs w:val="20"/>
        </w:rPr>
        <w:t>Physical activity and risk of colon and rectal cancers: the European prospective investigation into cancer and nutrition.</w:t>
      </w:r>
      <w:r w:rsidRPr="00DF0DFA">
        <w:rPr>
          <w:color w:val="auto"/>
          <w:sz w:val="20"/>
          <w:szCs w:val="20"/>
        </w:rPr>
        <w:t xml:space="preserve"> Cancer </w:t>
      </w:r>
      <w:proofErr w:type="spellStart"/>
      <w:r w:rsidRPr="00DF0DFA">
        <w:rPr>
          <w:color w:val="auto"/>
          <w:sz w:val="20"/>
          <w:szCs w:val="20"/>
        </w:rPr>
        <w:t>Epidemiol</w:t>
      </w:r>
      <w:proofErr w:type="spellEnd"/>
      <w:r w:rsidRPr="00DF0DFA">
        <w:rPr>
          <w:color w:val="auto"/>
          <w:sz w:val="20"/>
          <w:szCs w:val="20"/>
        </w:rPr>
        <w:t xml:space="preserve"> Biomarkers </w:t>
      </w:r>
      <w:proofErr w:type="spellStart"/>
      <w:r w:rsidRPr="00DF0DFA">
        <w:rPr>
          <w:color w:val="auto"/>
          <w:sz w:val="20"/>
          <w:szCs w:val="20"/>
        </w:rPr>
        <w:t>Prev</w:t>
      </w:r>
      <w:proofErr w:type="spellEnd"/>
      <w:r w:rsidRPr="00DF0DFA">
        <w:rPr>
          <w:color w:val="auto"/>
          <w:sz w:val="20"/>
          <w:szCs w:val="20"/>
        </w:rPr>
        <w:t xml:space="preserve"> 15:2398–2407.</w:t>
      </w:r>
    </w:p>
    <w:p w:rsidR="00E24146" w:rsidRPr="00DF0DFA" w:rsidRDefault="00E24146" w:rsidP="00F71FCD">
      <w:pPr>
        <w:pStyle w:val="Default"/>
        <w:spacing w:after="240"/>
        <w:rPr>
          <w:color w:val="auto"/>
          <w:sz w:val="20"/>
          <w:szCs w:val="20"/>
        </w:rPr>
      </w:pPr>
      <w:proofErr w:type="spellStart"/>
      <w:r w:rsidRPr="00DF0DFA">
        <w:rPr>
          <w:color w:val="auto"/>
          <w:sz w:val="20"/>
          <w:szCs w:val="20"/>
        </w:rPr>
        <w:t>Grulich</w:t>
      </w:r>
      <w:proofErr w:type="spellEnd"/>
      <w:r w:rsidRPr="00DF0DFA">
        <w:rPr>
          <w:color w:val="auto"/>
          <w:sz w:val="20"/>
          <w:szCs w:val="20"/>
        </w:rPr>
        <w:t xml:space="preserve"> AE, </w:t>
      </w:r>
      <w:proofErr w:type="spellStart"/>
      <w:r w:rsidRPr="00DF0DFA">
        <w:rPr>
          <w:color w:val="auto"/>
          <w:sz w:val="20"/>
          <w:szCs w:val="20"/>
        </w:rPr>
        <w:t>Swerdlow</w:t>
      </w:r>
      <w:proofErr w:type="spellEnd"/>
      <w:r w:rsidRPr="00DF0DFA">
        <w:rPr>
          <w:color w:val="auto"/>
          <w:sz w:val="20"/>
          <w:szCs w:val="20"/>
        </w:rPr>
        <w:t xml:space="preserve"> AJ, Head J et al. (1992). </w:t>
      </w:r>
      <w:r w:rsidRPr="00DF0DFA">
        <w:rPr>
          <w:i/>
          <w:color w:val="auto"/>
          <w:sz w:val="20"/>
          <w:szCs w:val="20"/>
        </w:rPr>
        <w:t>Cancer mortality in African and Caribbean migrants to England and Wales</w:t>
      </w:r>
      <w:r w:rsidRPr="00DF0DFA">
        <w:rPr>
          <w:color w:val="auto"/>
          <w:sz w:val="20"/>
          <w:szCs w:val="20"/>
        </w:rPr>
        <w:t xml:space="preserve">. </w:t>
      </w:r>
      <w:proofErr w:type="gramStart"/>
      <w:r w:rsidRPr="00DF0DFA">
        <w:rPr>
          <w:color w:val="auto"/>
          <w:sz w:val="20"/>
          <w:szCs w:val="20"/>
        </w:rPr>
        <w:t>Br J Cancer.</w:t>
      </w:r>
      <w:proofErr w:type="gramEnd"/>
      <w:r w:rsidRPr="00DF0DFA">
        <w:rPr>
          <w:color w:val="auto"/>
          <w:sz w:val="20"/>
          <w:szCs w:val="20"/>
        </w:rPr>
        <w:t xml:space="preserve"> 66:905-11.</w:t>
      </w:r>
    </w:p>
    <w:p w:rsidR="002656F5" w:rsidRDefault="002656F5" w:rsidP="002656F5">
      <w:pPr>
        <w:autoSpaceDE w:val="0"/>
        <w:autoSpaceDN w:val="0"/>
        <w:adjustRightInd w:val="0"/>
        <w:spacing w:line="240" w:lineRule="auto"/>
        <w:rPr>
          <w:rFonts w:ascii="Arial" w:hAnsi="Arial" w:cs="Arial"/>
          <w:sz w:val="20"/>
          <w:szCs w:val="20"/>
        </w:rPr>
      </w:pPr>
      <w:proofErr w:type="gramStart"/>
      <w:r w:rsidRPr="00DF0DFA">
        <w:rPr>
          <w:rFonts w:ascii="Arial" w:hAnsi="Arial" w:cs="Arial"/>
          <w:sz w:val="20"/>
          <w:szCs w:val="20"/>
        </w:rPr>
        <w:t xml:space="preserve">Huxley RR, </w:t>
      </w:r>
      <w:proofErr w:type="spellStart"/>
      <w:r w:rsidRPr="00DF0DFA">
        <w:rPr>
          <w:rFonts w:ascii="Arial" w:hAnsi="Arial" w:cs="Arial"/>
          <w:sz w:val="20"/>
          <w:szCs w:val="20"/>
        </w:rPr>
        <w:t>Ansary-Moghaddam</w:t>
      </w:r>
      <w:proofErr w:type="spellEnd"/>
      <w:r w:rsidRPr="00DF0DFA">
        <w:rPr>
          <w:rFonts w:ascii="Arial" w:hAnsi="Arial" w:cs="Arial"/>
          <w:sz w:val="20"/>
          <w:szCs w:val="20"/>
        </w:rPr>
        <w:t xml:space="preserve"> A, Clifton P (2009).</w:t>
      </w:r>
      <w:proofErr w:type="gramEnd"/>
      <w:r w:rsidRPr="00DF0DFA">
        <w:rPr>
          <w:rFonts w:ascii="Arial" w:hAnsi="Arial" w:cs="Arial"/>
          <w:sz w:val="20"/>
          <w:szCs w:val="20"/>
        </w:rPr>
        <w:t xml:space="preserve"> </w:t>
      </w:r>
      <w:r w:rsidRPr="00DF0DFA">
        <w:rPr>
          <w:rStyle w:val="Strong"/>
          <w:rFonts w:ascii="Arial" w:hAnsi="Arial" w:cs="Arial"/>
          <w:b w:val="0"/>
          <w:i/>
          <w:sz w:val="20"/>
          <w:szCs w:val="20"/>
        </w:rPr>
        <w:t xml:space="preserve">The impact of dietary and lifestyle risk factors on risk of colorectal cancer: a quantitative overview of the epidemiological evidence. </w:t>
      </w:r>
      <w:r w:rsidRPr="00DF0DFA">
        <w:rPr>
          <w:rFonts w:ascii="Arial" w:hAnsi="Arial" w:cs="Arial"/>
          <w:sz w:val="20"/>
          <w:szCs w:val="20"/>
        </w:rPr>
        <w:t>International Journal of Cancer, Jul 2009, vol</w:t>
      </w:r>
      <w:proofErr w:type="gramStart"/>
      <w:r w:rsidRPr="00DF0DFA">
        <w:rPr>
          <w:rFonts w:ascii="Arial" w:hAnsi="Arial" w:cs="Arial"/>
          <w:sz w:val="20"/>
          <w:szCs w:val="20"/>
        </w:rPr>
        <w:t>./</w:t>
      </w:r>
      <w:proofErr w:type="gramEnd"/>
      <w:r w:rsidRPr="00DF0DFA">
        <w:rPr>
          <w:rFonts w:ascii="Arial" w:hAnsi="Arial" w:cs="Arial"/>
          <w:sz w:val="20"/>
          <w:szCs w:val="20"/>
        </w:rPr>
        <w:t>is. 125/1(171-80), 0020-7136</w:t>
      </w:r>
      <w:proofErr w:type="gramStart"/>
      <w:r w:rsidRPr="00DF0DFA">
        <w:rPr>
          <w:rFonts w:ascii="Arial" w:hAnsi="Arial" w:cs="Arial"/>
          <w:sz w:val="20"/>
          <w:szCs w:val="20"/>
        </w:rPr>
        <w:t>;1097</w:t>
      </w:r>
      <w:proofErr w:type="gramEnd"/>
      <w:r w:rsidRPr="00DF0DFA">
        <w:rPr>
          <w:rFonts w:ascii="Arial" w:hAnsi="Arial" w:cs="Arial"/>
          <w:sz w:val="20"/>
          <w:szCs w:val="20"/>
        </w:rPr>
        <w:t>-0215 (2009 Jul 1).</w:t>
      </w:r>
    </w:p>
    <w:p w:rsidR="00342DB8" w:rsidRPr="006355C1" w:rsidRDefault="00AF55AD" w:rsidP="00342DB8">
      <w:pPr>
        <w:spacing w:line="240" w:lineRule="auto"/>
        <w:rPr>
          <w:rFonts w:ascii="Arial" w:eastAsia="Times New Roman" w:hAnsi="Arial" w:cs="Arial"/>
          <w:bCs/>
          <w:color w:val="333333"/>
          <w:sz w:val="20"/>
          <w:szCs w:val="20"/>
          <w:lang w:eastAsia="en-GB"/>
        </w:rPr>
      </w:pPr>
      <w:hyperlink r:id="rId56" w:history="1">
        <w:proofErr w:type="spellStart"/>
        <w:proofErr w:type="gramStart"/>
        <w:r w:rsidR="00342DB8" w:rsidRPr="006355C1">
          <w:rPr>
            <w:rFonts w:ascii="Arial" w:eastAsia="Times New Roman" w:hAnsi="Arial" w:cs="Arial"/>
            <w:bCs/>
            <w:color w:val="333333"/>
            <w:sz w:val="20"/>
            <w:szCs w:val="20"/>
            <w:lang w:eastAsia="en-GB"/>
          </w:rPr>
          <w:t>Imperatori</w:t>
        </w:r>
        <w:proofErr w:type="spellEnd"/>
      </w:hyperlink>
      <w:r w:rsidR="00342DB8" w:rsidRPr="006355C1">
        <w:rPr>
          <w:rFonts w:ascii="Arial" w:eastAsia="Times New Roman" w:hAnsi="Arial" w:cs="Arial"/>
          <w:bCs/>
          <w:color w:val="333333"/>
          <w:sz w:val="20"/>
          <w:szCs w:val="20"/>
          <w:lang w:eastAsia="en-GB"/>
        </w:rPr>
        <w:t xml:space="preserve"> A, </w:t>
      </w:r>
      <w:hyperlink r:id="rId57" w:history="1">
        <w:r w:rsidR="00342DB8" w:rsidRPr="006355C1">
          <w:rPr>
            <w:rFonts w:ascii="Arial" w:eastAsia="Times New Roman" w:hAnsi="Arial" w:cs="Arial"/>
            <w:bCs/>
            <w:color w:val="333333"/>
            <w:sz w:val="20"/>
            <w:szCs w:val="20"/>
            <w:lang w:eastAsia="en-GB"/>
          </w:rPr>
          <w:t>Harrison</w:t>
        </w:r>
      </w:hyperlink>
      <w:r w:rsidR="00342DB8" w:rsidRPr="006355C1">
        <w:rPr>
          <w:rFonts w:ascii="Arial" w:eastAsia="Times New Roman" w:hAnsi="Arial" w:cs="Arial"/>
          <w:bCs/>
          <w:color w:val="333333"/>
          <w:sz w:val="20"/>
          <w:szCs w:val="20"/>
          <w:lang w:eastAsia="en-GB"/>
        </w:rPr>
        <w:t xml:space="preserve"> RN, </w:t>
      </w:r>
      <w:hyperlink r:id="rId58" w:history="1">
        <w:r w:rsidR="00342DB8" w:rsidRPr="006355C1">
          <w:rPr>
            <w:rFonts w:ascii="Arial" w:eastAsia="Times New Roman" w:hAnsi="Arial" w:cs="Arial"/>
            <w:bCs/>
            <w:color w:val="333333"/>
            <w:sz w:val="20"/>
            <w:szCs w:val="20"/>
            <w:lang w:eastAsia="en-GB"/>
          </w:rPr>
          <w:t xml:space="preserve"> </w:t>
        </w:r>
        <w:proofErr w:type="spellStart"/>
        <w:r w:rsidR="00342DB8" w:rsidRPr="006355C1">
          <w:rPr>
            <w:rFonts w:ascii="Arial" w:eastAsia="Times New Roman" w:hAnsi="Arial" w:cs="Arial"/>
            <w:bCs/>
            <w:color w:val="333333"/>
            <w:sz w:val="20"/>
            <w:szCs w:val="20"/>
            <w:lang w:eastAsia="en-GB"/>
          </w:rPr>
          <w:t>Leitch</w:t>
        </w:r>
        <w:proofErr w:type="spellEnd"/>
      </w:hyperlink>
      <w:r w:rsidR="00342DB8" w:rsidRPr="006355C1">
        <w:rPr>
          <w:rFonts w:ascii="Arial" w:eastAsia="Times New Roman" w:hAnsi="Arial" w:cs="Arial"/>
          <w:bCs/>
          <w:color w:val="333333"/>
          <w:sz w:val="20"/>
          <w:szCs w:val="20"/>
          <w:lang w:eastAsia="en-GB"/>
        </w:rPr>
        <w:t xml:space="preserve"> DN et al. (2006).</w:t>
      </w:r>
      <w:proofErr w:type="gramEnd"/>
      <w:r w:rsidR="00342DB8" w:rsidRPr="006355C1">
        <w:rPr>
          <w:rFonts w:ascii="Arial" w:eastAsia="Times New Roman" w:hAnsi="Arial" w:cs="Arial"/>
          <w:bCs/>
          <w:color w:val="333333"/>
          <w:sz w:val="20"/>
          <w:szCs w:val="20"/>
          <w:lang w:eastAsia="en-GB"/>
        </w:rPr>
        <w:t xml:space="preserve"> </w:t>
      </w:r>
      <w:r w:rsidR="00342DB8" w:rsidRPr="006355C1">
        <w:rPr>
          <w:rFonts w:ascii="Arial" w:hAnsi="Arial" w:cs="Arial"/>
          <w:bCs/>
          <w:i/>
          <w:color w:val="333333"/>
          <w:kern w:val="36"/>
          <w:sz w:val="20"/>
          <w:szCs w:val="20"/>
        </w:rPr>
        <w:t>Lung cancer in Teesside (UK) and Varese (Italy): a comparison of management and survival.</w:t>
      </w:r>
      <w:r w:rsidR="00342DB8" w:rsidRPr="006355C1">
        <w:rPr>
          <w:rFonts w:ascii="Arial" w:hAnsi="Arial" w:cs="Arial"/>
          <w:bCs/>
          <w:color w:val="333333"/>
          <w:kern w:val="36"/>
          <w:sz w:val="20"/>
          <w:szCs w:val="20"/>
        </w:rPr>
        <w:t xml:space="preserve"> </w:t>
      </w:r>
      <w:r w:rsidR="00342DB8" w:rsidRPr="006355C1">
        <w:rPr>
          <w:rFonts w:ascii="Arial" w:hAnsi="Arial" w:cs="Arial"/>
          <w:i/>
          <w:iCs/>
          <w:color w:val="333300"/>
          <w:sz w:val="20"/>
          <w:szCs w:val="20"/>
        </w:rPr>
        <w:t xml:space="preserve">Thorax </w:t>
      </w:r>
      <w:r w:rsidR="00342DB8" w:rsidRPr="006355C1">
        <w:rPr>
          <w:rFonts w:ascii="Arial" w:hAnsi="Arial" w:cs="Arial"/>
          <w:color w:val="333300"/>
          <w:sz w:val="20"/>
          <w:szCs w:val="20"/>
        </w:rPr>
        <w:t>2006</w:t>
      </w:r>
      <w:proofErr w:type="gramStart"/>
      <w:r w:rsidR="00342DB8" w:rsidRPr="006355C1">
        <w:rPr>
          <w:rFonts w:ascii="Arial" w:hAnsi="Arial" w:cs="Arial"/>
          <w:color w:val="333300"/>
          <w:sz w:val="20"/>
          <w:szCs w:val="20"/>
        </w:rPr>
        <w:t>;</w:t>
      </w:r>
      <w:r w:rsidR="00342DB8" w:rsidRPr="006355C1">
        <w:rPr>
          <w:rStyle w:val="slug-vol"/>
          <w:rFonts w:ascii="Arial" w:hAnsi="Arial" w:cs="Arial"/>
          <w:color w:val="333300"/>
          <w:sz w:val="20"/>
          <w:szCs w:val="20"/>
        </w:rPr>
        <w:t>61</w:t>
      </w:r>
      <w:r w:rsidR="00342DB8" w:rsidRPr="006355C1">
        <w:rPr>
          <w:rStyle w:val="cit-sep1"/>
          <w:rFonts w:ascii="Arial" w:hAnsi="Arial" w:cs="Arial"/>
          <w:color w:val="333300"/>
          <w:sz w:val="20"/>
          <w:szCs w:val="20"/>
        </w:rPr>
        <w:t>:</w:t>
      </w:r>
      <w:r w:rsidR="00342DB8" w:rsidRPr="006355C1">
        <w:rPr>
          <w:rFonts w:ascii="Arial" w:hAnsi="Arial" w:cs="Arial"/>
          <w:color w:val="333300"/>
          <w:sz w:val="20"/>
          <w:szCs w:val="20"/>
        </w:rPr>
        <w:t>232</w:t>
      </w:r>
      <w:proofErr w:type="gramEnd"/>
      <w:r w:rsidR="00342DB8" w:rsidRPr="006355C1">
        <w:rPr>
          <w:rFonts w:ascii="Arial" w:hAnsi="Arial" w:cs="Arial"/>
          <w:color w:val="333300"/>
          <w:sz w:val="20"/>
          <w:szCs w:val="20"/>
        </w:rPr>
        <w:t xml:space="preserve">-239 </w:t>
      </w:r>
      <w:r w:rsidR="00342DB8" w:rsidRPr="006355C1">
        <w:rPr>
          <w:rStyle w:val="slug-doi2"/>
          <w:rFonts w:ascii="Arial" w:hAnsi="Arial" w:cs="Arial"/>
          <w:color w:val="333300"/>
          <w:sz w:val="20"/>
          <w:szCs w:val="20"/>
        </w:rPr>
        <w:t>doi:10.1136/thx.2005.040477.</w:t>
      </w:r>
    </w:p>
    <w:p w:rsidR="004D5EFB" w:rsidRPr="00DF0DFA" w:rsidRDefault="004D5EFB" w:rsidP="002656F5">
      <w:pPr>
        <w:autoSpaceDE w:val="0"/>
        <w:autoSpaceDN w:val="0"/>
        <w:adjustRightInd w:val="0"/>
        <w:spacing w:line="240" w:lineRule="auto"/>
        <w:rPr>
          <w:rFonts w:ascii="Arial" w:hAnsi="Arial" w:cs="Arial"/>
          <w:sz w:val="20"/>
          <w:szCs w:val="20"/>
        </w:rPr>
      </w:pPr>
      <w:proofErr w:type="gramStart"/>
      <w:r w:rsidRPr="00DF0DFA">
        <w:rPr>
          <w:rFonts w:ascii="Arial" w:hAnsi="Arial" w:cs="Arial"/>
          <w:sz w:val="20"/>
          <w:szCs w:val="20"/>
        </w:rPr>
        <w:t>International Agency for Research on Cancer (IARC) (2002).</w:t>
      </w:r>
      <w:proofErr w:type="gramEnd"/>
      <w:r w:rsidRPr="00DF0DFA">
        <w:rPr>
          <w:rFonts w:ascii="Arial" w:hAnsi="Arial" w:cs="Arial"/>
          <w:sz w:val="20"/>
          <w:szCs w:val="20"/>
        </w:rPr>
        <w:t xml:space="preserve"> </w:t>
      </w:r>
      <w:r w:rsidRPr="00DF0DFA">
        <w:rPr>
          <w:rFonts w:ascii="Arial" w:hAnsi="Arial" w:cs="Arial"/>
          <w:i/>
          <w:sz w:val="20"/>
          <w:szCs w:val="20"/>
        </w:rPr>
        <w:t>Handbooks of cancer prevention: weight control and physical activity</w:t>
      </w:r>
      <w:r w:rsidRPr="00DF0DFA">
        <w:rPr>
          <w:rFonts w:ascii="Arial" w:hAnsi="Arial" w:cs="Arial"/>
          <w:sz w:val="20"/>
          <w:szCs w:val="20"/>
        </w:rPr>
        <w:t xml:space="preserve">. </w:t>
      </w:r>
      <w:proofErr w:type="gramStart"/>
      <w:r w:rsidRPr="00DF0DFA">
        <w:rPr>
          <w:rFonts w:ascii="Arial" w:hAnsi="Arial" w:cs="Arial"/>
          <w:sz w:val="20"/>
          <w:szCs w:val="20"/>
        </w:rPr>
        <w:t>Vol. 6.</w:t>
      </w:r>
      <w:proofErr w:type="gramEnd"/>
      <w:r w:rsidRPr="00DF0DFA">
        <w:rPr>
          <w:rFonts w:ascii="Arial" w:hAnsi="Arial" w:cs="Arial"/>
          <w:sz w:val="20"/>
          <w:szCs w:val="20"/>
        </w:rPr>
        <w:t xml:space="preserve"> Lyon: IARC Press.</w:t>
      </w:r>
    </w:p>
    <w:p w:rsidR="00356ADD" w:rsidRPr="00DF0DFA" w:rsidRDefault="00356ADD" w:rsidP="00356ADD">
      <w:pPr>
        <w:spacing w:line="240" w:lineRule="auto"/>
        <w:rPr>
          <w:rFonts w:ascii="Arial" w:eastAsia="Times New Roman" w:hAnsi="Arial" w:cs="Arial"/>
          <w:sz w:val="20"/>
          <w:szCs w:val="20"/>
          <w:lang w:eastAsia="en-GB"/>
        </w:rPr>
      </w:pPr>
      <w:proofErr w:type="spellStart"/>
      <w:r w:rsidRPr="00DF0DFA">
        <w:rPr>
          <w:rFonts w:ascii="Arial" w:hAnsi="Arial" w:cs="Arial"/>
          <w:sz w:val="20"/>
          <w:szCs w:val="20"/>
        </w:rPr>
        <w:t>Jedrychowski</w:t>
      </w:r>
      <w:proofErr w:type="spellEnd"/>
      <w:r w:rsidRPr="00DF0DFA">
        <w:rPr>
          <w:rFonts w:ascii="Arial" w:hAnsi="Arial" w:cs="Arial"/>
          <w:sz w:val="20"/>
          <w:szCs w:val="20"/>
        </w:rPr>
        <w:t xml:space="preserve"> W, </w:t>
      </w:r>
      <w:proofErr w:type="spellStart"/>
      <w:r w:rsidRPr="00DF0DFA">
        <w:rPr>
          <w:rFonts w:ascii="Arial" w:hAnsi="Arial" w:cs="Arial"/>
          <w:sz w:val="20"/>
          <w:szCs w:val="20"/>
        </w:rPr>
        <w:t>Maugeri</w:t>
      </w:r>
      <w:proofErr w:type="spellEnd"/>
      <w:r w:rsidRPr="00DF0DFA">
        <w:rPr>
          <w:rFonts w:ascii="Arial" w:hAnsi="Arial" w:cs="Arial"/>
          <w:sz w:val="20"/>
          <w:szCs w:val="20"/>
        </w:rPr>
        <w:t xml:space="preserve"> U, </w:t>
      </w:r>
      <w:proofErr w:type="spellStart"/>
      <w:r w:rsidRPr="00DF0DFA">
        <w:rPr>
          <w:rFonts w:ascii="Arial" w:hAnsi="Arial" w:cs="Arial"/>
          <w:sz w:val="20"/>
          <w:szCs w:val="20"/>
        </w:rPr>
        <w:t>Popiela</w:t>
      </w:r>
      <w:proofErr w:type="spellEnd"/>
      <w:r w:rsidRPr="00DF0DFA">
        <w:rPr>
          <w:rFonts w:ascii="Arial" w:hAnsi="Arial" w:cs="Arial"/>
          <w:sz w:val="20"/>
          <w:szCs w:val="20"/>
        </w:rPr>
        <w:t xml:space="preserve"> T et al. (2010). </w:t>
      </w:r>
      <w:proofErr w:type="gramStart"/>
      <w:r w:rsidRPr="00DF0DFA">
        <w:rPr>
          <w:rFonts w:ascii="Arial" w:hAnsi="Arial" w:cs="Arial"/>
          <w:i/>
          <w:sz w:val="20"/>
          <w:szCs w:val="20"/>
        </w:rPr>
        <w:t>Case–control study on beneficial effect of regular consumption of apples on colorectal cancer risk in a population with relatively low intake of fruits and vegetables.</w:t>
      </w:r>
      <w:proofErr w:type="gramEnd"/>
      <w:r w:rsidRPr="00DF0DFA">
        <w:rPr>
          <w:rFonts w:ascii="Arial" w:hAnsi="Arial" w:cs="Arial"/>
          <w:sz w:val="20"/>
          <w:szCs w:val="20"/>
        </w:rPr>
        <w:t xml:space="preserve"> </w:t>
      </w:r>
      <w:r w:rsidRPr="00DF0DFA">
        <w:rPr>
          <w:rFonts w:ascii="Arial" w:eastAsia="Times New Roman" w:hAnsi="Arial" w:cs="Arial"/>
          <w:sz w:val="20"/>
          <w:szCs w:val="20"/>
          <w:lang w:eastAsia="en-GB"/>
        </w:rPr>
        <w:t>European Journal of Cancer Prevention Issue: Volume 19(1), January 2010, pp 42-47.</w:t>
      </w:r>
    </w:p>
    <w:p w:rsidR="00F0493A" w:rsidRPr="00DF0DFA" w:rsidRDefault="00F0493A" w:rsidP="00790CC5">
      <w:pPr>
        <w:autoSpaceDE w:val="0"/>
        <w:autoSpaceDN w:val="0"/>
        <w:adjustRightInd w:val="0"/>
        <w:spacing w:line="240" w:lineRule="auto"/>
        <w:rPr>
          <w:rFonts w:ascii="Arial" w:hAnsi="Arial" w:cs="Arial"/>
          <w:sz w:val="20"/>
          <w:szCs w:val="20"/>
        </w:rPr>
      </w:pPr>
      <w:proofErr w:type="spellStart"/>
      <w:r w:rsidRPr="00DF0DFA">
        <w:rPr>
          <w:rFonts w:ascii="Arial" w:hAnsi="Arial" w:cs="Arial"/>
          <w:sz w:val="20"/>
          <w:szCs w:val="20"/>
        </w:rPr>
        <w:t>Koushik</w:t>
      </w:r>
      <w:proofErr w:type="spellEnd"/>
      <w:r w:rsidRPr="00DF0DFA">
        <w:rPr>
          <w:rFonts w:ascii="Arial" w:hAnsi="Arial" w:cs="Arial"/>
          <w:sz w:val="20"/>
          <w:szCs w:val="20"/>
        </w:rPr>
        <w:t xml:space="preserve"> A, Hunter DJ, </w:t>
      </w:r>
      <w:proofErr w:type="spellStart"/>
      <w:r w:rsidRPr="00DF0DFA">
        <w:rPr>
          <w:rFonts w:ascii="Arial" w:hAnsi="Arial" w:cs="Arial"/>
          <w:sz w:val="20"/>
          <w:szCs w:val="20"/>
        </w:rPr>
        <w:t>Spiegelman</w:t>
      </w:r>
      <w:proofErr w:type="spellEnd"/>
      <w:r w:rsidRPr="00DF0DFA">
        <w:rPr>
          <w:rFonts w:ascii="Arial" w:hAnsi="Arial" w:cs="Arial"/>
          <w:sz w:val="20"/>
          <w:szCs w:val="20"/>
        </w:rPr>
        <w:t xml:space="preserve"> D</w:t>
      </w:r>
      <w:proofErr w:type="gramStart"/>
      <w:r w:rsidRPr="00DF0DFA">
        <w:rPr>
          <w:rFonts w:ascii="Arial" w:hAnsi="Arial" w:cs="Arial"/>
          <w:sz w:val="20"/>
          <w:szCs w:val="20"/>
        </w:rPr>
        <w:t>,  et</w:t>
      </w:r>
      <w:proofErr w:type="gramEnd"/>
      <w:r w:rsidRPr="00DF0DFA">
        <w:rPr>
          <w:rFonts w:ascii="Arial" w:hAnsi="Arial" w:cs="Arial"/>
          <w:sz w:val="20"/>
          <w:szCs w:val="20"/>
        </w:rPr>
        <w:t xml:space="preserve"> al. (2007). </w:t>
      </w:r>
      <w:r w:rsidRPr="00DF0DFA">
        <w:rPr>
          <w:rFonts w:ascii="Arial" w:hAnsi="Arial" w:cs="Arial"/>
          <w:i/>
          <w:sz w:val="20"/>
          <w:szCs w:val="20"/>
        </w:rPr>
        <w:t>Fruits, vegetables, and colon cancer risk in a pooled analysis of 14 cohort studies.</w:t>
      </w:r>
      <w:r w:rsidRPr="00DF0DFA">
        <w:rPr>
          <w:rFonts w:ascii="Arial" w:hAnsi="Arial" w:cs="Arial"/>
          <w:sz w:val="20"/>
          <w:szCs w:val="20"/>
        </w:rPr>
        <w:t xml:space="preserve"> J </w:t>
      </w:r>
      <w:proofErr w:type="spellStart"/>
      <w:r w:rsidRPr="00DF0DFA">
        <w:rPr>
          <w:rFonts w:ascii="Arial" w:hAnsi="Arial" w:cs="Arial"/>
          <w:sz w:val="20"/>
          <w:szCs w:val="20"/>
        </w:rPr>
        <w:t>Natl</w:t>
      </w:r>
      <w:proofErr w:type="spellEnd"/>
      <w:r w:rsidRPr="00DF0DFA">
        <w:rPr>
          <w:rFonts w:ascii="Arial" w:hAnsi="Arial" w:cs="Arial"/>
          <w:sz w:val="20"/>
          <w:szCs w:val="20"/>
        </w:rPr>
        <w:t xml:space="preserve"> Cancer Inst 99:1471–1483.</w:t>
      </w:r>
    </w:p>
    <w:p w:rsidR="00E144D8" w:rsidRPr="00DF0DFA" w:rsidRDefault="00E144D8" w:rsidP="00790CC5">
      <w:pPr>
        <w:autoSpaceDE w:val="0"/>
        <w:autoSpaceDN w:val="0"/>
        <w:adjustRightInd w:val="0"/>
        <w:spacing w:line="240" w:lineRule="auto"/>
        <w:rPr>
          <w:rFonts w:ascii="Arial" w:hAnsi="Arial" w:cs="Arial"/>
          <w:sz w:val="20"/>
          <w:szCs w:val="20"/>
        </w:rPr>
      </w:pPr>
      <w:proofErr w:type="spellStart"/>
      <w:r w:rsidRPr="00DF0DFA">
        <w:rPr>
          <w:rFonts w:ascii="Arial" w:hAnsi="Arial" w:cs="Arial"/>
          <w:sz w:val="20"/>
          <w:szCs w:val="20"/>
        </w:rPr>
        <w:t>Kuriki</w:t>
      </w:r>
      <w:proofErr w:type="spellEnd"/>
      <w:r w:rsidRPr="00DF0DFA">
        <w:rPr>
          <w:rFonts w:ascii="Arial" w:hAnsi="Arial" w:cs="Arial"/>
          <w:sz w:val="20"/>
          <w:szCs w:val="20"/>
        </w:rPr>
        <w:t xml:space="preserve"> K, </w:t>
      </w:r>
      <w:proofErr w:type="spellStart"/>
      <w:r w:rsidRPr="00DF0DFA">
        <w:rPr>
          <w:rFonts w:ascii="Arial" w:hAnsi="Arial" w:cs="Arial"/>
          <w:sz w:val="20"/>
          <w:szCs w:val="20"/>
        </w:rPr>
        <w:t>Wakai</w:t>
      </w:r>
      <w:proofErr w:type="spellEnd"/>
      <w:r w:rsidRPr="00DF0DFA">
        <w:rPr>
          <w:rFonts w:ascii="Arial" w:hAnsi="Arial" w:cs="Arial"/>
          <w:sz w:val="20"/>
          <w:szCs w:val="20"/>
        </w:rPr>
        <w:t xml:space="preserve"> K, Hirose K, et al. (2006). </w:t>
      </w:r>
      <w:r w:rsidRPr="00DF0DFA">
        <w:rPr>
          <w:rFonts w:ascii="Arial" w:hAnsi="Arial" w:cs="Arial"/>
          <w:i/>
          <w:sz w:val="20"/>
          <w:szCs w:val="20"/>
        </w:rPr>
        <w:t>Risk of colorectal cancer is linked to erythrocyte compositions of fatty acids as biomarkers for dietary intakes of fish, fat, and fatty acids.</w:t>
      </w:r>
      <w:r w:rsidRPr="00DF0DFA">
        <w:rPr>
          <w:rFonts w:ascii="Arial" w:hAnsi="Arial" w:cs="Arial"/>
          <w:sz w:val="20"/>
          <w:szCs w:val="20"/>
        </w:rPr>
        <w:t xml:space="preserve"> Cancer </w:t>
      </w:r>
      <w:proofErr w:type="spellStart"/>
      <w:r w:rsidRPr="00DF0DFA">
        <w:rPr>
          <w:rFonts w:ascii="Arial" w:hAnsi="Arial" w:cs="Arial"/>
          <w:sz w:val="20"/>
          <w:szCs w:val="20"/>
        </w:rPr>
        <w:t>Epidemiol</w:t>
      </w:r>
      <w:proofErr w:type="spellEnd"/>
      <w:r w:rsidRPr="00DF0DFA">
        <w:rPr>
          <w:rFonts w:ascii="Arial" w:hAnsi="Arial" w:cs="Arial"/>
          <w:sz w:val="20"/>
          <w:szCs w:val="20"/>
        </w:rPr>
        <w:t xml:space="preserve"> Biomarkers </w:t>
      </w:r>
      <w:proofErr w:type="spellStart"/>
      <w:r w:rsidRPr="00DF0DFA">
        <w:rPr>
          <w:rFonts w:ascii="Arial" w:hAnsi="Arial" w:cs="Arial"/>
          <w:sz w:val="20"/>
          <w:szCs w:val="20"/>
        </w:rPr>
        <w:t>Prev</w:t>
      </w:r>
      <w:proofErr w:type="spellEnd"/>
      <w:r w:rsidRPr="00DF0DFA">
        <w:rPr>
          <w:rFonts w:ascii="Arial" w:hAnsi="Arial" w:cs="Arial"/>
          <w:sz w:val="20"/>
          <w:szCs w:val="20"/>
        </w:rPr>
        <w:t xml:space="preserve"> 2006; 15:1791–1798.</w:t>
      </w:r>
    </w:p>
    <w:p w:rsidR="00E54251" w:rsidRPr="00DF0DFA" w:rsidRDefault="00E54251" w:rsidP="00790CC5">
      <w:pPr>
        <w:autoSpaceDE w:val="0"/>
        <w:autoSpaceDN w:val="0"/>
        <w:adjustRightInd w:val="0"/>
        <w:spacing w:line="240" w:lineRule="auto"/>
        <w:rPr>
          <w:rFonts w:ascii="Arial" w:hAnsi="Arial" w:cs="Arial"/>
          <w:sz w:val="20"/>
          <w:szCs w:val="20"/>
        </w:rPr>
      </w:pPr>
      <w:r w:rsidRPr="00DF0DFA">
        <w:rPr>
          <w:rFonts w:ascii="Arial" w:hAnsi="Arial" w:cs="Arial"/>
          <w:sz w:val="20"/>
          <w:szCs w:val="20"/>
        </w:rPr>
        <w:t xml:space="preserve">La </w:t>
      </w:r>
      <w:proofErr w:type="spellStart"/>
      <w:r w:rsidRPr="00DF0DFA">
        <w:rPr>
          <w:rFonts w:ascii="Arial" w:hAnsi="Arial" w:cs="Arial"/>
          <w:sz w:val="20"/>
          <w:szCs w:val="20"/>
        </w:rPr>
        <w:t>Vecchia</w:t>
      </w:r>
      <w:proofErr w:type="spellEnd"/>
      <w:r w:rsidRPr="00DF0DFA">
        <w:rPr>
          <w:rFonts w:ascii="Arial" w:hAnsi="Arial" w:cs="Arial"/>
          <w:sz w:val="20"/>
          <w:szCs w:val="20"/>
        </w:rPr>
        <w:t xml:space="preserve"> C, </w:t>
      </w:r>
      <w:proofErr w:type="spellStart"/>
      <w:r w:rsidRPr="00DF0DFA">
        <w:rPr>
          <w:rFonts w:ascii="Arial" w:hAnsi="Arial" w:cs="Arial"/>
          <w:sz w:val="20"/>
          <w:szCs w:val="20"/>
        </w:rPr>
        <w:t>Tavani</w:t>
      </w:r>
      <w:proofErr w:type="spellEnd"/>
      <w:r w:rsidRPr="00DF0DFA">
        <w:rPr>
          <w:rFonts w:ascii="Arial" w:hAnsi="Arial" w:cs="Arial"/>
          <w:sz w:val="20"/>
          <w:szCs w:val="20"/>
        </w:rPr>
        <w:t xml:space="preserve"> A (1998). </w:t>
      </w:r>
      <w:proofErr w:type="gramStart"/>
      <w:r w:rsidRPr="00DF0DFA">
        <w:rPr>
          <w:rFonts w:ascii="Arial" w:hAnsi="Arial" w:cs="Arial"/>
          <w:sz w:val="20"/>
          <w:szCs w:val="20"/>
        </w:rPr>
        <w:t>Fruit and vegetables, and human cancer.</w:t>
      </w:r>
      <w:proofErr w:type="gramEnd"/>
      <w:r w:rsidRPr="00DF0DFA">
        <w:rPr>
          <w:rFonts w:ascii="Arial" w:hAnsi="Arial" w:cs="Arial"/>
          <w:sz w:val="20"/>
          <w:szCs w:val="20"/>
        </w:rPr>
        <w:t xml:space="preserve"> </w:t>
      </w:r>
      <w:proofErr w:type="spellStart"/>
      <w:r w:rsidRPr="00DF0DFA">
        <w:rPr>
          <w:rFonts w:ascii="Arial" w:hAnsi="Arial" w:cs="Arial"/>
          <w:sz w:val="20"/>
          <w:szCs w:val="20"/>
        </w:rPr>
        <w:t>Eur</w:t>
      </w:r>
      <w:proofErr w:type="spellEnd"/>
      <w:r w:rsidRPr="00DF0DFA">
        <w:rPr>
          <w:rFonts w:ascii="Arial" w:hAnsi="Arial" w:cs="Arial"/>
          <w:sz w:val="20"/>
          <w:szCs w:val="20"/>
        </w:rPr>
        <w:t xml:space="preserve"> J Cancer </w:t>
      </w:r>
      <w:proofErr w:type="spellStart"/>
      <w:r w:rsidRPr="00DF0DFA">
        <w:rPr>
          <w:rFonts w:ascii="Arial" w:hAnsi="Arial" w:cs="Arial"/>
          <w:sz w:val="20"/>
          <w:szCs w:val="20"/>
        </w:rPr>
        <w:t>Prev</w:t>
      </w:r>
      <w:proofErr w:type="spellEnd"/>
      <w:r w:rsidRPr="00DF0DFA">
        <w:rPr>
          <w:rFonts w:ascii="Arial" w:hAnsi="Arial" w:cs="Arial"/>
          <w:sz w:val="20"/>
          <w:szCs w:val="20"/>
        </w:rPr>
        <w:t xml:space="preserve"> 7:3–8.</w:t>
      </w:r>
    </w:p>
    <w:p w:rsidR="004346E3" w:rsidRPr="00DF0DFA" w:rsidRDefault="004346E3" w:rsidP="004346E3">
      <w:pPr>
        <w:autoSpaceDE w:val="0"/>
        <w:autoSpaceDN w:val="0"/>
        <w:adjustRightInd w:val="0"/>
        <w:spacing w:line="240" w:lineRule="auto"/>
        <w:rPr>
          <w:rFonts w:ascii="Arial" w:hAnsi="Arial" w:cs="Arial"/>
          <w:sz w:val="20"/>
          <w:szCs w:val="20"/>
        </w:rPr>
      </w:pPr>
      <w:r w:rsidRPr="00DF0DFA">
        <w:rPr>
          <w:rFonts w:ascii="Arial" w:hAnsi="Arial" w:cs="Arial"/>
          <w:sz w:val="20"/>
          <w:szCs w:val="20"/>
        </w:rPr>
        <w:t xml:space="preserve">Liang PS, Chen T-Y </w:t>
      </w:r>
      <w:proofErr w:type="spellStart"/>
      <w:r w:rsidRPr="00DF0DFA">
        <w:rPr>
          <w:rFonts w:ascii="Arial" w:hAnsi="Arial" w:cs="Arial"/>
          <w:sz w:val="20"/>
          <w:szCs w:val="20"/>
        </w:rPr>
        <w:t>Giovannucci</w:t>
      </w:r>
      <w:proofErr w:type="spellEnd"/>
      <w:r w:rsidRPr="00DF0DFA">
        <w:rPr>
          <w:rFonts w:ascii="Arial" w:hAnsi="Arial" w:cs="Arial"/>
          <w:sz w:val="20"/>
          <w:szCs w:val="20"/>
        </w:rPr>
        <w:t xml:space="preserve"> E (2009). </w:t>
      </w:r>
      <w:r w:rsidRPr="00DF0DFA">
        <w:rPr>
          <w:rFonts w:ascii="Arial" w:hAnsi="Arial" w:cs="Arial"/>
          <w:i/>
          <w:sz w:val="20"/>
          <w:szCs w:val="20"/>
        </w:rPr>
        <w:t>Cigarette smoking and colorectal cancer incidence and mortality: Systematic review and meta-analysis.</w:t>
      </w:r>
      <w:r w:rsidRPr="00DF0DFA">
        <w:rPr>
          <w:rFonts w:ascii="Arial" w:hAnsi="Arial" w:cs="Arial"/>
          <w:sz w:val="20"/>
          <w:szCs w:val="20"/>
        </w:rPr>
        <w:t xml:space="preserve"> Int. J. Cancer: 124, 2406–2415 (2009).</w:t>
      </w:r>
    </w:p>
    <w:p w:rsidR="00DF7D85" w:rsidRPr="00DF0DFA" w:rsidRDefault="00DF7D85" w:rsidP="00790CC5">
      <w:pPr>
        <w:autoSpaceDE w:val="0"/>
        <w:autoSpaceDN w:val="0"/>
        <w:adjustRightInd w:val="0"/>
        <w:spacing w:line="240" w:lineRule="auto"/>
        <w:rPr>
          <w:rFonts w:ascii="Arial" w:hAnsi="Arial" w:cs="Arial"/>
          <w:sz w:val="20"/>
          <w:szCs w:val="20"/>
        </w:rPr>
      </w:pPr>
      <w:proofErr w:type="spellStart"/>
      <w:r w:rsidRPr="00DF0DFA">
        <w:rPr>
          <w:rFonts w:ascii="Arial" w:hAnsi="Arial" w:cs="Arial"/>
          <w:sz w:val="20"/>
          <w:szCs w:val="20"/>
        </w:rPr>
        <w:t>Moskal</w:t>
      </w:r>
      <w:proofErr w:type="spellEnd"/>
      <w:r w:rsidRPr="00DF0DFA">
        <w:rPr>
          <w:rFonts w:ascii="Arial" w:hAnsi="Arial" w:cs="Arial"/>
          <w:sz w:val="20"/>
          <w:szCs w:val="20"/>
        </w:rPr>
        <w:t xml:space="preserve"> A, </w:t>
      </w:r>
      <w:proofErr w:type="spellStart"/>
      <w:r w:rsidRPr="00DF0DFA">
        <w:rPr>
          <w:rFonts w:ascii="Arial" w:hAnsi="Arial" w:cs="Arial"/>
          <w:sz w:val="20"/>
          <w:szCs w:val="20"/>
        </w:rPr>
        <w:t>Norat</w:t>
      </w:r>
      <w:proofErr w:type="spellEnd"/>
      <w:r w:rsidRPr="00DF0DFA">
        <w:rPr>
          <w:rFonts w:ascii="Arial" w:hAnsi="Arial" w:cs="Arial"/>
          <w:sz w:val="20"/>
          <w:szCs w:val="20"/>
        </w:rPr>
        <w:t xml:space="preserve"> T, Ferrari P et al. (2007). </w:t>
      </w:r>
      <w:r w:rsidRPr="00DF0DFA">
        <w:rPr>
          <w:rFonts w:ascii="Arial" w:hAnsi="Arial" w:cs="Arial"/>
          <w:i/>
          <w:sz w:val="20"/>
          <w:szCs w:val="20"/>
        </w:rPr>
        <w:t>Alcohol intake and colorectal cancer risk: a dose-response meta-analysis of published cohort studies</w:t>
      </w:r>
      <w:r w:rsidRPr="00DF0DFA">
        <w:rPr>
          <w:rFonts w:ascii="Arial" w:hAnsi="Arial" w:cs="Arial"/>
          <w:sz w:val="20"/>
          <w:szCs w:val="20"/>
        </w:rPr>
        <w:t xml:space="preserve">. </w:t>
      </w:r>
      <w:proofErr w:type="spellStart"/>
      <w:r w:rsidRPr="00DF0DFA">
        <w:rPr>
          <w:rFonts w:ascii="Arial" w:hAnsi="Arial" w:cs="Arial"/>
          <w:sz w:val="20"/>
          <w:szCs w:val="20"/>
        </w:rPr>
        <w:t>Int</w:t>
      </w:r>
      <w:proofErr w:type="spellEnd"/>
      <w:r w:rsidRPr="00DF0DFA">
        <w:rPr>
          <w:rFonts w:ascii="Arial" w:hAnsi="Arial" w:cs="Arial"/>
          <w:sz w:val="20"/>
          <w:szCs w:val="20"/>
        </w:rPr>
        <w:t xml:space="preserve"> J Cancer 120:664–671.</w:t>
      </w:r>
    </w:p>
    <w:p w:rsidR="000D629A" w:rsidRDefault="000D629A" w:rsidP="00790CC5">
      <w:pPr>
        <w:autoSpaceDE w:val="0"/>
        <w:autoSpaceDN w:val="0"/>
        <w:adjustRightInd w:val="0"/>
        <w:spacing w:line="240" w:lineRule="auto"/>
        <w:rPr>
          <w:rFonts w:ascii="Arial" w:hAnsi="Arial" w:cs="Arial"/>
          <w:sz w:val="20"/>
          <w:szCs w:val="20"/>
        </w:rPr>
      </w:pPr>
      <w:proofErr w:type="gramStart"/>
      <w:r w:rsidRPr="00DF0DFA">
        <w:rPr>
          <w:rFonts w:ascii="Arial" w:hAnsi="Arial" w:cs="Arial"/>
          <w:sz w:val="20"/>
          <w:szCs w:val="20"/>
        </w:rPr>
        <w:t>NHS Cancer Commissioning Toolkit</w:t>
      </w:r>
      <w:r w:rsidR="009E2E5E" w:rsidRPr="00DF0DFA">
        <w:rPr>
          <w:rFonts w:ascii="Arial" w:hAnsi="Arial" w:cs="Arial"/>
          <w:sz w:val="20"/>
          <w:szCs w:val="20"/>
        </w:rPr>
        <w:t xml:space="preserve"> (2010).</w:t>
      </w:r>
      <w:proofErr w:type="gramEnd"/>
      <w:r w:rsidRPr="00DF0DFA">
        <w:rPr>
          <w:rFonts w:ascii="Arial" w:hAnsi="Arial" w:cs="Arial"/>
          <w:sz w:val="20"/>
          <w:szCs w:val="20"/>
        </w:rPr>
        <w:t xml:space="preserve"> </w:t>
      </w:r>
      <w:r w:rsidR="009E2E5E" w:rsidRPr="00DF0DFA">
        <w:rPr>
          <w:rFonts w:ascii="Arial" w:hAnsi="Arial" w:cs="Arial"/>
          <w:sz w:val="20"/>
          <w:szCs w:val="20"/>
        </w:rPr>
        <w:t>Accessed 09/06/10,</w:t>
      </w:r>
      <w:r w:rsidRPr="00DF0DFA">
        <w:rPr>
          <w:rFonts w:ascii="Arial" w:hAnsi="Arial" w:cs="Arial"/>
          <w:sz w:val="20"/>
          <w:szCs w:val="20"/>
        </w:rPr>
        <w:t xml:space="preserve"> </w:t>
      </w:r>
      <w:hyperlink r:id="rId59" w:history="1">
        <w:r w:rsidR="00DF0DFA" w:rsidRPr="000D5D24">
          <w:rPr>
            <w:rStyle w:val="Hyperlink"/>
            <w:rFonts w:ascii="Arial" w:hAnsi="Arial" w:cs="Arial"/>
            <w:sz w:val="20"/>
            <w:szCs w:val="20"/>
          </w:rPr>
          <w:t>https://www.cancertoolkit.co.uk</w:t>
        </w:r>
      </w:hyperlink>
    </w:p>
    <w:p w:rsidR="002F61D9" w:rsidRPr="00DF0DFA" w:rsidRDefault="002F61D9" w:rsidP="002F61D9">
      <w:pPr>
        <w:autoSpaceDE w:val="0"/>
        <w:autoSpaceDN w:val="0"/>
        <w:adjustRightInd w:val="0"/>
        <w:spacing w:line="240" w:lineRule="auto"/>
        <w:rPr>
          <w:rFonts w:ascii="Arial" w:hAnsi="Arial" w:cs="Arial"/>
          <w:bCs/>
          <w:sz w:val="20"/>
          <w:szCs w:val="20"/>
        </w:rPr>
      </w:pPr>
      <w:r w:rsidRPr="00DF0DFA">
        <w:rPr>
          <w:rFonts w:ascii="Arial" w:hAnsi="Arial" w:cs="Arial"/>
          <w:sz w:val="20"/>
          <w:szCs w:val="20"/>
        </w:rPr>
        <w:t xml:space="preserve">NHS Cancer Screening Programmes (2008). </w:t>
      </w:r>
      <w:r w:rsidRPr="00DF0DFA">
        <w:rPr>
          <w:rFonts w:ascii="Arial" w:hAnsi="Arial" w:cs="Arial"/>
          <w:bCs/>
          <w:sz w:val="20"/>
          <w:szCs w:val="20"/>
        </w:rPr>
        <w:t>Guide Book for programme hubs and screening centres. NHS Bowel Cancer Screening Programme Version 3, 31 March 2008.</w:t>
      </w:r>
    </w:p>
    <w:p w:rsidR="00922E19" w:rsidRDefault="00A63BB9" w:rsidP="00477350">
      <w:pPr>
        <w:autoSpaceDE w:val="0"/>
        <w:autoSpaceDN w:val="0"/>
        <w:adjustRightInd w:val="0"/>
        <w:spacing w:line="240" w:lineRule="auto"/>
        <w:rPr>
          <w:rFonts w:ascii="Arial" w:hAnsi="Arial" w:cs="Arial"/>
          <w:bCs/>
          <w:sz w:val="20"/>
          <w:szCs w:val="20"/>
        </w:rPr>
      </w:pPr>
      <w:proofErr w:type="gramStart"/>
      <w:r w:rsidRPr="00DF0DFA">
        <w:rPr>
          <w:rFonts w:ascii="Arial" w:hAnsi="Arial" w:cs="Arial"/>
          <w:sz w:val="20"/>
          <w:szCs w:val="20"/>
        </w:rPr>
        <w:t>National Cancer Intelligence Network.</w:t>
      </w:r>
      <w:proofErr w:type="gramEnd"/>
      <w:r w:rsidRPr="00DF0DFA">
        <w:rPr>
          <w:rFonts w:ascii="Arial" w:hAnsi="Arial" w:cs="Arial"/>
          <w:sz w:val="20"/>
          <w:szCs w:val="20"/>
        </w:rPr>
        <w:t xml:space="preserve"> </w:t>
      </w:r>
      <w:r w:rsidRPr="00DF0DFA">
        <w:rPr>
          <w:rFonts w:ascii="Arial" w:hAnsi="Arial" w:cs="Arial"/>
          <w:bCs/>
          <w:sz w:val="20"/>
          <w:szCs w:val="20"/>
        </w:rPr>
        <w:t>GOING FURTHER ON CANCER WAITS (GFOCWs) A GUIDE, (VERSION 6.7).</w:t>
      </w:r>
    </w:p>
    <w:p w:rsidR="00477350" w:rsidRPr="00DF0DFA" w:rsidRDefault="00477350" w:rsidP="00477350">
      <w:pPr>
        <w:autoSpaceDE w:val="0"/>
        <w:autoSpaceDN w:val="0"/>
        <w:adjustRightInd w:val="0"/>
        <w:spacing w:line="240" w:lineRule="auto"/>
        <w:rPr>
          <w:rFonts w:ascii="Arial" w:hAnsi="Arial" w:cs="Arial"/>
          <w:sz w:val="20"/>
          <w:szCs w:val="20"/>
        </w:rPr>
      </w:pPr>
      <w:proofErr w:type="gramStart"/>
      <w:r w:rsidRPr="00DF0DFA">
        <w:rPr>
          <w:rFonts w:ascii="Arial" w:hAnsi="Arial" w:cs="Arial"/>
          <w:sz w:val="20"/>
          <w:szCs w:val="20"/>
        </w:rPr>
        <w:t>National Cancer Intelligence Network (2008).</w:t>
      </w:r>
      <w:proofErr w:type="gramEnd"/>
      <w:r w:rsidRPr="00DF0DFA">
        <w:rPr>
          <w:rFonts w:ascii="Arial" w:hAnsi="Arial" w:cs="Arial"/>
          <w:sz w:val="20"/>
          <w:szCs w:val="20"/>
        </w:rPr>
        <w:t xml:space="preserve"> </w:t>
      </w:r>
      <w:r w:rsidRPr="00DF0DFA">
        <w:rPr>
          <w:rFonts w:ascii="Arial" w:hAnsi="Arial" w:cs="Arial"/>
          <w:i/>
          <w:sz w:val="20"/>
          <w:szCs w:val="20"/>
        </w:rPr>
        <w:t>Cancer Incidence by Deprivation England, 1995-2004.</w:t>
      </w:r>
      <w:r w:rsidRPr="00DF0DFA">
        <w:rPr>
          <w:rFonts w:ascii="Arial" w:hAnsi="Arial" w:cs="Arial"/>
          <w:sz w:val="20"/>
          <w:szCs w:val="20"/>
        </w:rPr>
        <w:t xml:space="preserve"> </w:t>
      </w:r>
      <w:proofErr w:type="gramStart"/>
      <w:r w:rsidRPr="00DF0DFA">
        <w:rPr>
          <w:rFonts w:ascii="Arial" w:hAnsi="Arial" w:cs="Arial"/>
          <w:sz w:val="20"/>
          <w:szCs w:val="20"/>
        </w:rPr>
        <w:t>National Cancer Intelligence Network.</w:t>
      </w:r>
      <w:proofErr w:type="gramEnd"/>
      <w:r w:rsidRPr="00DF0DFA">
        <w:rPr>
          <w:rFonts w:ascii="Arial" w:hAnsi="Arial" w:cs="Arial"/>
          <w:sz w:val="20"/>
          <w:szCs w:val="20"/>
        </w:rPr>
        <w:t xml:space="preserve"> </w:t>
      </w:r>
      <w:r w:rsidRPr="00DF0DFA">
        <w:rPr>
          <w:rFonts w:ascii="Arial" w:hAnsi="Arial" w:cs="Arial"/>
          <w:i/>
          <w:sz w:val="20"/>
          <w:szCs w:val="20"/>
        </w:rPr>
        <w:t xml:space="preserve"> </w:t>
      </w:r>
    </w:p>
    <w:p w:rsidR="00CE3761" w:rsidRPr="00DF0DFA" w:rsidRDefault="00CE3761" w:rsidP="00CE3761">
      <w:pPr>
        <w:autoSpaceDE w:val="0"/>
        <w:autoSpaceDN w:val="0"/>
        <w:adjustRightInd w:val="0"/>
        <w:spacing w:line="240" w:lineRule="auto"/>
        <w:rPr>
          <w:rFonts w:ascii="Arial" w:hAnsi="Arial" w:cs="Arial"/>
          <w:sz w:val="20"/>
          <w:szCs w:val="20"/>
        </w:rPr>
      </w:pPr>
      <w:proofErr w:type="gramStart"/>
      <w:r w:rsidRPr="00DF0DFA">
        <w:rPr>
          <w:rFonts w:ascii="Arial" w:hAnsi="Arial" w:cs="Arial"/>
          <w:sz w:val="20"/>
          <w:szCs w:val="20"/>
        </w:rPr>
        <w:t>National Cancer Intelligence Network (2009</w:t>
      </w:r>
      <w:r w:rsidR="00E945A2" w:rsidRPr="00DF0DFA">
        <w:rPr>
          <w:rFonts w:ascii="Arial" w:hAnsi="Arial" w:cs="Arial"/>
          <w:sz w:val="20"/>
          <w:szCs w:val="20"/>
        </w:rPr>
        <w:t>a</w:t>
      </w:r>
      <w:r w:rsidRPr="00DF0DFA">
        <w:rPr>
          <w:rFonts w:ascii="Arial" w:hAnsi="Arial" w:cs="Arial"/>
          <w:sz w:val="20"/>
          <w:szCs w:val="20"/>
        </w:rPr>
        <w:t>).</w:t>
      </w:r>
      <w:proofErr w:type="gramEnd"/>
      <w:r w:rsidRPr="00DF0DFA">
        <w:rPr>
          <w:rFonts w:ascii="Arial" w:hAnsi="Arial" w:cs="Arial"/>
          <w:sz w:val="20"/>
          <w:szCs w:val="20"/>
        </w:rPr>
        <w:t xml:space="preserve"> </w:t>
      </w:r>
      <w:r w:rsidRPr="00DF0DFA">
        <w:rPr>
          <w:rFonts w:ascii="Arial" w:hAnsi="Arial" w:cs="Arial"/>
          <w:bCs/>
          <w:i/>
          <w:sz w:val="20"/>
          <w:szCs w:val="20"/>
        </w:rPr>
        <w:t xml:space="preserve">Local Awareness and Early Diagnosis Baseline Assessments: A Guide for Cancer Networks and Primary Care Trusts. </w:t>
      </w:r>
      <w:r w:rsidRPr="00DF0DFA">
        <w:rPr>
          <w:rFonts w:ascii="Arial" w:hAnsi="Arial" w:cs="Arial"/>
          <w:sz w:val="20"/>
          <w:szCs w:val="20"/>
        </w:rPr>
        <w:t>National Cancer Intelligence Network, National Cancer Action team.</w:t>
      </w:r>
    </w:p>
    <w:p w:rsidR="00E945A2" w:rsidRPr="00DF0DFA" w:rsidRDefault="00E945A2" w:rsidP="00E945A2">
      <w:pPr>
        <w:autoSpaceDE w:val="0"/>
        <w:autoSpaceDN w:val="0"/>
        <w:adjustRightInd w:val="0"/>
        <w:spacing w:line="240" w:lineRule="auto"/>
        <w:rPr>
          <w:rFonts w:ascii="Arial" w:hAnsi="Arial" w:cs="Arial"/>
          <w:sz w:val="20"/>
          <w:szCs w:val="20"/>
        </w:rPr>
      </w:pPr>
      <w:proofErr w:type="gramStart"/>
      <w:r w:rsidRPr="00DF0DFA">
        <w:rPr>
          <w:rFonts w:ascii="Arial" w:hAnsi="Arial" w:cs="Arial"/>
          <w:sz w:val="20"/>
          <w:szCs w:val="20"/>
        </w:rPr>
        <w:t>National Cancer Intelligence Network (2009b).</w:t>
      </w:r>
      <w:proofErr w:type="gramEnd"/>
      <w:r w:rsidRPr="00DF0DFA">
        <w:rPr>
          <w:rFonts w:ascii="Arial" w:hAnsi="Arial" w:cs="Arial"/>
          <w:sz w:val="20"/>
          <w:szCs w:val="20"/>
        </w:rPr>
        <w:t xml:space="preserve"> </w:t>
      </w:r>
      <w:r w:rsidRPr="00DF0DFA">
        <w:rPr>
          <w:rFonts w:ascii="Arial" w:hAnsi="Arial" w:cs="Arial"/>
          <w:i/>
          <w:sz w:val="20"/>
          <w:szCs w:val="20"/>
        </w:rPr>
        <w:t xml:space="preserve">Cancer Incidence and Survival By Major Ethnic </w:t>
      </w:r>
      <w:proofErr w:type="spellStart"/>
      <w:r w:rsidRPr="00DF0DFA">
        <w:rPr>
          <w:rFonts w:ascii="Arial" w:hAnsi="Arial" w:cs="Arial"/>
          <w:i/>
          <w:sz w:val="20"/>
          <w:szCs w:val="20"/>
        </w:rPr>
        <w:t>Group</w:t>
      </w:r>
      <w:proofErr w:type="gramStart"/>
      <w:r w:rsidRPr="00DF0DFA">
        <w:rPr>
          <w:rFonts w:ascii="Arial" w:hAnsi="Arial" w:cs="Arial"/>
          <w:i/>
          <w:sz w:val="20"/>
          <w:szCs w:val="20"/>
        </w:rPr>
        <w:t>,England</w:t>
      </w:r>
      <w:proofErr w:type="spellEnd"/>
      <w:proofErr w:type="gramEnd"/>
      <w:r w:rsidRPr="00DF0DFA">
        <w:rPr>
          <w:rFonts w:ascii="Arial" w:hAnsi="Arial" w:cs="Arial"/>
          <w:i/>
          <w:sz w:val="20"/>
          <w:szCs w:val="20"/>
        </w:rPr>
        <w:t>, 2002 – 2006.</w:t>
      </w:r>
      <w:r w:rsidRPr="00DF0DFA">
        <w:rPr>
          <w:rFonts w:ascii="Arial" w:hAnsi="Arial" w:cs="Arial"/>
          <w:sz w:val="20"/>
          <w:szCs w:val="20"/>
        </w:rPr>
        <w:t xml:space="preserve"> In collaboration with: Cancer Research UK Cancer Survival Group, London School of Hygiene &amp; Tropical Medicine.</w:t>
      </w:r>
    </w:p>
    <w:p w:rsidR="001A34FC" w:rsidRDefault="001A34FC" w:rsidP="00E945A2">
      <w:pPr>
        <w:autoSpaceDE w:val="0"/>
        <w:autoSpaceDN w:val="0"/>
        <w:adjustRightInd w:val="0"/>
        <w:spacing w:line="240" w:lineRule="auto"/>
      </w:pPr>
      <w:proofErr w:type="gramStart"/>
      <w:r w:rsidRPr="00DF0DFA">
        <w:rPr>
          <w:rFonts w:ascii="Arial" w:hAnsi="Arial" w:cs="Arial"/>
          <w:sz w:val="20"/>
          <w:szCs w:val="20"/>
        </w:rPr>
        <w:t>National Cancer Intelligence Network (2010a).</w:t>
      </w:r>
      <w:proofErr w:type="gramEnd"/>
      <w:r w:rsidRPr="00DF0DFA">
        <w:rPr>
          <w:rFonts w:ascii="Arial" w:hAnsi="Arial" w:cs="Arial"/>
          <w:sz w:val="20"/>
          <w:szCs w:val="20"/>
        </w:rPr>
        <w:t xml:space="preserve"> Cancer equality measures by PCT – </w:t>
      </w:r>
      <w:r w:rsidR="00E77BFB" w:rsidRPr="00DF0DFA">
        <w:rPr>
          <w:rFonts w:ascii="Arial" w:hAnsi="Arial" w:cs="Arial"/>
          <w:sz w:val="20"/>
          <w:szCs w:val="20"/>
        </w:rPr>
        <w:t xml:space="preserve">Colorectal </w:t>
      </w:r>
      <w:r w:rsidRPr="00DF0DFA">
        <w:rPr>
          <w:rFonts w:ascii="Arial" w:hAnsi="Arial" w:cs="Arial"/>
          <w:sz w:val="20"/>
          <w:szCs w:val="20"/>
        </w:rPr>
        <w:t>Cancer, Equalities portal. Accessed 24</w:t>
      </w:r>
      <w:r w:rsidRPr="00DF0DFA">
        <w:rPr>
          <w:rFonts w:ascii="Arial" w:hAnsi="Arial" w:cs="Arial"/>
          <w:sz w:val="20"/>
          <w:szCs w:val="20"/>
          <w:vertAlign w:val="superscript"/>
        </w:rPr>
        <w:t>th</w:t>
      </w:r>
      <w:r w:rsidRPr="00DF0DFA">
        <w:rPr>
          <w:rFonts w:ascii="Arial" w:hAnsi="Arial" w:cs="Arial"/>
          <w:sz w:val="20"/>
          <w:szCs w:val="20"/>
        </w:rPr>
        <w:t xml:space="preserve"> June 2010, </w:t>
      </w:r>
      <w:hyperlink r:id="rId60" w:history="1">
        <w:r w:rsidR="00DF0DFA" w:rsidRPr="000D5D24">
          <w:rPr>
            <w:rStyle w:val="Hyperlink"/>
          </w:rPr>
          <w:t>http://library.ncin.org.uk/equalities/atlases_1_0/Colorectal/atlas.html?select=5LG&amp;indicator=i0</w:t>
        </w:r>
      </w:hyperlink>
    </w:p>
    <w:p w:rsidR="00DF0DFA" w:rsidRDefault="00F86A81" w:rsidP="00E945A2">
      <w:pPr>
        <w:autoSpaceDE w:val="0"/>
        <w:autoSpaceDN w:val="0"/>
        <w:adjustRightInd w:val="0"/>
        <w:spacing w:line="240" w:lineRule="auto"/>
      </w:pPr>
      <w:proofErr w:type="gramStart"/>
      <w:r w:rsidRPr="00DF0DFA">
        <w:rPr>
          <w:rFonts w:ascii="Arial" w:hAnsi="Arial" w:cs="Arial"/>
          <w:sz w:val="20"/>
          <w:szCs w:val="20"/>
        </w:rPr>
        <w:t xml:space="preserve">National Cancer Intelligence Network </w:t>
      </w:r>
      <w:r w:rsidR="001A34FC" w:rsidRPr="00DF0DFA">
        <w:rPr>
          <w:rFonts w:ascii="Arial" w:hAnsi="Arial" w:cs="Arial"/>
          <w:sz w:val="20"/>
          <w:szCs w:val="20"/>
        </w:rPr>
        <w:t>(</w:t>
      </w:r>
      <w:r w:rsidRPr="00DF0DFA">
        <w:rPr>
          <w:rFonts w:ascii="Arial" w:hAnsi="Arial" w:cs="Arial"/>
          <w:sz w:val="20"/>
          <w:szCs w:val="20"/>
        </w:rPr>
        <w:t>2010</w:t>
      </w:r>
      <w:r w:rsidR="001A34FC" w:rsidRPr="00DF0DFA">
        <w:rPr>
          <w:rFonts w:ascii="Arial" w:hAnsi="Arial" w:cs="Arial"/>
          <w:sz w:val="20"/>
          <w:szCs w:val="20"/>
        </w:rPr>
        <w:t>b</w:t>
      </w:r>
      <w:r w:rsidRPr="00DF0DFA">
        <w:rPr>
          <w:rFonts w:ascii="Arial" w:hAnsi="Arial" w:cs="Arial"/>
          <w:sz w:val="20"/>
          <w:szCs w:val="20"/>
        </w:rPr>
        <w:t>).</w:t>
      </w:r>
      <w:proofErr w:type="gramEnd"/>
      <w:r w:rsidRPr="00DF0DFA">
        <w:rPr>
          <w:rFonts w:ascii="Arial" w:hAnsi="Arial" w:cs="Arial"/>
          <w:sz w:val="20"/>
          <w:szCs w:val="20"/>
        </w:rPr>
        <w:t xml:space="preserve"> Cancer equality measures by PCT – Ethnicity data, Equalities portal. Accessed 11</w:t>
      </w:r>
      <w:r w:rsidRPr="00DF0DFA">
        <w:rPr>
          <w:rFonts w:ascii="Arial" w:hAnsi="Arial" w:cs="Arial"/>
          <w:sz w:val="20"/>
          <w:szCs w:val="20"/>
          <w:vertAlign w:val="superscript"/>
        </w:rPr>
        <w:t>th</w:t>
      </w:r>
      <w:r w:rsidRPr="00DF0DFA">
        <w:rPr>
          <w:rFonts w:ascii="Arial" w:hAnsi="Arial" w:cs="Arial"/>
          <w:sz w:val="20"/>
          <w:szCs w:val="20"/>
        </w:rPr>
        <w:t xml:space="preserve"> June 2010, </w:t>
      </w:r>
      <w:hyperlink r:id="rId61" w:history="1">
        <w:r w:rsidR="00DF0DFA" w:rsidRPr="000D5D24">
          <w:rPr>
            <w:rStyle w:val="Hyperlink"/>
            <w:rFonts w:ascii="Arial" w:hAnsi="Arial" w:cs="Arial"/>
            <w:sz w:val="20"/>
            <w:szCs w:val="20"/>
          </w:rPr>
          <w:t>http://library.ncin.org.uk/equalities/100319atlases/Ethnicity/atlas.html?select=5LG&amp;indicator=i0</w:t>
        </w:r>
      </w:hyperlink>
    </w:p>
    <w:p w:rsidR="00B508A2" w:rsidRPr="00762BEF" w:rsidRDefault="00B508A2" w:rsidP="00B508A2">
      <w:pPr>
        <w:autoSpaceDE w:val="0"/>
        <w:autoSpaceDN w:val="0"/>
        <w:adjustRightInd w:val="0"/>
        <w:spacing w:line="240" w:lineRule="auto"/>
        <w:rPr>
          <w:rFonts w:ascii="ArialMT" w:hAnsi="ArialMT" w:cs="ArialMT"/>
          <w:color w:val="1870B1"/>
          <w:sz w:val="42"/>
          <w:szCs w:val="42"/>
        </w:rPr>
      </w:pPr>
      <w:proofErr w:type="gramStart"/>
      <w:r>
        <w:rPr>
          <w:rFonts w:ascii="Arial" w:hAnsi="Arial" w:cs="Arial"/>
          <w:sz w:val="20"/>
          <w:szCs w:val="20"/>
        </w:rPr>
        <w:t>National Cancer Intelligence Network (2010c).</w:t>
      </w:r>
      <w:proofErr w:type="gramEnd"/>
      <w:r>
        <w:rPr>
          <w:rFonts w:ascii="Arial" w:hAnsi="Arial" w:cs="Arial"/>
          <w:sz w:val="20"/>
          <w:szCs w:val="20"/>
        </w:rPr>
        <w:t xml:space="preserve"> </w:t>
      </w:r>
      <w:proofErr w:type="gramStart"/>
      <w:r w:rsidRPr="00762BEF">
        <w:rPr>
          <w:rFonts w:ascii="Arial" w:hAnsi="Arial" w:cs="Arial"/>
          <w:i/>
          <w:sz w:val="20"/>
          <w:szCs w:val="20"/>
        </w:rPr>
        <w:t>One, Five and Ten Year Cancer Prevalence by Cancer Network, UK, 2006.</w:t>
      </w:r>
      <w:proofErr w:type="gramEnd"/>
      <w:r>
        <w:rPr>
          <w:rFonts w:ascii="Arial" w:hAnsi="Arial" w:cs="Arial"/>
          <w:sz w:val="20"/>
          <w:szCs w:val="20"/>
        </w:rPr>
        <w:t xml:space="preserve"> London: National Cancer Intelligence Network.</w:t>
      </w:r>
    </w:p>
    <w:p w:rsidR="00316DF2" w:rsidRPr="00DF0DFA" w:rsidRDefault="00316DF2" w:rsidP="00316DF2">
      <w:pPr>
        <w:autoSpaceDE w:val="0"/>
        <w:autoSpaceDN w:val="0"/>
        <w:adjustRightInd w:val="0"/>
        <w:spacing w:line="240" w:lineRule="auto"/>
        <w:rPr>
          <w:rFonts w:ascii="HelveticaNeue-Light" w:hAnsi="HelveticaNeue-Light" w:cs="HelveticaNeue-Light"/>
          <w:sz w:val="38"/>
          <w:szCs w:val="38"/>
        </w:rPr>
      </w:pPr>
      <w:proofErr w:type="gramStart"/>
      <w:r w:rsidRPr="00DF0DFA">
        <w:rPr>
          <w:rFonts w:ascii="Arial" w:hAnsi="Arial" w:cs="Arial"/>
          <w:sz w:val="20"/>
          <w:szCs w:val="20"/>
        </w:rPr>
        <w:t>Office of National Statistics (2002).</w:t>
      </w:r>
      <w:proofErr w:type="gramEnd"/>
      <w:r w:rsidRPr="00DF0DFA">
        <w:rPr>
          <w:rFonts w:ascii="Arial" w:hAnsi="Arial" w:cs="Arial"/>
          <w:sz w:val="20"/>
          <w:szCs w:val="20"/>
        </w:rPr>
        <w:t xml:space="preserve"> </w:t>
      </w:r>
      <w:r w:rsidRPr="00DF0DFA">
        <w:rPr>
          <w:rFonts w:ascii="Arial" w:hAnsi="Arial" w:cs="Arial"/>
          <w:i/>
          <w:sz w:val="20"/>
          <w:szCs w:val="20"/>
        </w:rPr>
        <w:t xml:space="preserve">The National Diet &amp; Nutrition Survey: adults aged 19 to 64 years. </w:t>
      </w:r>
      <w:r w:rsidRPr="00DF0DFA">
        <w:rPr>
          <w:rFonts w:ascii="Arial" w:hAnsi="Arial" w:cs="Arial"/>
          <w:sz w:val="20"/>
          <w:szCs w:val="20"/>
        </w:rPr>
        <w:t>Types and quantities of foods consumed, Volume 1. London: Her Majesty’s Stationary Office.</w:t>
      </w:r>
    </w:p>
    <w:p w:rsidR="00790CC5" w:rsidRDefault="00790CC5" w:rsidP="00CE3761">
      <w:pPr>
        <w:autoSpaceDE w:val="0"/>
        <w:autoSpaceDN w:val="0"/>
        <w:adjustRightInd w:val="0"/>
        <w:spacing w:line="240" w:lineRule="auto"/>
        <w:rPr>
          <w:rFonts w:ascii="Arial" w:hAnsi="Arial" w:cs="Arial"/>
          <w:sz w:val="20"/>
          <w:szCs w:val="20"/>
        </w:rPr>
      </w:pPr>
      <w:proofErr w:type="gramStart"/>
      <w:r w:rsidRPr="00DF0DFA">
        <w:rPr>
          <w:rFonts w:ascii="Arial" w:hAnsi="Arial" w:cs="Arial"/>
          <w:sz w:val="20"/>
          <w:szCs w:val="20"/>
        </w:rPr>
        <w:t>Office of National Statistics 2010).</w:t>
      </w:r>
      <w:proofErr w:type="gramEnd"/>
      <w:r w:rsidRPr="00DF0DFA">
        <w:rPr>
          <w:rFonts w:ascii="Arial" w:hAnsi="Arial" w:cs="Arial"/>
          <w:sz w:val="20"/>
          <w:szCs w:val="20"/>
        </w:rPr>
        <w:t xml:space="preserve"> </w:t>
      </w:r>
      <w:proofErr w:type="gramStart"/>
      <w:r w:rsidRPr="00DF0DFA">
        <w:rPr>
          <w:rFonts w:ascii="Arial" w:hAnsi="Arial" w:cs="Arial"/>
          <w:sz w:val="20"/>
          <w:szCs w:val="20"/>
        </w:rPr>
        <w:t>Cancer registration sta</w:t>
      </w:r>
      <w:r w:rsidR="001E0C56" w:rsidRPr="00DF0DFA">
        <w:rPr>
          <w:rFonts w:ascii="Arial" w:hAnsi="Arial" w:cs="Arial"/>
          <w:sz w:val="20"/>
          <w:szCs w:val="20"/>
        </w:rPr>
        <w:t>tistics 2007.</w:t>
      </w:r>
      <w:proofErr w:type="gramEnd"/>
      <w:r w:rsidR="001E0C56" w:rsidRPr="00DF0DFA">
        <w:rPr>
          <w:rFonts w:ascii="Arial" w:hAnsi="Arial" w:cs="Arial"/>
          <w:sz w:val="20"/>
          <w:szCs w:val="20"/>
        </w:rPr>
        <w:t xml:space="preserve"> Access 4</w:t>
      </w:r>
      <w:r w:rsidR="001E0C56" w:rsidRPr="00DF0DFA">
        <w:rPr>
          <w:rFonts w:ascii="Arial" w:hAnsi="Arial" w:cs="Arial"/>
          <w:sz w:val="20"/>
          <w:szCs w:val="20"/>
          <w:vertAlign w:val="superscript"/>
        </w:rPr>
        <w:t>th</w:t>
      </w:r>
      <w:r w:rsidR="001E0C56" w:rsidRPr="00DF0DFA">
        <w:rPr>
          <w:rFonts w:ascii="Arial" w:hAnsi="Arial" w:cs="Arial"/>
          <w:sz w:val="20"/>
          <w:szCs w:val="20"/>
        </w:rPr>
        <w:t xml:space="preserve"> June 2010, </w:t>
      </w:r>
      <w:hyperlink r:id="rId62" w:history="1">
        <w:r w:rsidR="00DF0DFA" w:rsidRPr="000D5D24">
          <w:rPr>
            <w:rStyle w:val="Hyperlink"/>
            <w:rFonts w:ascii="Arial" w:hAnsi="Arial" w:cs="Arial"/>
            <w:sz w:val="20"/>
            <w:szCs w:val="20"/>
          </w:rPr>
          <w:t>http://www.statistics.gov.uk/StatBase/Product.asp?vlnk=7720&amp;Pos=5&amp;ColRank=1&amp;Rank=160</w:t>
        </w:r>
      </w:hyperlink>
    </w:p>
    <w:p w:rsidR="002364FF" w:rsidRPr="00DF0DFA" w:rsidRDefault="002364FF" w:rsidP="002364FF">
      <w:pPr>
        <w:rPr>
          <w:rFonts w:ascii="Arial" w:eastAsia="Times New Roman" w:hAnsi="Arial" w:cs="Arial"/>
          <w:sz w:val="20"/>
          <w:szCs w:val="20"/>
          <w:lang w:eastAsia="en-GB"/>
        </w:rPr>
      </w:pPr>
      <w:proofErr w:type="spellStart"/>
      <w:proofErr w:type="gramStart"/>
      <w:r w:rsidRPr="00DF0DFA">
        <w:rPr>
          <w:rFonts w:ascii="Arial" w:hAnsi="Arial" w:cs="Arial"/>
          <w:sz w:val="20"/>
          <w:szCs w:val="20"/>
        </w:rPr>
        <w:t>Parkin</w:t>
      </w:r>
      <w:proofErr w:type="spellEnd"/>
      <w:r w:rsidRPr="00DF0DFA">
        <w:rPr>
          <w:rFonts w:ascii="Arial" w:hAnsi="Arial" w:cs="Arial"/>
          <w:sz w:val="20"/>
          <w:szCs w:val="20"/>
        </w:rPr>
        <w:t xml:space="preserve"> DM, Olsen A-H, </w:t>
      </w:r>
      <w:proofErr w:type="spellStart"/>
      <w:r w:rsidRPr="00DF0DFA">
        <w:rPr>
          <w:rFonts w:ascii="Arial" w:hAnsi="Arial" w:cs="Arial"/>
          <w:sz w:val="20"/>
          <w:szCs w:val="20"/>
        </w:rPr>
        <w:t>Sasieni</w:t>
      </w:r>
      <w:proofErr w:type="spellEnd"/>
      <w:r w:rsidRPr="00DF0DFA">
        <w:rPr>
          <w:rFonts w:ascii="Arial" w:hAnsi="Arial" w:cs="Arial"/>
          <w:sz w:val="20"/>
          <w:szCs w:val="20"/>
        </w:rPr>
        <w:t xml:space="preserve"> P (2009).</w:t>
      </w:r>
      <w:proofErr w:type="gramEnd"/>
      <w:r w:rsidRPr="00DF0DFA">
        <w:rPr>
          <w:rFonts w:ascii="Arial" w:hAnsi="Arial" w:cs="Arial"/>
          <w:sz w:val="20"/>
          <w:szCs w:val="20"/>
        </w:rPr>
        <w:t xml:space="preserve"> </w:t>
      </w:r>
      <w:proofErr w:type="gramStart"/>
      <w:r w:rsidRPr="00DF0DFA">
        <w:rPr>
          <w:rFonts w:ascii="Arial" w:hAnsi="Arial" w:cs="Arial"/>
          <w:i/>
          <w:sz w:val="20"/>
          <w:szCs w:val="20"/>
        </w:rPr>
        <w:t>The potential for prevention of colorectal cancer in the UK.</w:t>
      </w:r>
      <w:proofErr w:type="gramEnd"/>
      <w:r w:rsidRPr="00DF0DFA">
        <w:rPr>
          <w:rFonts w:ascii="Arial" w:hAnsi="Arial" w:cs="Arial"/>
          <w:i/>
          <w:sz w:val="20"/>
          <w:szCs w:val="20"/>
        </w:rPr>
        <w:t xml:space="preserve"> </w:t>
      </w:r>
      <w:r w:rsidRPr="00DF0DFA">
        <w:rPr>
          <w:rFonts w:ascii="Arial" w:eastAsia="Times New Roman" w:hAnsi="Arial" w:cs="Arial"/>
          <w:sz w:val="20"/>
          <w:szCs w:val="20"/>
          <w:lang w:eastAsia="en-GB"/>
        </w:rPr>
        <w:t>European Journal of Cancer Prevention, Issue: Volume 18(3), June 2009, pp 179-190</w:t>
      </w:r>
    </w:p>
    <w:p w:rsidR="002656F5" w:rsidRPr="00DF0DFA" w:rsidRDefault="002656F5" w:rsidP="00CE3761">
      <w:pPr>
        <w:autoSpaceDE w:val="0"/>
        <w:autoSpaceDN w:val="0"/>
        <w:adjustRightInd w:val="0"/>
        <w:spacing w:line="240" w:lineRule="auto"/>
        <w:rPr>
          <w:rFonts w:ascii="Arial" w:hAnsi="Arial" w:cs="Arial"/>
          <w:sz w:val="20"/>
          <w:szCs w:val="20"/>
        </w:rPr>
      </w:pPr>
      <w:proofErr w:type="spellStart"/>
      <w:r w:rsidRPr="00DF0DFA">
        <w:rPr>
          <w:rFonts w:ascii="Arial" w:hAnsi="Arial" w:cs="Arial"/>
          <w:sz w:val="20"/>
          <w:szCs w:val="20"/>
        </w:rPr>
        <w:t>Poynter</w:t>
      </w:r>
      <w:proofErr w:type="spellEnd"/>
      <w:r w:rsidRPr="00DF0DFA">
        <w:rPr>
          <w:rFonts w:ascii="Arial" w:hAnsi="Arial" w:cs="Arial"/>
          <w:sz w:val="20"/>
          <w:szCs w:val="20"/>
        </w:rPr>
        <w:t xml:space="preserve"> JN, </w:t>
      </w:r>
      <w:proofErr w:type="spellStart"/>
      <w:r w:rsidRPr="00DF0DFA">
        <w:rPr>
          <w:rFonts w:ascii="Arial" w:hAnsi="Arial" w:cs="Arial"/>
          <w:sz w:val="20"/>
          <w:szCs w:val="20"/>
        </w:rPr>
        <w:t>Haile</w:t>
      </w:r>
      <w:proofErr w:type="spellEnd"/>
      <w:r w:rsidRPr="00DF0DFA">
        <w:rPr>
          <w:rFonts w:ascii="Arial" w:hAnsi="Arial" w:cs="Arial"/>
          <w:sz w:val="20"/>
          <w:szCs w:val="20"/>
        </w:rPr>
        <w:t xml:space="preserve"> RW, </w:t>
      </w:r>
      <w:proofErr w:type="spellStart"/>
      <w:r w:rsidRPr="00DF0DFA">
        <w:rPr>
          <w:rFonts w:ascii="Arial" w:hAnsi="Arial" w:cs="Arial"/>
          <w:sz w:val="20"/>
          <w:szCs w:val="20"/>
        </w:rPr>
        <w:t>Siegmund</w:t>
      </w:r>
      <w:proofErr w:type="spellEnd"/>
      <w:r w:rsidRPr="00DF0DFA">
        <w:rPr>
          <w:rFonts w:ascii="Arial" w:hAnsi="Arial" w:cs="Arial"/>
          <w:sz w:val="20"/>
          <w:szCs w:val="20"/>
        </w:rPr>
        <w:t xml:space="preserve"> KD et al. (2009). </w:t>
      </w:r>
      <w:proofErr w:type="gramStart"/>
      <w:r w:rsidRPr="00DF0DFA">
        <w:rPr>
          <w:rStyle w:val="Strong"/>
          <w:rFonts w:ascii="Arial" w:hAnsi="Arial" w:cs="Arial"/>
          <w:b w:val="0"/>
          <w:i/>
          <w:sz w:val="20"/>
          <w:szCs w:val="20"/>
        </w:rPr>
        <w:t xml:space="preserve">Associations between smoking, alcohol consumption, and colorectal cancer, overall and by </w:t>
      </w:r>
      <w:proofErr w:type="spellStart"/>
      <w:r w:rsidRPr="00DF0DFA">
        <w:rPr>
          <w:rStyle w:val="Strong"/>
          <w:rFonts w:ascii="Arial" w:hAnsi="Arial" w:cs="Arial"/>
          <w:b w:val="0"/>
          <w:i/>
          <w:sz w:val="20"/>
          <w:szCs w:val="20"/>
        </w:rPr>
        <w:t>tumor</w:t>
      </w:r>
      <w:proofErr w:type="spellEnd"/>
      <w:r w:rsidRPr="00DF0DFA">
        <w:rPr>
          <w:rStyle w:val="Strong"/>
          <w:rFonts w:ascii="Arial" w:hAnsi="Arial" w:cs="Arial"/>
          <w:b w:val="0"/>
          <w:i/>
          <w:sz w:val="20"/>
          <w:szCs w:val="20"/>
        </w:rPr>
        <w:t xml:space="preserve"> microsatellite instability status.</w:t>
      </w:r>
      <w:proofErr w:type="gramEnd"/>
      <w:r w:rsidRPr="00DF0DFA">
        <w:rPr>
          <w:rStyle w:val="Strong"/>
          <w:rFonts w:ascii="Arial" w:hAnsi="Arial" w:cs="Arial"/>
          <w:sz w:val="20"/>
          <w:szCs w:val="20"/>
        </w:rPr>
        <w:t xml:space="preserve"> </w:t>
      </w:r>
      <w:r w:rsidRPr="00DF0DFA">
        <w:rPr>
          <w:rFonts w:ascii="Arial" w:hAnsi="Arial" w:cs="Arial"/>
          <w:sz w:val="20"/>
          <w:szCs w:val="20"/>
        </w:rPr>
        <w:t>Cancer Epidemiology, Biomarkers &amp; Prevention, Oct 2009, vol</w:t>
      </w:r>
      <w:proofErr w:type="gramStart"/>
      <w:r w:rsidRPr="00DF0DFA">
        <w:rPr>
          <w:rFonts w:ascii="Arial" w:hAnsi="Arial" w:cs="Arial"/>
          <w:sz w:val="20"/>
          <w:szCs w:val="20"/>
        </w:rPr>
        <w:t>./</w:t>
      </w:r>
      <w:proofErr w:type="gramEnd"/>
      <w:r w:rsidRPr="00DF0DFA">
        <w:rPr>
          <w:rFonts w:ascii="Arial" w:hAnsi="Arial" w:cs="Arial"/>
          <w:sz w:val="20"/>
          <w:szCs w:val="20"/>
        </w:rPr>
        <w:t>is. 18/10(2745-50), 1055-9965</w:t>
      </w:r>
      <w:proofErr w:type="gramStart"/>
      <w:r w:rsidRPr="00DF0DFA">
        <w:rPr>
          <w:rFonts w:ascii="Arial" w:hAnsi="Arial" w:cs="Arial"/>
          <w:sz w:val="20"/>
          <w:szCs w:val="20"/>
        </w:rPr>
        <w:t>;1538</w:t>
      </w:r>
      <w:proofErr w:type="gramEnd"/>
      <w:r w:rsidRPr="00DF0DFA">
        <w:rPr>
          <w:rFonts w:ascii="Arial" w:hAnsi="Arial" w:cs="Arial"/>
          <w:sz w:val="20"/>
          <w:szCs w:val="20"/>
        </w:rPr>
        <w:t>-7755 (2009 Oct).</w:t>
      </w:r>
    </w:p>
    <w:p w:rsidR="00007D4C" w:rsidRPr="00DF0DFA" w:rsidRDefault="00C3439C" w:rsidP="00CE3761">
      <w:pPr>
        <w:autoSpaceDE w:val="0"/>
        <w:autoSpaceDN w:val="0"/>
        <w:adjustRightInd w:val="0"/>
        <w:spacing w:line="240" w:lineRule="auto"/>
        <w:rPr>
          <w:rFonts w:ascii="Arial" w:hAnsi="Arial" w:cs="Arial"/>
          <w:sz w:val="20"/>
          <w:szCs w:val="20"/>
        </w:rPr>
      </w:pPr>
      <w:r w:rsidRPr="00DF0DFA">
        <w:rPr>
          <w:rFonts w:ascii="Arial" w:hAnsi="Arial" w:cs="Arial"/>
          <w:sz w:val="20"/>
          <w:szCs w:val="20"/>
        </w:rPr>
        <w:t xml:space="preserve">Pollock </w:t>
      </w:r>
      <w:proofErr w:type="gramStart"/>
      <w:r w:rsidRPr="00DF0DFA">
        <w:rPr>
          <w:rFonts w:ascii="Arial" w:hAnsi="Arial" w:cs="Arial"/>
          <w:sz w:val="20"/>
          <w:szCs w:val="20"/>
        </w:rPr>
        <w:t>AM</w:t>
      </w:r>
      <w:proofErr w:type="gramEnd"/>
      <w:r w:rsidRPr="00DF0DFA">
        <w:rPr>
          <w:rFonts w:ascii="Arial" w:hAnsi="Arial" w:cs="Arial"/>
          <w:sz w:val="20"/>
          <w:szCs w:val="20"/>
        </w:rPr>
        <w:t xml:space="preserve">, </w:t>
      </w:r>
      <w:r w:rsidR="00007D4C" w:rsidRPr="00DF0DFA">
        <w:rPr>
          <w:rFonts w:ascii="Arial" w:hAnsi="Arial" w:cs="Arial"/>
          <w:sz w:val="20"/>
          <w:szCs w:val="20"/>
        </w:rPr>
        <w:t xml:space="preserve">Vickers N (1997). </w:t>
      </w:r>
      <w:r w:rsidR="00007D4C" w:rsidRPr="00DF0DFA">
        <w:rPr>
          <w:rStyle w:val="Strong"/>
          <w:rFonts w:ascii="Arial" w:hAnsi="Arial" w:cs="Arial"/>
          <w:b w:val="0"/>
          <w:i/>
          <w:sz w:val="20"/>
          <w:szCs w:val="20"/>
        </w:rPr>
        <w:t>Breast, lung and colorectal cancer incidence and survival in South Thames Region, 1987-1992: the effect of social deprivation.</w:t>
      </w:r>
      <w:r w:rsidR="00007D4C" w:rsidRPr="00DF0DFA">
        <w:rPr>
          <w:rStyle w:val="Strong"/>
          <w:rFonts w:ascii="Arial" w:hAnsi="Arial" w:cs="Arial"/>
          <w:sz w:val="20"/>
          <w:szCs w:val="20"/>
        </w:rPr>
        <w:t xml:space="preserve"> </w:t>
      </w:r>
      <w:r w:rsidR="00007D4C" w:rsidRPr="00DF0DFA">
        <w:rPr>
          <w:rFonts w:ascii="Arial" w:hAnsi="Arial" w:cs="Arial"/>
          <w:sz w:val="20"/>
          <w:szCs w:val="20"/>
        </w:rPr>
        <w:t>Journal of Public Health Medicine, Sep 1997, vol</w:t>
      </w:r>
      <w:proofErr w:type="gramStart"/>
      <w:r w:rsidR="00007D4C" w:rsidRPr="00DF0DFA">
        <w:rPr>
          <w:rFonts w:ascii="Arial" w:hAnsi="Arial" w:cs="Arial"/>
          <w:sz w:val="20"/>
          <w:szCs w:val="20"/>
        </w:rPr>
        <w:t>./</w:t>
      </w:r>
      <w:proofErr w:type="gramEnd"/>
      <w:r w:rsidR="00007D4C" w:rsidRPr="00DF0DFA">
        <w:rPr>
          <w:rFonts w:ascii="Arial" w:hAnsi="Arial" w:cs="Arial"/>
          <w:sz w:val="20"/>
          <w:szCs w:val="20"/>
        </w:rPr>
        <w:t>is. 19/3(288-94), 0957-4832</w:t>
      </w:r>
      <w:proofErr w:type="gramStart"/>
      <w:r w:rsidR="00007D4C" w:rsidRPr="00DF0DFA">
        <w:rPr>
          <w:rFonts w:ascii="Arial" w:hAnsi="Arial" w:cs="Arial"/>
          <w:sz w:val="20"/>
          <w:szCs w:val="20"/>
        </w:rPr>
        <w:t>;0957</w:t>
      </w:r>
      <w:proofErr w:type="gramEnd"/>
      <w:r w:rsidR="00007D4C" w:rsidRPr="00DF0DFA">
        <w:rPr>
          <w:rFonts w:ascii="Arial" w:hAnsi="Arial" w:cs="Arial"/>
          <w:sz w:val="20"/>
          <w:szCs w:val="20"/>
        </w:rPr>
        <w:t>-4832 (1997 Sep).</w:t>
      </w:r>
    </w:p>
    <w:p w:rsidR="00E144D8" w:rsidRDefault="00E144D8" w:rsidP="00E144D8">
      <w:pPr>
        <w:spacing w:line="240" w:lineRule="auto"/>
        <w:rPr>
          <w:rFonts w:ascii="Arial" w:eastAsia="Times New Roman" w:hAnsi="Arial" w:cs="Arial"/>
          <w:sz w:val="20"/>
          <w:szCs w:val="20"/>
          <w:lang w:eastAsia="en-GB"/>
        </w:rPr>
      </w:pPr>
      <w:proofErr w:type="spellStart"/>
      <w:r w:rsidRPr="00DF0DFA">
        <w:rPr>
          <w:rFonts w:ascii="Arial" w:hAnsi="Arial" w:cs="Arial"/>
          <w:sz w:val="20"/>
          <w:szCs w:val="20"/>
        </w:rPr>
        <w:t>Qasim</w:t>
      </w:r>
      <w:proofErr w:type="spellEnd"/>
      <w:r w:rsidRPr="00DF0DFA">
        <w:rPr>
          <w:rFonts w:ascii="Arial" w:hAnsi="Arial" w:cs="Arial"/>
          <w:sz w:val="20"/>
          <w:szCs w:val="20"/>
        </w:rPr>
        <w:t xml:space="preserve"> A, </w:t>
      </w:r>
      <w:proofErr w:type="spellStart"/>
      <w:r w:rsidRPr="00DF0DFA">
        <w:rPr>
          <w:rFonts w:ascii="Arial" w:hAnsi="Arial" w:cs="Arial"/>
          <w:sz w:val="20"/>
          <w:szCs w:val="20"/>
        </w:rPr>
        <w:t>O'Morain</w:t>
      </w:r>
      <w:proofErr w:type="spellEnd"/>
      <w:r w:rsidRPr="00DF0DFA">
        <w:rPr>
          <w:rFonts w:ascii="Arial" w:hAnsi="Arial" w:cs="Arial"/>
          <w:sz w:val="20"/>
          <w:szCs w:val="20"/>
        </w:rPr>
        <w:t xml:space="preserve"> C (2010). </w:t>
      </w:r>
      <w:r w:rsidRPr="00DF0DFA">
        <w:rPr>
          <w:rFonts w:ascii="Arial" w:hAnsi="Arial" w:cs="Arial"/>
          <w:i/>
          <w:sz w:val="20"/>
          <w:szCs w:val="20"/>
        </w:rPr>
        <w:t xml:space="preserve">Primary prevention of colorectal cancer: are we closer to reality? </w:t>
      </w:r>
      <w:r w:rsidRPr="00DF0DFA">
        <w:rPr>
          <w:rFonts w:ascii="Arial" w:eastAsia="Times New Roman" w:hAnsi="Arial" w:cs="Arial"/>
          <w:sz w:val="20"/>
          <w:szCs w:val="20"/>
          <w:lang w:eastAsia="en-GB"/>
        </w:rPr>
        <w:t xml:space="preserve">European Journal of Gastroenterology &amp; </w:t>
      </w:r>
      <w:proofErr w:type="spellStart"/>
      <w:r w:rsidRPr="00DF0DFA">
        <w:rPr>
          <w:rFonts w:ascii="Arial" w:eastAsia="Times New Roman" w:hAnsi="Arial" w:cs="Arial"/>
          <w:sz w:val="20"/>
          <w:szCs w:val="20"/>
          <w:lang w:eastAsia="en-GB"/>
        </w:rPr>
        <w:t>Hepatology</w:t>
      </w:r>
      <w:proofErr w:type="spellEnd"/>
      <w:r w:rsidRPr="00DF0DFA">
        <w:rPr>
          <w:rFonts w:ascii="Arial" w:eastAsia="Times New Roman" w:hAnsi="Arial" w:cs="Arial"/>
          <w:sz w:val="20"/>
          <w:szCs w:val="20"/>
          <w:lang w:eastAsia="en-GB"/>
        </w:rPr>
        <w:t>, Issue: Volume 22(1), January 2010, pp 9-17</w:t>
      </w:r>
      <w:r w:rsidR="00177561">
        <w:rPr>
          <w:rFonts w:ascii="Arial" w:eastAsia="Times New Roman" w:hAnsi="Arial" w:cs="Arial"/>
          <w:sz w:val="20"/>
          <w:szCs w:val="20"/>
          <w:lang w:eastAsia="en-GB"/>
        </w:rPr>
        <w:t>.</w:t>
      </w:r>
    </w:p>
    <w:p w:rsidR="00177561" w:rsidRPr="00F50674" w:rsidRDefault="00177561" w:rsidP="00177561">
      <w:pPr>
        <w:shd w:val="clear" w:color="auto" w:fill="FFFFFF"/>
        <w:spacing w:line="240" w:lineRule="auto"/>
        <w:jc w:val="both"/>
        <w:rPr>
          <w:rFonts w:ascii="Arial" w:hAnsi="Arial" w:cs="Arial"/>
          <w:sz w:val="20"/>
          <w:szCs w:val="20"/>
        </w:rPr>
      </w:pPr>
      <w:r w:rsidRPr="00F50674">
        <w:rPr>
          <w:rFonts w:ascii="Arial" w:hAnsi="Arial" w:cs="Arial"/>
          <w:sz w:val="20"/>
          <w:szCs w:val="20"/>
        </w:rPr>
        <w:t xml:space="preserve">Richards MA (2009). </w:t>
      </w:r>
      <w:proofErr w:type="gramStart"/>
      <w:r w:rsidRPr="00F50674">
        <w:rPr>
          <w:rFonts w:ascii="Arial" w:hAnsi="Arial" w:cs="Arial"/>
          <w:i/>
          <w:sz w:val="20"/>
          <w:szCs w:val="20"/>
        </w:rPr>
        <w:t>The size of the prize for earlier diagnosis of cancer in England.</w:t>
      </w:r>
      <w:proofErr w:type="gramEnd"/>
      <w:r w:rsidRPr="00F50674">
        <w:rPr>
          <w:rFonts w:ascii="Arial" w:hAnsi="Arial" w:cs="Arial"/>
          <w:sz w:val="20"/>
          <w:szCs w:val="20"/>
        </w:rPr>
        <w:t xml:space="preserve"> </w:t>
      </w:r>
      <w:proofErr w:type="gramStart"/>
      <w:r w:rsidRPr="00F50674">
        <w:rPr>
          <w:rFonts w:ascii="Arial" w:hAnsi="Arial" w:cs="Arial"/>
          <w:sz w:val="20"/>
          <w:szCs w:val="20"/>
        </w:rPr>
        <w:t>British Journal of Cancer (2009) 101, S125 – S129.</w:t>
      </w:r>
      <w:proofErr w:type="gramEnd"/>
    </w:p>
    <w:p w:rsidR="0005258E" w:rsidRDefault="0005258E" w:rsidP="0005258E">
      <w:pPr>
        <w:shd w:val="clear" w:color="auto" w:fill="FFFFFF"/>
        <w:spacing w:line="240" w:lineRule="auto"/>
        <w:jc w:val="both"/>
        <w:rPr>
          <w:rFonts w:ascii="Arial" w:hAnsi="Arial" w:cs="Arial"/>
          <w:sz w:val="20"/>
          <w:szCs w:val="20"/>
        </w:rPr>
      </w:pPr>
      <w:r>
        <w:rPr>
          <w:rFonts w:ascii="Arial" w:hAnsi="Arial" w:cs="Arial"/>
          <w:sz w:val="20"/>
          <w:szCs w:val="20"/>
        </w:rPr>
        <w:t>Royal Marsden NHS Foundation Trust (2010). Email correspondence, dated 13/07/10, with David Marwick, Royal Marsden NHS Found Trust.</w:t>
      </w:r>
    </w:p>
    <w:p w:rsidR="00F71FCD" w:rsidRPr="00DF0DFA" w:rsidRDefault="00F71FCD" w:rsidP="00CE3761">
      <w:pPr>
        <w:autoSpaceDE w:val="0"/>
        <w:autoSpaceDN w:val="0"/>
        <w:adjustRightInd w:val="0"/>
        <w:spacing w:line="240" w:lineRule="auto"/>
        <w:rPr>
          <w:rFonts w:ascii="Arial" w:hAnsi="Arial" w:cs="Arial"/>
          <w:sz w:val="20"/>
          <w:szCs w:val="20"/>
        </w:rPr>
      </w:pPr>
      <w:proofErr w:type="gramStart"/>
      <w:r w:rsidRPr="00DF0DFA">
        <w:rPr>
          <w:rFonts w:ascii="Arial" w:hAnsi="Arial" w:cs="Arial"/>
          <w:sz w:val="20"/>
          <w:szCs w:val="20"/>
        </w:rPr>
        <w:t>Slattery ML, Edwards S, Curtin K (2003).</w:t>
      </w:r>
      <w:proofErr w:type="gramEnd"/>
      <w:r w:rsidRPr="00DF0DFA">
        <w:rPr>
          <w:rFonts w:ascii="Arial" w:hAnsi="Arial" w:cs="Arial"/>
          <w:sz w:val="20"/>
          <w:szCs w:val="20"/>
        </w:rPr>
        <w:t xml:space="preserve"> </w:t>
      </w:r>
      <w:proofErr w:type="gramStart"/>
      <w:r w:rsidRPr="00DF0DFA">
        <w:rPr>
          <w:rFonts w:ascii="Arial" w:hAnsi="Arial" w:cs="Arial"/>
          <w:i/>
          <w:sz w:val="20"/>
          <w:szCs w:val="20"/>
        </w:rPr>
        <w:t>Physical activity and colorectal cancer</w:t>
      </w:r>
      <w:r w:rsidRPr="00DF0DFA">
        <w:rPr>
          <w:rFonts w:ascii="Arial" w:hAnsi="Arial" w:cs="Arial"/>
          <w:sz w:val="20"/>
          <w:szCs w:val="20"/>
        </w:rPr>
        <w:t>.</w:t>
      </w:r>
      <w:proofErr w:type="gramEnd"/>
      <w:r w:rsidRPr="00DF0DFA">
        <w:rPr>
          <w:rFonts w:ascii="Arial" w:hAnsi="Arial" w:cs="Arial"/>
          <w:sz w:val="20"/>
          <w:szCs w:val="20"/>
        </w:rPr>
        <w:t xml:space="preserve"> Am J </w:t>
      </w:r>
      <w:proofErr w:type="spellStart"/>
      <w:r w:rsidRPr="00DF0DFA">
        <w:rPr>
          <w:rFonts w:ascii="Arial" w:hAnsi="Arial" w:cs="Arial"/>
          <w:sz w:val="20"/>
          <w:szCs w:val="20"/>
        </w:rPr>
        <w:t>Epidemiol</w:t>
      </w:r>
      <w:proofErr w:type="spellEnd"/>
      <w:r w:rsidRPr="00DF0DFA">
        <w:rPr>
          <w:rFonts w:ascii="Arial" w:hAnsi="Arial" w:cs="Arial"/>
          <w:sz w:val="20"/>
          <w:szCs w:val="20"/>
        </w:rPr>
        <w:t xml:space="preserve"> 158:214–</w:t>
      </w:r>
      <w:proofErr w:type="gramStart"/>
      <w:r w:rsidRPr="00DF0DFA">
        <w:rPr>
          <w:rFonts w:ascii="Arial" w:hAnsi="Arial" w:cs="Arial"/>
          <w:sz w:val="20"/>
          <w:szCs w:val="20"/>
        </w:rPr>
        <w:t>224.</w:t>
      </w:r>
      <w:proofErr w:type="gramEnd"/>
    </w:p>
    <w:p w:rsidR="00E24146" w:rsidRPr="00DF0DFA" w:rsidRDefault="00E24146" w:rsidP="00E24146">
      <w:pPr>
        <w:autoSpaceDE w:val="0"/>
        <w:autoSpaceDN w:val="0"/>
        <w:adjustRightInd w:val="0"/>
        <w:spacing w:line="240" w:lineRule="auto"/>
        <w:rPr>
          <w:rFonts w:ascii="Barmeno-Regular" w:hAnsi="Barmeno-Regular" w:cs="Barmeno-Regular"/>
          <w:sz w:val="20"/>
          <w:szCs w:val="20"/>
        </w:rPr>
      </w:pPr>
      <w:proofErr w:type="spellStart"/>
      <w:r w:rsidRPr="00DF0DFA">
        <w:rPr>
          <w:rFonts w:ascii="Barmeno-Regular" w:hAnsi="Barmeno-Regular" w:cs="Barmeno-Regular"/>
          <w:sz w:val="20"/>
          <w:szCs w:val="20"/>
        </w:rPr>
        <w:t>Swerdlow</w:t>
      </w:r>
      <w:proofErr w:type="spellEnd"/>
      <w:r w:rsidRPr="00DF0DFA">
        <w:rPr>
          <w:rFonts w:ascii="Barmeno-Regular" w:hAnsi="Barmeno-Regular" w:cs="Barmeno-Regular"/>
          <w:sz w:val="20"/>
          <w:szCs w:val="20"/>
        </w:rPr>
        <w:t xml:space="preserve"> AJ, Marmot MG, </w:t>
      </w:r>
      <w:proofErr w:type="spellStart"/>
      <w:r w:rsidRPr="00DF0DFA">
        <w:rPr>
          <w:rFonts w:ascii="Barmeno-Regular" w:hAnsi="Barmeno-Regular" w:cs="Barmeno-Regular"/>
          <w:sz w:val="20"/>
          <w:szCs w:val="20"/>
        </w:rPr>
        <w:t>Grulich</w:t>
      </w:r>
      <w:proofErr w:type="spellEnd"/>
      <w:r w:rsidRPr="00DF0DFA">
        <w:rPr>
          <w:rFonts w:ascii="Barmeno-Regular" w:hAnsi="Barmeno-Regular" w:cs="Barmeno-Regular"/>
          <w:sz w:val="20"/>
          <w:szCs w:val="20"/>
        </w:rPr>
        <w:t xml:space="preserve"> </w:t>
      </w:r>
      <w:r w:rsidR="0089346C" w:rsidRPr="00DF0DFA">
        <w:rPr>
          <w:rFonts w:ascii="Barmeno-Regular" w:hAnsi="Barmeno-Regular" w:cs="Barmeno-Regular"/>
          <w:sz w:val="20"/>
          <w:szCs w:val="20"/>
        </w:rPr>
        <w:t>AE</w:t>
      </w:r>
      <w:r w:rsidRPr="00DF0DFA">
        <w:rPr>
          <w:rFonts w:ascii="Barmeno-Regular" w:hAnsi="Barmeno-Regular" w:cs="Barmeno-Regular"/>
          <w:sz w:val="20"/>
          <w:szCs w:val="20"/>
        </w:rPr>
        <w:t xml:space="preserve"> </w:t>
      </w:r>
      <w:r w:rsidR="0089346C" w:rsidRPr="00DF0DFA">
        <w:rPr>
          <w:rFonts w:ascii="Barmeno-Regular" w:hAnsi="Barmeno-Regular" w:cs="Barmeno-Regular"/>
          <w:sz w:val="20"/>
          <w:szCs w:val="20"/>
        </w:rPr>
        <w:t>et al</w:t>
      </w:r>
      <w:r w:rsidRPr="00DF0DFA">
        <w:rPr>
          <w:rFonts w:ascii="Barmeno-Regular" w:hAnsi="Barmeno-Regular" w:cs="Barmeno-Regular"/>
          <w:sz w:val="20"/>
          <w:szCs w:val="20"/>
        </w:rPr>
        <w:t xml:space="preserve">. (1995). </w:t>
      </w:r>
      <w:proofErr w:type="gramStart"/>
      <w:r w:rsidRPr="00DF0DFA">
        <w:rPr>
          <w:rFonts w:ascii="Barmeno-Regular" w:hAnsi="Barmeno-Regular" w:cs="Barmeno-Regular"/>
          <w:i/>
          <w:sz w:val="20"/>
          <w:szCs w:val="20"/>
        </w:rPr>
        <w:t>Cancer mortality in Indian and British ethnic immigrants from the Indian subcontinent to England and Wales.</w:t>
      </w:r>
      <w:proofErr w:type="gramEnd"/>
      <w:r w:rsidRPr="00DF0DFA">
        <w:rPr>
          <w:rFonts w:ascii="Barmeno-Regular" w:hAnsi="Barmeno-Regular" w:cs="Barmeno-Regular"/>
          <w:sz w:val="20"/>
          <w:szCs w:val="20"/>
        </w:rPr>
        <w:t xml:space="preserve"> </w:t>
      </w:r>
      <w:proofErr w:type="gramStart"/>
      <w:r w:rsidRPr="00DF0DFA">
        <w:rPr>
          <w:rFonts w:ascii="Barmeno-Regular" w:hAnsi="Barmeno-Regular" w:cs="Barmeno-Regular"/>
          <w:sz w:val="20"/>
          <w:szCs w:val="20"/>
        </w:rPr>
        <w:t>Br J Cancer.</w:t>
      </w:r>
      <w:proofErr w:type="gramEnd"/>
      <w:r w:rsidRPr="00DF0DFA">
        <w:rPr>
          <w:rFonts w:ascii="Barmeno-Regular" w:hAnsi="Barmeno-Regular" w:cs="Barmeno-Regular"/>
          <w:sz w:val="20"/>
          <w:szCs w:val="20"/>
        </w:rPr>
        <w:t xml:space="preserve"> 72:1312-9.</w:t>
      </w:r>
    </w:p>
    <w:p w:rsidR="00F21059" w:rsidRDefault="00F21059" w:rsidP="00F21059">
      <w:pPr>
        <w:autoSpaceDE w:val="0"/>
        <w:autoSpaceDN w:val="0"/>
        <w:adjustRightInd w:val="0"/>
        <w:spacing w:line="240" w:lineRule="auto"/>
        <w:rPr>
          <w:rFonts w:ascii="Barmeno-Regular" w:hAnsi="Barmeno-Regular" w:cs="Barmeno-Regular"/>
          <w:sz w:val="20"/>
          <w:szCs w:val="20"/>
        </w:rPr>
      </w:pPr>
      <w:proofErr w:type="gramStart"/>
      <w:r>
        <w:rPr>
          <w:rFonts w:ascii="Barmeno-Regular" w:hAnsi="Barmeno-Regular" w:cs="Barmeno-Regular"/>
          <w:sz w:val="20"/>
          <w:szCs w:val="20"/>
        </w:rPr>
        <w:t>SWLCN (2010).</w:t>
      </w:r>
      <w:proofErr w:type="gramEnd"/>
      <w:r>
        <w:rPr>
          <w:rFonts w:ascii="Barmeno-Regular" w:hAnsi="Barmeno-Regular" w:cs="Barmeno-Regular"/>
          <w:sz w:val="20"/>
          <w:szCs w:val="20"/>
        </w:rPr>
        <w:t xml:space="preserve"> </w:t>
      </w:r>
      <w:proofErr w:type="gramStart"/>
      <w:r w:rsidRPr="00EB0B92">
        <w:rPr>
          <w:rFonts w:ascii="Barmeno-Regular" w:hAnsi="Barmeno-Regular" w:cs="Barmeno-Regular"/>
          <w:i/>
          <w:sz w:val="20"/>
          <w:szCs w:val="20"/>
        </w:rPr>
        <w:t>South West London Cancer Network Report of National Primary Care Cancer Audit.</w:t>
      </w:r>
      <w:proofErr w:type="gramEnd"/>
      <w:r>
        <w:rPr>
          <w:rFonts w:ascii="Barmeno-Regular" w:hAnsi="Barmeno-Regular" w:cs="Barmeno-Regular"/>
          <w:sz w:val="20"/>
          <w:szCs w:val="20"/>
        </w:rPr>
        <w:t xml:space="preserve"> </w:t>
      </w:r>
      <w:proofErr w:type="gramStart"/>
      <w:r>
        <w:rPr>
          <w:rFonts w:ascii="Barmeno-Regular" w:hAnsi="Barmeno-Regular" w:cs="Barmeno-Regular"/>
          <w:sz w:val="20"/>
          <w:szCs w:val="20"/>
        </w:rPr>
        <w:t>Written by Dr. Assad Pasha and Amanda Cranston.</w:t>
      </w:r>
      <w:proofErr w:type="gramEnd"/>
      <w:r>
        <w:rPr>
          <w:rFonts w:ascii="Barmeno-Regular" w:hAnsi="Barmeno-Regular" w:cs="Barmeno-Regular"/>
          <w:sz w:val="20"/>
          <w:szCs w:val="20"/>
        </w:rPr>
        <w:t xml:space="preserve"> </w:t>
      </w:r>
    </w:p>
    <w:p w:rsidR="00922E19" w:rsidRDefault="00922E19" w:rsidP="00922E19">
      <w:pPr>
        <w:spacing w:line="240" w:lineRule="auto"/>
        <w:rPr>
          <w:rFonts w:ascii="Arial" w:hAnsi="Arial" w:cs="Arial"/>
          <w:sz w:val="20"/>
          <w:szCs w:val="20"/>
        </w:rPr>
      </w:pPr>
      <w:proofErr w:type="gramStart"/>
      <w:r>
        <w:rPr>
          <w:rFonts w:ascii="Arial" w:hAnsi="Arial" w:cs="Arial"/>
          <w:sz w:val="20"/>
          <w:szCs w:val="20"/>
        </w:rPr>
        <w:t>Thames Cancer Registry (2009).</w:t>
      </w:r>
      <w:proofErr w:type="gramEnd"/>
      <w:r>
        <w:rPr>
          <w:rFonts w:ascii="Arial" w:hAnsi="Arial" w:cs="Arial"/>
          <w:sz w:val="20"/>
          <w:szCs w:val="20"/>
        </w:rPr>
        <w:t xml:space="preserve"> Data extract provided by the Thames Cancer Registry, December 2009.</w:t>
      </w:r>
    </w:p>
    <w:p w:rsidR="002755D2" w:rsidRPr="00DF0DFA" w:rsidRDefault="002755D2" w:rsidP="002755D2">
      <w:pPr>
        <w:autoSpaceDE w:val="0"/>
        <w:autoSpaceDN w:val="0"/>
        <w:adjustRightInd w:val="0"/>
        <w:spacing w:line="240" w:lineRule="auto"/>
        <w:rPr>
          <w:rFonts w:ascii="Arial" w:hAnsi="Arial" w:cs="Arial"/>
          <w:bCs/>
          <w:sz w:val="20"/>
          <w:szCs w:val="20"/>
        </w:rPr>
      </w:pPr>
      <w:proofErr w:type="gramStart"/>
      <w:r w:rsidRPr="00DF0DFA">
        <w:rPr>
          <w:rFonts w:ascii="Arial" w:hAnsi="Arial" w:cs="Arial"/>
          <w:sz w:val="20"/>
          <w:szCs w:val="20"/>
        </w:rPr>
        <w:t>The Information Centre (2006).</w:t>
      </w:r>
      <w:proofErr w:type="gramEnd"/>
      <w:r w:rsidRPr="00DF0DFA">
        <w:rPr>
          <w:rFonts w:ascii="HelveticaNeue-Black" w:hAnsi="HelveticaNeue-Black" w:cs="HelveticaNeue-Black"/>
          <w:b/>
          <w:bCs/>
          <w:sz w:val="60"/>
          <w:szCs w:val="60"/>
        </w:rPr>
        <w:t xml:space="preserve"> </w:t>
      </w:r>
      <w:proofErr w:type="gramStart"/>
      <w:r w:rsidRPr="00DF0DFA">
        <w:rPr>
          <w:rFonts w:ascii="Arial" w:hAnsi="Arial" w:cs="Arial"/>
          <w:sz w:val="20"/>
          <w:szCs w:val="20"/>
        </w:rPr>
        <w:t xml:space="preserve">Health survey for England 2006 – Volume 1 - </w:t>
      </w:r>
      <w:r w:rsidRPr="00DF0DFA">
        <w:rPr>
          <w:rFonts w:ascii="Arial" w:hAnsi="Arial" w:cs="Arial"/>
          <w:bCs/>
          <w:sz w:val="20"/>
          <w:szCs w:val="20"/>
        </w:rPr>
        <w:t>Cardiovascular disease and risk factors in adults.</w:t>
      </w:r>
      <w:proofErr w:type="gramEnd"/>
      <w:r w:rsidRPr="00DF0DFA">
        <w:rPr>
          <w:rFonts w:ascii="Arial" w:hAnsi="Arial" w:cs="Arial"/>
          <w:bCs/>
          <w:sz w:val="20"/>
          <w:szCs w:val="20"/>
        </w:rPr>
        <w:t xml:space="preserve"> </w:t>
      </w:r>
      <w:r w:rsidRPr="00DF0DFA">
        <w:rPr>
          <w:rFonts w:ascii="Arial" w:hAnsi="Arial" w:cs="Arial"/>
          <w:sz w:val="20"/>
          <w:szCs w:val="20"/>
        </w:rPr>
        <w:t>Leeds: The NHS Information Centre for health and social care.</w:t>
      </w:r>
    </w:p>
    <w:p w:rsidR="00137095" w:rsidRDefault="00137095" w:rsidP="00137095">
      <w:pPr>
        <w:autoSpaceDE w:val="0"/>
        <w:autoSpaceDN w:val="0"/>
        <w:adjustRightInd w:val="0"/>
        <w:spacing w:line="240" w:lineRule="auto"/>
        <w:rPr>
          <w:rFonts w:ascii="Arial" w:hAnsi="Arial" w:cs="Arial"/>
          <w:sz w:val="20"/>
          <w:szCs w:val="20"/>
        </w:rPr>
      </w:pPr>
      <w:proofErr w:type="gramStart"/>
      <w:r w:rsidRPr="00DF0DFA">
        <w:rPr>
          <w:rFonts w:ascii="Arial" w:hAnsi="Arial" w:cs="Arial"/>
          <w:sz w:val="20"/>
          <w:szCs w:val="20"/>
        </w:rPr>
        <w:t>The Information Centre (2008).</w:t>
      </w:r>
      <w:proofErr w:type="gramEnd"/>
      <w:r w:rsidRPr="00DF0DFA">
        <w:rPr>
          <w:rFonts w:ascii="Arial" w:hAnsi="Arial" w:cs="Arial"/>
          <w:sz w:val="20"/>
          <w:szCs w:val="20"/>
        </w:rPr>
        <w:t xml:space="preserve"> Healthy Lifestyle Behaviours: Model Based Estimates for Primary Care Organisations in England, 2003-2005: User Guide. Accessed 15</w:t>
      </w:r>
      <w:r w:rsidRPr="00DF0DFA">
        <w:rPr>
          <w:rFonts w:ascii="Arial" w:hAnsi="Arial" w:cs="Arial"/>
          <w:sz w:val="20"/>
          <w:szCs w:val="20"/>
          <w:vertAlign w:val="superscript"/>
        </w:rPr>
        <w:t>th</w:t>
      </w:r>
      <w:r w:rsidRPr="00DF0DFA">
        <w:rPr>
          <w:rFonts w:ascii="Arial" w:hAnsi="Arial" w:cs="Arial"/>
          <w:sz w:val="20"/>
          <w:szCs w:val="20"/>
        </w:rPr>
        <w:t xml:space="preserve"> June 2010, </w:t>
      </w:r>
      <w:hyperlink r:id="rId63" w:history="1">
        <w:r w:rsidR="00DF0DFA" w:rsidRPr="000D5D24">
          <w:rPr>
            <w:rStyle w:val="Hyperlink"/>
            <w:rFonts w:ascii="Arial" w:hAnsi="Arial" w:cs="Arial"/>
            <w:sz w:val="20"/>
            <w:szCs w:val="20"/>
          </w:rPr>
          <w:t>http://www.ic.nhs.uk/webfiles/Popgeog/PCO%20User%20Guide.pdf</w:t>
        </w:r>
      </w:hyperlink>
    </w:p>
    <w:p w:rsidR="00BB3F7D" w:rsidRDefault="00BB3F7D" w:rsidP="00CE3761">
      <w:pPr>
        <w:autoSpaceDE w:val="0"/>
        <w:autoSpaceDN w:val="0"/>
        <w:adjustRightInd w:val="0"/>
        <w:spacing w:line="240" w:lineRule="auto"/>
      </w:pPr>
      <w:proofErr w:type="gramStart"/>
      <w:r w:rsidRPr="00DF0DFA">
        <w:rPr>
          <w:rFonts w:ascii="Arial" w:hAnsi="Arial" w:cs="Arial"/>
          <w:sz w:val="20"/>
          <w:szCs w:val="20"/>
        </w:rPr>
        <w:t>The Information Centre (2010b).</w:t>
      </w:r>
      <w:proofErr w:type="gramEnd"/>
      <w:r w:rsidR="00C0271A" w:rsidRPr="00DF0DFA">
        <w:rPr>
          <w:rFonts w:ascii="Arial" w:hAnsi="Arial" w:cs="Arial"/>
          <w:sz w:val="20"/>
          <w:szCs w:val="20"/>
        </w:rPr>
        <w:t xml:space="preserve"> </w:t>
      </w:r>
      <w:proofErr w:type="gramStart"/>
      <w:r w:rsidR="00C0271A" w:rsidRPr="00DF0DFA">
        <w:rPr>
          <w:rFonts w:ascii="Arial" w:hAnsi="Arial" w:cs="Arial"/>
          <w:sz w:val="20"/>
          <w:szCs w:val="20"/>
        </w:rPr>
        <w:t>Statistics on Alcohol 2009.</w:t>
      </w:r>
      <w:proofErr w:type="gramEnd"/>
      <w:r w:rsidR="00C0271A" w:rsidRPr="00DF0DFA">
        <w:rPr>
          <w:rFonts w:ascii="Arial" w:hAnsi="Arial" w:cs="Arial"/>
          <w:sz w:val="20"/>
          <w:szCs w:val="20"/>
        </w:rPr>
        <w:t xml:space="preserve"> Accessed 14</w:t>
      </w:r>
      <w:r w:rsidR="00C0271A" w:rsidRPr="00DF0DFA">
        <w:rPr>
          <w:rFonts w:ascii="Arial" w:hAnsi="Arial" w:cs="Arial"/>
          <w:sz w:val="20"/>
          <w:szCs w:val="20"/>
          <w:vertAlign w:val="superscript"/>
        </w:rPr>
        <w:t>th</w:t>
      </w:r>
      <w:r w:rsidR="00C0271A" w:rsidRPr="00DF0DFA">
        <w:rPr>
          <w:rFonts w:ascii="Arial" w:hAnsi="Arial" w:cs="Arial"/>
          <w:sz w:val="20"/>
          <w:szCs w:val="20"/>
        </w:rPr>
        <w:t xml:space="preserve"> June 2010, </w:t>
      </w:r>
      <w:hyperlink r:id="rId64" w:history="1">
        <w:r w:rsidR="00DF0DFA" w:rsidRPr="000D5D24">
          <w:rPr>
            <w:rStyle w:val="Hyperlink"/>
            <w:rFonts w:ascii="Arial" w:hAnsi="Arial" w:cs="Arial"/>
            <w:sz w:val="20"/>
            <w:szCs w:val="20"/>
          </w:rPr>
          <w:t>http://www.ic.nhs.uk/statistics-and-data-collections/health-and-lifestyles/alcohol/statistics-on-alcohol-england-2009-%5Bns%5D</w:t>
        </w:r>
      </w:hyperlink>
    </w:p>
    <w:p w:rsidR="00177561" w:rsidRPr="006837EE" w:rsidRDefault="00177561" w:rsidP="00177561">
      <w:pPr>
        <w:autoSpaceDE w:val="0"/>
        <w:autoSpaceDN w:val="0"/>
        <w:adjustRightInd w:val="0"/>
        <w:spacing w:line="240" w:lineRule="auto"/>
        <w:rPr>
          <w:rFonts w:ascii="Arial" w:hAnsi="Arial" w:cs="Arial"/>
          <w:sz w:val="20"/>
          <w:szCs w:val="20"/>
        </w:rPr>
      </w:pPr>
      <w:proofErr w:type="gramStart"/>
      <w:r>
        <w:rPr>
          <w:rFonts w:ascii="Arial" w:hAnsi="Arial" w:cs="Arial"/>
          <w:sz w:val="20"/>
          <w:szCs w:val="20"/>
        </w:rPr>
        <w:t>Thomson CS and Forman D (2009).</w:t>
      </w:r>
      <w:proofErr w:type="gramEnd"/>
      <w:r>
        <w:rPr>
          <w:rFonts w:ascii="Arial" w:hAnsi="Arial" w:cs="Arial"/>
          <w:sz w:val="20"/>
          <w:szCs w:val="20"/>
        </w:rPr>
        <w:t xml:space="preserve"> </w:t>
      </w:r>
      <w:proofErr w:type="gramStart"/>
      <w:r w:rsidRPr="006837EE">
        <w:rPr>
          <w:rFonts w:ascii="Arial" w:hAnsi="Arial" w:cs="Arial"/>
          <w:i/>
          <w:sz w:val="20"/>
          <w:szCs w:val="20"/>
        </w:rPr>
        <w:t>Discussion Paper.</w:t>
      </w:r>
      <w:proofErr w:type="gramEnd"/>
      <w:r w:rsidRPr="006837EE">
        <w:rPr>
          <w:rFonts w:ascii="Arial" w:hAnsi="Arial" w:cs="Arial"/>
          <w:i/>
          <w:sz w:val="20"/>
          <w:szCs w:val="20"/>
        </w:rPr>
        <w:t xml:space="preserve"> Cancer survival in England and the influence of early diagnosis: what can we learn from recent EUROCARE results?</w:t>
      </w:r>
      <w:r w:rsidRPr="006837EE">
        <w:rPr>
          <w:rFonts w:ascii="Arial" w:hAnsi="Arial" w:cs="Arial"/>
          <w:sz w:val="20"/>
          <w:szCs w:val="20"/>
        </w:rPr>
        <w:t xml:space="preserve"> British Journal of Cancer (2009) 101, S102 – S109</w:t>
      </w:r>
    </w:p>
    <w:p w:rsidR="001A31AC" w:rsidRPr="00DF0DFA" w:rsidRDefault="001A31AC" w:rsidP="00CE3761">
      <w:pPr>
        <w:autoSpaceDE w:val="0"/>
        <w:autoSpaceDN w:val="0"/>
        <w:adjustRightInd w:val="0"/>
        <w:spacing w:line="240" w:lineRule="auto"/>
        <w:rPr>
          <w:rFonts w:ascii="Arial" w:hAnsi="Arial" w:cs="Arial"/>
          <w:sz w:val="20"/>
          <w:szCs w:val="20"/>
        </w:rPr>
      </w:pPr>
      <w:proofErr w:type="spellStart"/>
      <w:proofErr w:type="gramStart"/>
      <w:r w:rsidRPr="00DF0DFA">
        <w:rPr>
          <w:rFonts w:ascii="Arial" w:hAnsi="Arial" w:cs="Arial"/>
          <w:sz w:val="20"/>
          <w:szCs w:val="20"/>
        </w:rPr>
        <w:t>Tsoi</w:t>
      </w:r>
      <w:proofErr w:type="spellEnd"/>
      <w:r w:rsidRPr="00DF0DFA">
        <w:rPr>
          <w:rFonts w:ascii="Arial" w:hAnsi="Arial" w:cs="Arial"/>
          <w:sz w:val="20"/>
          <w:szCs w:val="20"/>
        </w:rPr>
        <w:t xml:space="preserve"> KK, Pau CY, Wu WK (2009).</w:t>
      </w:r>
      <w:proofErr w:type="gramEnd"/>
      <w:r w:rsidRPr="00DF0DFA">
        <w:rPr>
          <w:rFonts w:ascii="Arial" w:hAnsi="Arial" w:cs="Arial"/>
          <w:sz w:val="20"/>
          <w:szCs w:val="20"/>
        </w:rPr>
        <w:t xml:space="preserve"> </w:t>
      </w:r>
      <w:r w:rsidRPr="00DF0DFA">
        <w:rPr>
          <w:rStyle w:val="Strong"/>
          <w:rFonts w:ascii="Arial" w:hAnsi="Arial" w:cs="Arial"/>
          <w:b w:val="0"/>
          <w:i/>
          <w:sz w:val="20"/>
          <w:szCs w:val="20"/>
        </w:rPr>
        <w:t>Cigarette smoking and the risk of colorectal cancer: a meta-analysis of prospective cohort studies.</w:t>
      </w:r>
      <w:r w:rsidRPr="00DF0DFA">
        <w:rPr>
          <w:rStyle w:val="Strong"/>
          <w:rFonts w:ascii="Arial" w:hAnsi="Arial" w:cs="Arial"/>
          <w:sz w:val="20"/>
          <w:szCs w:val="20"/>
        </w:rPr>
        <w:t xml:space="preserve"> </w:t>
      </w:r>
      <w:r w:rsidRPr="00DF0DFA">
        <w:rPr>
          <w:rFonts w:ascii="Arial" w:hAnsi="Arial" w:cs="Arial"/>
          <w:sz w:val="20"/>
          <w:szCs w:val="20"/>
        </w:rPr>
        <w:t xml:space="preserve">Clinical Gastroenterology &amp; </w:t>
      </w:r>
      <w:proofErr w:type="spellStart"/>
      <w:r w:rsidRPr="00DF0DFA">
        <w:rPr>
          <w:rFonts w:ascii="Arial" w:hAnsi="Arial" w:cs="Arial"/>
          <w:sz w:val="20"/>
          <w:szCs w:val="20"/>
        </w:rPr>
        <w:t>Hepatology</w:t>
      </w:r>
      <w:proofErr w:type="spellEnd"/>
      <w:r w:rsidRPr="00DF0DFA">
        <w:rPr>
          <w:rFonts w:ascii="Arial" w:hAnsi="Arial" w:cs="Arial"/>
          <w:sz w:val="20"/>
          <w:szCs w:val="20"/>
        </w:rPr>
        <w:t>, Jun 2009, vol</w:t>
      </w:r>
      <w:proofErr w:type="gramStart"/>
      <w:r w:rsidRPr="00DF0DFA">
        <w:rPr>
          <w:rFonts w:ascii="Arial" w:hAnsi="Arial" w:cs="Arial"/>
          <w:sz w:val="20"/>
          <w:szCs w:val="20"/>
        </w:rPr>
        <w:t>./</w:t>
      </w:r>
      <w:proofErr w:type="gramEnd"/>
      <w:r w:rsidRPr="00DF0DFA">
        <w:rPr>
          <w:rFonts w:ascii="Arial" w:hAnsi="Arial" w:cs="Arial"/>
          <w:sz w:val="20"/>
          <w:szCs w:val="20"/>
        </w:rPr>
        <w:t>is. 7/6(682-688.e1-5), 1542-3565</w:t>
      </w:r>
      <w:proofErr w:type="gramStart"/>
      <w:r w:rsidRPr="00DF0DFA">
        <w:rPr>
          <w:rFonts w:ascii="Arial" w:hAnsi="Arial" w:cs="Arial"/>
          <w:sz w:val="20"/>
          <w:szCs w:val="20"/>
        </w:rPr>
        <w:t>;1542</w:t>
      </w:r>
      <w:proofErr w:type="gramEnd"/>
      <w:r w:rsidRPr="00DF0DFA">
        <w:rPr>
          <w:rFonts w:ascii="Arial" w:hAnsi="Arial" w:cs="Arial"/>
          <w:sz w:val="20"/>
          <w:szCs w:val="20"/>
        </w:rPr>
        <w:t>-7714 (2009 Jun).</w:t>
      </w:r>
    </w:p>
    <w:p w:rsidR="008E7269" w:rsidRPr="00DF0DFA" w:rsidRDefault="008E7269" w:rsidP="00CE3761">
      <w:pPr>
        <w:autoSpaceDE w:val="0"/>
        <w:autoSpaceDN w:val="0"/>
        <w:adjustRightInd w:val="0"/>
        <w:spacing w:line="240" w:lineRule="auto"/>
        <w:rPr>
          <w:rFonts w:ascii="Arial" w:hAnsi="Arial" w:cs="Arial"/>
          <w:b/>
          <w:sz w:val="20"/>
          <w:szCs w:val="20"/>
        </w:rPr>
      </w:pPr>
      <w:proofErr w:type="gramStart"/>
      <w:r w:rsidRPr="00DF0DFA">
        <w:rPr>
          <w:rStyle w:val="Strong"/>
          <w:rFonts w:ascii="Arial" w:hAnsi="Arial" w:cs="Arial"/>
          <w:b w:val="0"/>
          <w:sz w:val="20"/>
          <w:szCs w:val="20"/>
        </w:rPr>
        <w:t>van</w:t>
      </w:r>
      <w:proofErr w:type="gramEnd"/>
      <w:r w:rsidRPr="00DF0DFA">
        <w:rPr>
          <w:rStyle w:val="Strong"/>
          <w:rFonts w:ascii="Arial" w:hAnsi="Arial" w:cs="Arial"/>
          <w:b w:val="0"/>
          <w:sz w:val="20"/>
          <w:szCs w:val="20"/>
        </w:rPr>
        <w:t xml:space="preserve"> </w:t>
      </w:r>
      <w:proofErr w:type="spellStart"/>
      <w:r w:rsidRPr="00DF0DFA">
        <w:rPr>
          <w:rStyle w:val="Strong"/>
          <w:rFonts w:ascii="Arial" w:hAnsi="Arial" w:cs="Arial"/>
          <w:b w:val="0"/>
          <w:sz w:val="20"/>
          <w:szCs w:val="20"/>
        </w:rPr>
        <w:t>Duijnhoven</w:t>
      </w:r>
      <w:proofErr w:type="spellEnd"/>
      <w:r w:rsidRPr="00DF0DFA">
        <w:rPr>
          <w:rStyle w:val="Strong"/>
          <w:rFonts w:ascii="Arial" w:hAnsi="Arial" w:cs="Arial"/>
          <w:b w:val="0"/>
          <w:sz w:val="20"/>
          <w:szCs w:val="20"/>
        </w:rPr>
        <w:t xml:space="preserve"> FJB, </w:t>
      </w:r>
      <w:proofErr w:type="spellStart"/>
      <w:r w:rsidRPr="00DF0DFA">
        <w:rPr>
          <w:rStyle w:val="Strong"/>
          <w:rFonts w:ascii="Arial" w:hAnsi="Arial" w:cs="Arial"/>
          <w:b w:val="0"/>
          <w:sz w:val="20"/>
          <w:szCs w:val="20"/>
        </w:rPr>
        <w:t>Bueno</w:t>
      </w:r>
      <w:proofErr w:type="spellEnd"/>
      <w:r w:rsidRPr="00DF0DFA">
        <w:rPr>
          <w:rStyle w:val="Strong"/>
          <w:rFonts w:ascii="Arial" w:hAnsi="Arial" w:cs="Arial"/>
          <w:b w:val="0"/>
          <w:sz w:val="20"/>
          <w:szCs w:val="20"/>
        </w:rPr>
        <w:t>-De-</w:t>
      </w:r>
      <w:proofErr w:type="spellStart"/>
      <w:r w:rsidRPr="00DF0DFA">
        <w:rPr>
          <w:rStyle w:val="Strong"/>
          <w:rFonts w:ascii="Arial" w:hAnsi="Arial" w:cs="Arial"/>
          <w:b w:val="0"/>
          <w:sz w:val="20"/>
          <w:szCs w:val="20"/>
        </w:rPr>
        <w:t>Mesquita</w:t>
      </w:r>
      <w:proofErr w:type="spellEnd"/>
      <w:r w:rsidRPr="00DF0DFA">
        <w:rPr>
          <w:rStyle w:val="Strong"/>
          <w:rFonts w:ascii="Arial" w:hAnsi="Arial" w:cs="Arial"/>
          <w:b w:val="0"/>
          <w:sz w:val="20"/>
          <w:szCs w:val="20"/>
        </w:rPr>
        <w:t xml:space="preserve"> HB, Ferrari P (2009). </w:t>
      </w:r>
      <w:r w:rsidRPr="00DF0DFA">
        <w:rPr>
          <w:rFonts w:ascii="Arial" w:hAnsi="Arial" w:cs="Arial"/>
          <w:i/>
          <w:sz w:val="20"/>
          <w:szCs w:val="20"/>
        </w:rPr>
        <w:t>Fruit, vegetables, and colorectal cancer risk: the European Prospective Investigation into Cancer and Nutrition.</w:t>
      </w:r>
      <w:r w:rsidRPr="00DF0DFA">
        <w:rPr>
          <w:rFonts w:ascii="Arial" w:hAnsi="Arial" w:cs="Arial"/>
          <w:sz w:val="20"/>
          <w:szCs w:val="20"/>
        </w:rPr>
        <w:t xml:space="preserve"> </w:t>
      </w:r>
      <w:proofErr w:type="gramStart"/>
      <w:r w:rsidRPr="00DF0DFA">
        <w:rPr>
          <w:rFonts w:ascii="Arial" w:hAnsi="Arial" w:cs="Arial"/>
          <w:bCs/>
          <w:i/>
          <w:iCs/>
          <w:sz w:val="20"/>
          <w:szCs w:val="20"/>
        </w:rPr>
        <w:t>Am</w:t>
      </w:r>
      <w:proofErr w:type="gramEnd"/>
      <w:r w:rsidRPr="00DF0DFA">
        <w:rPr>
          <w:rFonts w:ascii="Arial" w:hAnsi="Arial" w:cs="Arial"/>
          <w:bCs/>
          <w:i/>
          <w:iCs/>
          <w:sz w:val="20"/>
          <w:szCs w:val="20"/>
        </w:rPr>
        <w:t xml:space="preserve"> J </w:t>
      </w:r>
      <w:proofErr w:type="spellStart"/>
      <w:r w:rsidRPr="00DF0DFA">
        <w:rPr>
          <w:rFonts w:ascii="Arial" w:hAnsi="Arial" w:cs="Arial"/>
          <w:bCs/>
          <w:i/>
          <w:iCs/>
          <w:sz w:val="20"/>
          <w:szCs w:val="20"/>
        </w:rPr>
        <w:t>Clin</w:t>
      </w:r>
      <w:proofErr w:type="spellEnd"/>
      <w:r w:rsidRPr="00DF0DFA">
        <w:rPr>
          <w:rFonts w:ascii="Arial" w:hAnsi="Arial" w:cs="Arial"/>
          <w:bCs/>
          <w:i/>
          <w:iCs/>
          <w:sz w:val="20"/>
          <w:szCs w:val="20"/>
        </w:rPr>
        <w:t xml:space="preserve"> </w:t>
      </w:r>
      <w:proofErr w:type="spellStart"/>
      <w:r w:rsidRPr="00DF0DFA">
        <w:rPr>
          <w:rFonts w:ascii="Arial" w:hAnsi="Arial" w:cs="Arial"/>
          <w:bCs/>
          <w:i/>
          <w:iCs/>
          <w:sz w:val="20"/>
          <w:szCs w:val="20"/>
        </w:rPr>
        <w:t>Nutr</w:t>
      </w:r>
      <w:proofErr w:type="spellEnd"/>
      <w:r w:rsidRPr="00DF0DFA">
        <w:rPr>
          <w:rFonts w:ascii="Arial" w:hAnsi="Arial" w:cs="Arial"/>
          <w:bCs/>
          <w:sz w:val="20"/>
          <w:szCs w:val="20"/>
        </w:rPr>
        <w:t xml:space="preserve"> 89: 1441-1452, 2009. First published April 1, 2009; doi:10.3945/ajcn.2008.27120.</w:t>
      </w:r>
    </w:p>
    <w:p w:rsidR="00F71FCD" w:rsidRPr="00DF0DFA" w:rsidRDefault="00F71FCD" w:rsidP="00CE3761">
      <w:pPr>
        <w:autoSpaceDE w:val="0"/>
        <w:autoSpaceDN w:val="0"/>
        <w:adjustRightInd w:val="0"/>
        <w:spacing w:line="240" w:lineRule="auto"/>
        <w:rPr>
          <w:rFonts w:ascii="Arial" w:hAnsi="Arial" w:cs="Arial"/>
          <w:sz w:val="20"/>
          <w:szCs w:val="20"/>
        </w:rPr>
      </w:pPr>
      <w:r w:rsidRPr="00DF0DFA">
        <w:rPr>
          <w:rFonts w:ascii="Arial" w:hAnsi="Arial" w:cs="Arial"/>
          <w:sz w:val="20"/>
          <w:szCs w:val="20"/>
        </w:rPr>
        <w:t xml:space="preserve">Wei EK, </w:t>
      </w:r>
      <w:proofErr w:type="spellStart"/>
      <w:r w:rsidRPr="00DF0DFA">
        <w:rPr>
          <w:rFonts w:ascii="Arial" w:hAnsi="Arial" w:cs="Arial"/>
          <w:sz w:val="20"/>
          <w:szCs w:val="20"/>
        </w:rPr>
        <w:t>Giovannucci</w:t>
      </w:r>
      <w:proofErr w:type="spellEnd"/>
      <w:r w:rsidRPr="00DF0DFA">
        <w:rPr>
          <w:rFonts w:ascii="Arial" w:hAnsi="Arial" w:cs="Arial"/>
          <w:sz w:val="20"/>
          <w:szCs w:val="20"/>
        </w:rPr>
        <w:t xml:space="preserve"> E, Wu K et al. (2004). </w:t>
      </w:r>
      <w:proofErr w:type="gramStart"/>
      <w:r w:rsidRPr="00DF0DFA">
        <w:rPr>
          <w:rFonts w:ascii="Arial" w:hAnsi="Arial" w:cs="Arial"/>
          <w:i/>
          <w:sz w:val="20"/>
          <w:szCs w:val="20"/>
        </w:rPr>
        <w:t>Comparison of risk factors for colon and rectal cancer.</w:t>
      </w:r>
      <w:proofErr w:type="gramEnd"/>
      <w:r w:rsidRPr="00DF0DFA">
        <w:rPr>
          <w:rFonts w:ascii="Arial" w:hAnsi="Arial" w:cs="Arial"/>
          <w:sz w:val="20"/>
          <w:szCs w:val="20"/>
        </w:rPr>
        <w:t xml:space="preserve"> </w:t>
      </w:r>
      <w:proofErr w:type="spellStart"/>
      <w:r w:rsidRPr="00DF0DFA">
        <w:rPr>
          <w:rFonts w:ascii="Arial" w:hAnsi="Arial" w:cs="Arial"/>
          <w:sz w:val="20"/>
          <w:szCs w:val="20"/>
        </w:rPr>
        <w:t>Int</w:t>
      </w:r>
      <w:proofErr w:type="spellEnd"/>
      <w:r w:rsidRPr="00DF0DFA">
        <w:rPr>
          <w:rFonts w:ascii="Arial" w:hAnsi="Arial" w:cs="Arial"/>
          <w:sz w:val="20"/>
          <w:szCs w:val="20"/>
        </w:rPr>
        <w:t xml:space="preserve"> J Cancer 108:433–442.</w:t>
      </w:r>
    </w:p>
    <w:p w:rsidR="00E77BFB" w:rsidRPr="00DF0DFA" w:rsidRDefault="00E77BFB" w:rsidP="00CE3761">
      <w:pPr>
        <w:autoSpaceDE w:val="0"/>
        <w:autoSpaceDN w:val="0"/>
        <w:adjustRightInd w:val="0"/>
        <w:spacing w:line="240" w:lineRule="auto"/>
        <w:rPr>
          <w:rFonts w:ascii="Arial" w:hAnsi="Arial" w:cs="Arial"/>
          <w:sz w:val="20"/>
          <w:szCs w:val="20"/>
        </w:rPr>
      </w:pPr>
      <w:proofErr w:type="spellStart"/>
      <w:r w:rsidRPr="00DF0DFA">
        <w:rPr>
          <w:rFonts w:ascii="Arial" w:hAnsi="Arial" w:cs="Arial"/>
          <w:sz w:val="20"/>
          <w:szCs w:val="20"/>
        </w:rPr>
        <w:t>Whynes</w:t>
      </w:r>
      <w:proofErr w:type="spellEnd"/>
      <w:r w:rsidRPr="00DF0DFA">
        <w:rPr>
          <w:rFonts w:ascii="Arial" w:hAnsi="Arial" w:cs="Arial"/>
          <w:sz w:val="20"/>
          <w:szCs w:val="20"/>
        </w:rPr>
        <w:t xml:space="preserve"> DK, </w:t>
      </w:r>
      <w:proofErr w:type="spellStart"/>
      <w:r w:rsidRPr="00DF0DFA">
        <w:rPr>
          <w:rFonts w:ascii="Arial" w:hAnsi="Arial" w:cs="Arial"/>
          <w:sz w:val="20"/>
          <w:szCs w:val="20"/>
        </w:rPr>
        <w:t>Frew</w:t>
      </w:r>
      <w:proofErr w:type="spellEnd"/>
      <w:r w:rsidRPr="00DF0DFA">
        <w:rPr>
          <w:rFonts w:ascii="Arial" w:hAnsi="Arial" w:cs="Arial"/>
          <w:sz w:val="20"/>
          <w:szCs w:val="20"/>
        </w:rPr>
        <w:t xml:space="preserve"> EJ, </w:t>
      </w:r>
      <w:proofErr w:type="spellStart"/>
      <w:r w:rsidRPr="00DF0DFA">
        <w:rPr>
          <w:rFonts w:ascii="Arial" w:hAnsi="Arial" w:cs="Arial"/>
          <w:sz w:val="20"/>
          <w:szCs w:val="20"/>
        </w:rPr>
        <w:t>Manghan</w:t>
      </w:r>
      <w:proofErr w:type="spellEnd"/>
      <w:r w:rsidRPr="00DF0DFA">
        <w:rPr>
          <w:rFonts w:ascii="Arial" w:hAnsi="Arial" w:cs="Arial"/>
          <w:sz w:val="20"/>
          <w:szCs w:val="20"/>
        </w:rPr>
        <w:t xml:space="preserve"> CM et al. (2003). </w:t>
      </w:r>
      <w:r w:rsidRPr="00DF0DFA">
        <w:rPr>
          <w:rStyle w:val="Strong"/>
          <w:rFonts w:ascii="Arial" w:hAnsi="Arial" w:cs="Arial"/>
          <w:b w:val="0"/>
          <w:i/>
          <w:sz w:val="20"/>
          <w:szCs w:val="20"/>
        </w:rPr>
        <w:t>Colorectal cancer, screening and survival: the influence of socio-economic deprivation.</w:t>
      </w:r>
      <w:r w:rsidRPr="00DF0DFA">
        <w:rPr>
          <w:rFonts w:ascii="Arial" w:hAnsi="Arial" w:cs="Arial"/>
          <w:b/>
          <w:i/>
          <w:sz w:val="20"/>
          <w:szCs w:val="20"/>
        </w:rPr>
        <w:t xml:space="preserve">  </w:t>
      </w:r>
      <w:r w:rsidRPr="00DF0DFA">
        <w:rPr>
          <w:rFonts w:ascii="Arial" w:hAnsi="Arial" w:cs="Arial"/>
          <w:sz w:val="20"/>
          <w:szCs w:val="20"/>
        </w:rPr>
        <w:t>Public Health, Nov 2003, vol</w:t>
      </w:r>
      <w:proofErr w:type="gramStart"/>
      <w:r w:rsidRPr="00DF0DFA">
        <w:rPr>
          <w:rFonts w:ascii="Arial" w:hAnsi="Arial" w:cs="Arial"/>
          <w:sz w:val="20"/>
          <w:szCs w:val="20"/>
        </w:rPr>
        <w:t>./</w:t>
      </w:r>
      <w:proofErr w:type="gramEnd"/>
      <w:r w:rsidRPr="00DF0DFA">
        <w:rPr>
          <w:rFonts w:ascii="Arial" w:hAnsi="Arial" w:cs="Arial"/>
          <w:sz w:val="20"/>
          <w:szCs w:val="20"/>
        </w:rPr>
        <w:t>is. 117/6(389-95), 0033-3506</w:t>
      </w:r>
      <w:proofErr w:type="gramStart"/>
      <w:r w:rsidRPr="00DF0DFA">
        <w:rPr>
          <w:rFonts w:ascii="Arial" w:hAnsi="Arial" w:cs="Arial"/>
          <w:sz w:val="20"/>
          <w:szCs w:val="20"/>
        </w:rPr>
        <w:t>;0033</w:t>
      </w:r>
      <w:proofErr w:type="gramEnd"/>
      <w:r w:rsidRPr="00DF0DFA">
        <w:rPr>
          <w:rFonts w:ascii="Arial" w:hAnsi="Arial" w:cs="Arial"/>
          <w:sz w:val="20"/>
          <w:szCs w:val="20"/>
        </w:rPr>
        <w:t>-3506 (2003 Nov).</w:t>
      </w:r>
    </w:p>
    <w:p w:rsidR="009A6456" w:rsidRPr="00DF0DFA" w:rsidRDefault="0089346C" w:rsidP="0089346C">
      <w:pPr>
        <w:autoSpaceDE w:val="0"/>
        <w:autoSpaceDN w:val="0"/>
        <w:adjustRightInd w:val="0"/>
        <w:spacing w:line="240" w:lineRule="auto"/>
        <w:rPr>
          <w:rFonts w:ascii="Barmeno-Regular" w:hAnsi="Barmeno-Regular" w:cs="Barmeno-Regular"/>
          <w:sz w:val="20"/>
          <w:szCs w:val="20"/>
        </w:rPr>
      </w:pPr>
      <w:proofErr w:type="gramStart"/>
      <w:r w:rsidRPr="00DF0DFA">
        <w:rPr>
          <w:rFonts w:ascii="Barmeno-Regular" w:hAnsi="Barmeno-Regular" w:cs="Barmeno-Regular"/>
          <w:sz w:val="20"/>
          <w:szCs w:val="20"/>
        </w:rPr>
        <w:t xml:space="preserve">Wild SH, </w:t>
      </w:r>
      <w:proofErr w:type="spellStart"/>
      <w:r w:rsidRPr="00DF0DFA">
        <w:rPr>
          <w:rFonts w:ascii="Barmeno-Regular" w:hAnsi="Barmeno-Regular" w:cs="Barmeno-Regular"/>
          <w:sz w:val="20"/>
          <w:szCs w:val="20"/>
        </w:rPr>
        <w:t>Fischbacher</w:t>
      </w:r>
      <w:proofErr w:type="spellEnd"/>
      <w:r w:rsidRPr="00DF0DFA">
        <w:rPr>
          <w:rFonts w:ascii="Barmeno-Regular" w:hAnsi="Barmeno-Regular" w:cs="Barmeno-Regular"/>
          <w:sz w:val="20"/>
          <w:szCs w:val="20"/>
        </w:rPr>
        <w:t xml:space="preserve"> CM, Brock A et al. (2006).</w:t>
      </w:r>
      <w:proofErr w:type="gramEnd"/>
      <w:r w:rsidRPr="00DF0DFA">
        <w:rPr>
          <w:rFonts w:ascii="Barmeno-Regular" w:hAnsi="Barmeno-Regular" w:cs="Barmeno-Regular"/>
          <w:sz w:val="20"/>
          <w:szCs w:val="20"/>
        </w:rPr>
        <w:t xml:space="preserve"> </w:t>
      </w:r>
      <w:proofErr w:type="gramStart"/>
      <w:r w:rsidRPr="00DF0DFA">
        <w:rPr>
          <w:rFonts w:ascii="Barmeno-Regular" w:hAnsi="Barmeno-Regular" w:cs="Barmeno-Regular"/>
          <w:i/>
          <w:sz w:val="20"/>
          <w:szCs w:val="20"/>
        </w:rPr>
        <w:t>Mortality from all cancers and lung, colorectal, breast and prostate cancer by country of birth in England and Wales</w:t>
      </w:r>
      <w:r w:rsidRPr="00DF0DFA">
        <w:rPr>
          <w:rFonts w:ascii="Barmeno-Regular" w:hAnsi="Barmeno-Regular" w:cs="Barmeno-Regular"/>
          <w:sz w:val="20"/>
          <w:szCs w:val="20"/>
        </w:rPr>
        <w:t>, 2001-2003.</w:t>
      </w:r>
      <w:proofErr w:type="gramEnd"/>
      <w:r w:rsidRPr="00DF0DFA">
        <w:rPr>
          <w:rFonts w:ascii="Barmeno-Regular" w:hAnsi="Barmeno-Regular" w:cs="Barmeno-Regular"/>
          <w:sz w:val="20"/>
          <w:szCs w:val="20"/>
        </w:rPr>
        <w:t xml:space="preserve"> </w:t>
      </w:r>
      <w:proofErr w:type="gramStart"/>
      <w:r w:rsidRPr="00DF0DFA">
        <w:rPr>
          <w:rFonts w:ascii="Barmeno-Regular" w:hAnsi="Barmeno-Regular" w:cs="Barmeno-Regular"/>
          <w:sz w:val="20"/>
          <w:szCs w:val="20"/>
        </w:rPr>
        <w:t>Br J Cancer.</w:t>
      </w:r>
      <w:proofErr w:type="gramEnd"/>
      <w:r w:rsidRPr="00DF0DFA">
        <w:rPr>
          <w:rFonts w:ascii="Barmeno-Regular" w:hAnsi="Barmeno-Regular" w:cs="Barmeno-Regular"/>
          <w:sz w:val="20"/>
          <w:szCs w:val="20"/>
        </w:rPr>
        <w:t xml:space="preserve"> 94:1079-85.</w:t>
      </w:r>
    </w:p>
    <w:p w:rsidR="0089346C" w:rsidRPr="00DF0DFA" w:rsidRDefault="0089346C" w:rsidP="0089346C">
      <w:pPr>
        <w:autoSpaceDE w:val="0"/>
        <w:autoSpaceDN w:val="0"/>
        <w:adjustRightInd w:val="0"/>
        <w:spacing w:after="0" w:line="240" w:lineRule="auto"/>
        <w:rPr>
          <w:rFonts w:ascii="Barmeno-Regular" w:hAnsi="Barmeno-Regular" w:cs="Barmeno-Regular"/>
          <w:sz w:val="20"/>
          <w:szCs w:val="20"/>
        </w:rPr>
      </w:pPr>
      <w:r w:rsidRPr="00DF0DFA">
        <w:rPr>
          <w:rFonts w:ascii="Barmeno-Regular" w:hAnsi="Barmeno-Regular" w:cs="Barmeno-Regular"/>
          <w:sz w:val="20"/>
          <w:szCs w:val="20"/>
        </w:rPr>
        <w:t xml:space="preserve">Winter H, Cheng KK, Cummins C et al. (1999). </w:t>
      </w:r>
      <w:proofErr w:type="gramStart"/>
      <w:r w:rsidRPr="00DF0DFA">
        <w:rPr>
          <w:rFonts w:ascii="Barmeno-Regular" w:hAnsi="Barmeno-Regular" w:cs="Barmeno-Regular"/>
          <w:i/>
          <w:sz w:val="20"/>
          <w:szCs w:val="20"/>
        </w:rPr>
        <w:t>Cancer incidence in the south Asian population of England (1990-92)</w:t>
      </w:r>
      <w:r w:rsidRPr="00DF0DFA">
        <w:rPr>
          <w:rFonts w:ascii="Barmeno-Regular" w:hAnsi="Barmeno-Regular" w:cs="Barmeno-Regular"/>
          <w:sz w:val="20"/>
          <w:szCs w:val="20"/>
        </w:rPr>
        <w:t>.</w:t>
      </w:r>
      <w:proofErr w:type="gramEnd"/>
      <w:r w:rsidRPr="00DF0DFA">
        <w:rPr>
          <w:rFonts w:ascii="Barmeno-Regular" w:hAnsi="Barmeno-Regular" w:cs="Barmeno-Regular"/>
          <w:sz w:val="20"/>
          <w:szCs w:val="20"/>
        </w:rPr>
        <w:t xml:space="preserve"> </w:t>
      </w:r>
      <w:proofErr w:type="gramStart"/>
      <w:r w:rsidRPr="00DF0DFA">
        <w:rPr>
          <w:rFonts w:ascii="Barmeno-Regular" w:hAnsi="Barmeno-Regular" w:cs="Barmeno-Regular"/>
          <w:sz w:val="20"/>
          <w:szCs w:val="20"/>
        </w:rPr>
        <w:t>Br J Cancer.</w:t>
      </w:r>
      <w:proofErr w:type="gramEnd"/>
      <w:r w:rsidRPr="00DF0DFA">
        <w:rPr>
          <w:rFonts w:ascii="Barmeno-Regular" w:hAnsi="Barmeno-Regular" w:cs="Barmeno-Regular"/>
          <w:sz w:val="20"/>
          <w:szCs w:val="20"/>
        </w:rPr>
        <w:t xml:space="preserve"> 79:645-54.</w:t>
      </w:r>
    </w:p>
    <w:p w:rsidR="00C50B3F" w:rsidRPr="00DF0DFA" w:rsidRDefault="00C50B3F" w:rsidP="00CE3761">
      <w:pPr>
        <w:autoSpaceDE w:val="0"/>
        <w:autoSpaceDN w:val="0"/>
        <w:adjustRightInd w:val="0"/>
        <w:spacing w:after="0" w:line="240" w:lineRule="auto"/>
        <w:rPr>
          <w:rFonts w:ascii="Arial" w:hAnsi="Arial" w:cs="Arial"/>
          <w:bCs/>
          <w:sz w:val="20"/>
          <w:szCs w:val="20"/>
        </w:rPr>
      </w:pPr>
    </w:p>
    <w:p w:rsidR="00E54251" w:rsidRPr="00DF0DFA" w:rsidRDefault="00E54251" w:rsidP="00CE3761">
      <w:pPr>
        <w:autoSpaceDE w:val="0"/>
        <w:autoSpaceDN w:val="0"/>
        <w:adjustRightInd w:val="0"/>
        <w:spacing w:line="240" w:lineRule="auto"/>
        <w:rPr>
          <w:rFonts w:ascii="Arial" w:hAnsi="Arial" w:cs="Arial"/>
          <w:sz w:val="20"/>
          <w:szCs w:val="20"/>
        </w:rPr>
      </w:pPr>
      <w:proofErr w:type="gramStart"/>
      <w:r w:rsidRPr="00DF0DFA">
        <w:rPr>
          <w:rFonts w:ascii="Arial" w:hAnsi="Arial" w:cs="Arial"/>
          <w:sz w:val="20"/>
          <w:szCs w:val="20"/>
        </w:rPr>
        <w:t>World Cancer Research Fund/American Institute for Cancer Research 2007.</w:t>
      </w:r>
      <w:proofErr w:type="gramEnd"/>
      <w:r w:rsidRPr="00DF0DFA">
        <w:rPr>
          <w:rFonts w:ascii="Arial" w:hAnsi="Arial" w:cs="Arial"/>
          <w:sz w:val="20"/>
          <w:szCs w:val="20"/>
        </w:rPr>
        <w:t xml:space="preserve"> </w:t>
      </w:r>
      <w:r w:rsidRPr="00DF0DFA">
        <w:rPr>
          <w:rFonts w:ascii="Arial" w:hAnsi="Arial" w:cs="Arial"/>
          <w:i/>
          <w:sz w:val="20"/>
          <w:szCs w:val="20"/>
        </w:rPr>
        <w:t>Food, nutrition, physical activity, and the prevention of cancer: a global perspective</w:t>
      </w:r>
      <w:r w:rsidRPr="00DF0DFA">
        <w:rPr>
          <w:rFonts w:ascii="Arial" w:hAnsi="Arial" w:cs="Arial"/>
          <w:sz w:val="20"/>
          <w:szCs w:val="20"/>
        </w:rPr>
        <w:t>. Washington DC: AICR.</w:t>
      </w:r>
    </w:p>
    <w:p w:rsidR="00B20372" w:rsidRPr="00DF0DFA" w:rsidRDefault="00B20372" w:rsidP="00CE3761">
      <w:pPr>
        <w:autoSpaceDE w:val="0"/>
        <w:autoSpaceDN w:val="0"/>
        <w:adjustRightInd w:val="0"/>
        <w:spacing w:after="0" w:line="240" w:lineRule="auto"/>
        <w:rPr>
          <w:rFonts w:ascii="Arial" w:hAnsi="Arial" w:cs="Arial"/>
          <w:bCs/>
          <w:sz w:val="20"/>
          <w:szCs w:val="20"/>
        </w:rPr>
      </w:pPr>
      <w:proofErr w:type="gramStart"/>
      <w:r w:rsidRPr="00DF0DFA">
        <w:rPr>
          <w:rFonts w:ascii="Arial" w:hAnsi="Arial" w:cs="Arial"/>
          <w:sz w:val="20"/>
          <w:szCs w:val="20"/>
        </w:rPr>
        <w:t>WHO/FAO 2003.</w:t>
      </w:r>
      <w:proofErr w:type="gramEnd"/>
      <w:r w:rsidRPr="00DF0DFA">
        <w:rPr>
          <w:rFonts w:ascii="Arial" w:hAnsi="Arial" w:cs="Arial"/>
          <w:sz w:val="20"/>
          <w:szCs w:val="20"/>
        </w:rPr>
        <w:t xml:space="preserve"> </w:t>
      </w:r>
      <w:r w:rsidRPr="00DF0DFA">
        <w:rPr>
          <w:rFonts w:ascii="Arial" w:hAnsi="Arial" w:cs="Arial"/>
          <w:i/>
          <w:sz w:val="20"/>
          <w:szCs w:val="20"/>
        </w:rPr>
        <w:t>Diet, nutrition and the prevention of chronic diseases: report of a joint WHO/FAO expert consultation.</w:t>
      </w:r>
      <w:r w:rsidRPr="00DF0DFA">
        <w:rPr>
          <w:rFonts w:ascii="Arial" w:hAnsi="Arial" w:cs="Arial"/>
          <w:sz w:val="20"/>
          <w:szCs w:val="20"/>
        </w:rPr>
        <w:t xml:space="preserve"> WHO Technical Report Series 916. Geneva: WHO.</w:t>
      </w:r>
    </w:p>
    <w:p w:rsidR="00D322EC" w:rsidRDefault="00D322EC" w:rsidP="00CE3761">
      <w:pPr>
        <w:autoSpaceDE w:val="0"/>
        <w:autoSpaceDN w:val="0"/>
        <w:adjustRightInd w:val="0"/>
        <w:spacing w:after="0" w:line="240" w:lineRule="auto"/>
        <w:rPr>
          <w:rFonts w:ascii="Arial" w:hAnsi="Arial" w:cs="Arial"/>
          <w:bCs/>
          <w:sz w:val="20"/>
          <w:szCs w:val="20"/>
        </w:rPr>
      </w:pPr>
    </w:p>
    <w:p w:rsidR="00D322EC" w:rsidRDefault="00D322EC" w:rsidP="00CE3761">
      <w:pPr>
        <w:autoSpaceDE w:val="0"/>
        <w:autoSpaceDN w:val="0"/>
        <w:adjustRightInd w:val="0"/>
        <w:spacing w:after="0" w:line="240" w:lineRule="auto"/>
        <w:rPr>
          <w:rFonts w:ascii="Arial" w:hAnsi="Arial" w:cs="Arial"/>
          <w:bCs/>
          <w:sz w:val="20"/>
          <w:szCs w:val="20"/>
        </w:rPr>
      </w:pPr>
    </w:p>
    <w:p w:rsidR="00D322EC" w:rsidRDefault="00D322EC" w:rsidP="00CE3761">
      <w:pPr>
        <w:autoSpaceDE w:val="0"/>
        <w:autoSpaceDN w:val="0"/>
        <w:adjustRightInd w:val="0"/>
        <w:spacing w:after="0" w:line="240" w:lineRule="auto"/>
        <w:rPr>
          <w:rFonts w:ascii="Arial" w:hAnsi="Arial" w:cs="Arial"/>
          <w:bCs/>
          <w:sz w:val="20"/>
          <w:szCs w:val="20"/>
        </w:rPr>
      </w:pPr>
    </w:p>
    <w:p w:rsidR="00D322EC" w:rsidRDefault="00B408C1" w:rsidP="00D322EC">
      <w:pPr>
        <w:pStyle w:val="Heading1"/>
        <w:rPr>
          <w:rFonts w:ascii="Arial" w:hAnsi="Arial" w:cs="Arial"/>
          <w:color w:val="auto"/>
        </w:rPr>
      </w:pPr>
      <w:bookmarkStart w:id="125" w:name="_Toc276037878"/>
      <w:r>
        <w:rPr>
          <w:rFonts w:ascii="Arial" w:hAnsi="Arial" w:cs="Arial"/>
          <w:color w:val="auto"/>
        </w:rPr>
        <w:t>A</w:t>
      </w:r>
      <w:r w:rsidR="00D322EC" w:rsidRPr="00D322EC">
        <w:rPr>
          <w:rFonts w:ascii="Arial" w:hAnsi="Arial" w:cs="Arial"/>
          <w:color w:val="auto"/>
        </w:rPr>
        <w:t>ppendix 1: South West London GLA Projected population by ethnicity</w:t>
      </w:r>
      <w:r w:rsidR="007F4C2D">
        <w:rPr>
          <w:rFonts w:ascii="Arial" w:hAnsi="Arial" w:cs="Arial"/>
          <w:color w:val="auto"/>
        </w:rPr>
        <w:t>, 2010.</w:t>
      </w:r>
      <w:bookmarkEnd w:id="125"/>
    </w:p>
    <w:tbl>
      <w:tblPr>
        <w:tblW w:w="8447" w:type="dxa"/>
        <w:tblInd w:w="108" w:type="dxa"/>
        <w:tblLook w:val="04A0"/>
      </w:tblPr>
      <w:tblGrid>
        <w:gridCol w:w="960"/>
        <w:gridCol w:w="1734"/>
        <w:gridCol w:w="940"/>
        <w:gridCol w:w="960"/>
        <w:gridCol w:w="1027"/>
        <w:gridCol w:w="1609"/>
        <w:gridCol w:w="1217"/>
      </w:tblGrid>
      <w:tr w:rsidR="00D322EC" w:rsidRPr="00D322EC" w:rsidTr="00707F04">
        <w:trPr>
          <w:trHeight w:val="300"/>
        </w:trPr>
        <w:tc>
          <w:tcPr>
            <w:tcW w:w="960" w:type="dxa"/>
            <w:tcBorders>
              <w:top w:val="nil"/>
              <w:left w:val="nil"/>
              <w:bottom w:val="nil"/>
              <w:right w:val="nil"/>
            </w:tcBorders>
            <w:shd w:val="clear" w:color="auto" w:fill="auto"/>
            <w:noWrap/>
            <w:vAlign w:val="bottom"/>
            <w:hideMark/>
          </w:tcPr>
          <w:p w:rsidR="00D322EC" w:rsidRPr="00D322EC" w:rsidRDefault="00D322EC" w:rsidP="00D322EC">
            <w:pPr>
              <w:spacing w:after="0" w:line="240" w:lineRule="auto"/>
              <w:rPr>
                <w:rFonts w:ascii="Calibri" w:eastAsia="Times New Roman" w:hAnsi="Calibri" w:cs="Times New Roman"/>
                <w:color w:val="000000"/>
                <w:lang w:eastAsia="en-GB"/>
              </w:rPr>
            </w:pPr>
          </w:p>
        </w:tc>
        <w:tc>
          <w:tcPr>
            <w:tcW w:w="1734" w:type="dxa"/>
            <w:tcBorders>
              <w:top w:val="nil"/>
              <w:left w:val="nil"/>
              <w:bottom w:val="nil"/>
              <w:right w:val="nil"/>
            </w:tcBorders>
            <w:shd w:val="clear" w:color="auto" w:fill="auto"/>
            <w:noWrap/>
            <w:vAlign w:val="bottom"/>
            <w:hideMark/>
          </w:tcPr>
          <w:p w:rsidR="00D322EC" w:rsidRPr="00D322EC" w:rsidRDefault="00D322EC" w:rsidP="00D322EC">
            <w:pPr>
              <w:spacing w:after="0" w:line="240" w:lineRule="auto"/>
              <w:rPr>
                <w:rFonts w:ascii="Calibri" w:eastAsia="Times New Roman" w:hAnsi="Calibri" w:cs="Times New Roman"/>
                <w:color w:val="000000"/>
                <w:lang w:eastAsia="en-GB"/>
              </w:rPr>
            </w:pP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2EC" w:rsidRPr="00D322EC" w:rsidRDefault="00D322EC" w:rsidP="00D322EC">
            <w:pPr>
              <w:spacing w:after="0" w:line="240" w:lineRule="auto"/>
              <w:rPr>
                <w:rFonts w:ascii="Arial" w:eastAsia="Times New Roman" w:hAnsi="Arial" w:cs="Arial"/>
                <w:sz w:val="18"/>
                <w:szCs w:val="18"/>
                <w:lang w:eastAsia="en-GB"/>
              </w:rPr>
            </w:pPr>
            <w:r w:rsidRPr="00D322EC">
              <w:rPr>
                <w:rFonts w:ascii="Arial" w:eastAsia="Times New Roman" w:hAnsi="Arial" w:cs="Arial"/>
                <w:sz w:val="18"/>
                <w:szCs w:val="18"/>
                <w:lang w:eastAsia="en-GB"/>
              </w:rPr>
              <w:t>Croydon</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322EC" w:rsidRPr="00D322EC" w:rsidRDefault="00D322EC" w:rsidP="00D322EC">
            <w:pPr>
              <w:spacing w:after="0" w:line="240" w:lineRule="auto"/>
              <w:rPr>
                <w:rFonts w:ascii="Arial" w:eastAsia="Times New Roman" w:hAnsi="Arial" w:cs="Arial"/>
                <w:sz w:val="18"/>
                <w:szCs w:val="18"/>
                <w:lang w:eastAsia="en-GB"/>
              </w:rPr>
            </w:pPr>
            <w:r w:rsidRPr="00D322EC">
              <w:rPr>
                <w:rFonts w:ascii="Arial" w:eastAsia="Times New Roman" w:hAnsi="Arial" w:cs="Arial"/>
                <w:sz w:val="18"/>
                <w:szCs w:val="18"/>
                <w:lang w:eastAsia="en-GB"/>
              </w:rPr>
              <w:t>Kingston</w:t>
            </w:r>
          </w:p>
        </w:tc>
        <w:tc>
          <w:tcPr>
            <w:tcW w:w="1027" w:type="dxa"/>
            <w:tcBorders>
              <w:top w:val="single" w:sz="4" w:space="0" w:color="auto"/>
              <w:left w:val="nil"/>
              <w:bottom w:val="single" w:sz="4" w:space="0" w:color="auto"/>
              <w:right w:val="single" w:sz="4" w:space="0" w:color="auto"/>
            </w:tcBorders>
            <w:shd w:val="clear" w:color="auto" w:fill="auto"/>
            <w:noWrap/>
            <w:vAlign w:val="bottom"/>
            <w:hideMark/>
          </w:tcPr>
          <w:p w:rsidR="00D322EC" w:rsidRPr="00D322EC" w:rsidRDefault="00D322EC" w:rsidP="00D322EC">
            <w:pPr>
              <w:spacing w:after="0" w:line="240" w:lineRule="auto"/>
              <w:rPr>
                <w:rFonts w:ascii="Arial" w:eastAsia="Times New Roman" w:hAnsi="Arial" w:cs="Arial"/>
                <w:sz w:val="18"/>
                <w:szCs w:val="18"/>
                <w:lang w:eastAsia="en-GB"/>
              </w:rPr>
            </w:pPr>
            <w:r w:rsidRPr="00D322EC">
              <w:rPr>
                <w:rFonts w:ascii="Arial" w:eastAsia="Times New Roman" w:hAnsi="Arial" w:cs="Arial"/>
                <w:sz w:val="18"/>
                <w:szCs w:val="18"/>
                <w:lang w:eastAsia="en-GB"/>
              </w:rPr>
              <w:t>Richmond</w:t>
            </w:r>
          </w:p>
        </w:tc>
        <w:tc>
          <w:tcPr>
            <w:tcW w:w="1609" w:type="dxa"/>
            <w:tcBorders>
              <w:top w:val="single" w:sz="4" w:space="0" w:color="auto"/>
              <w:left w:val="nil"/>
              <w:bottom w:val="single" w:sz="4" w:space="0" w:color="auto"/>
              <w:right w:val="single" w:sz="4" w:space="0" w:color="auto"/>
            </w:tcBorders>
            <w:shd w:val="clear" w:color="auto" w:fill="auto"/>
            <w:noWrap/>
            <w:vAlign w:val="bottom"/>
            <w:hideMark/>
          </w:tcPr>
          <w:p w:rsidR="00D322EC" w:rsidRPr="00D322EC" w:rsidRDefault="00D322EC" w:rsidP="00D322EC">
            <w:pPr>
              <w:spacing w:after="0" w:line="240" w:lineRule="auto"/>
              <w:rPr>
                <w:rFonts w:ascii="Arial" w:eastAsia="Times New Roman" w:hAnsi="Arial" w:cs="Arial"/>
                <w:sz w:val="18"/>
                <w:szCs w:val="18"/>
                <w:lang w:eastAsia="en-GB"/>
              </w:rPr>
            </w:pPr>
            <w:r w:rsidRPr="00D322EC">
              <w:rPr>
                <w:rFonts w:ascii="Arial" w:eastAsia="Times New Roman" w:hAnsi="Arial" w:cs="Arial"/>
                <w:sz w:val="18"/>
                <w:szCs w:val="18"/>
                <w:lang w:eastAsia="en-GB"/>
              </w:rPr>
              <w:t>Sutton &amp; Merton</w:t>
            </w:r>
          </w:p>
        </w:tc>
        <w:tc>
          <w:tcPr>
            <w:tcW w:w="1217" w:type="dxa"/>
            <w:tcBorders>
              <w:top w:val="single" w:sz="4" w:space="0" w:color="auto"/>
              <w:left w:val="nil"/>
              <w:bottom w:val="single" w:sz="4" w:space="0" w:color="auto"/>
              <w:right w:val="single" w:sz="4" w:space="0" w:color="auto"/>
            </w:tcBorders>
            <w:shd w:val="clear" w:color="auto" w:fill="auto"/>
            <w:noWrap/>
            <w:vAlign w:val="bottom"/>
            <w:hideMark/>
          </w:tcPr>
          <w:p w:rsidR="00D322EC" w:rsidRPr="00D322EC" w:rsidRDefault="00D322EC" w:rsidP="00D322EC">
            <w:pPr>
              <w:spacing w:after="0" w:line="240" w:lineRule="auto"/>
              <w:rPr>
                <w:rFonts w:ascii="Arial" w:eastAsia="Times New Roman" w:hAnsi="Arial" w:cs="Arial"/>
                <w:sz w:val="18"/>
                <w:szCs w:val="18"/>
                <w:lang w:eastAsia="en-GB"/>
              </w:rPr>
            </w:pPr>
            <w:r w:rsidRPr="00D322EC">
              <w:rPr>
                <w:rFonts w:ascii="Arial" w:eastAsia="Times New Roman" w:hAnsi="Arial" w:cs="Arial"/>
                <w:sz w:val="18"/>
                <w:szCs w:val="18"/>
                <w:lang w:eastAsia="en-GB"/>
              </w:rPr>
              <w:t>Wandsworth</w:t>
            </w:r>
          </w:p>
        </w:tc>
      </w:tr>
      <w:tr w:rsidR="00D322EC" w:rsidRPr="00D322EC" w:rsidTr="00707F04">
        <w:trPr>
          <w:trHeight w:val="300"/>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322EC" w:rsidRPr="00D322EC" w:rsidRDefault="00D322EC" w:rsidP="00D322EC">
            <w:pPr>
              <w:spacing w:after="0" w:line="240" w:lineRule="auto"/>
              <w:jc w:val="center"/>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Persons</w:t>
            </w:r>
          </w:p>
        </w:tc>
        <w:tc>
          <w:tcPr>
            <w:tcW w:w="1734" w:type="dxa"/>
            <w:tcBorders>
              <w:top w:val="single" w:sz="4" w:space="0" w:color="auto"/>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rPr>
                <w:rFonts w:ascii="Arial" w:eastAsia="Times New Roman" w:hAnsi="Arial" w:cs="Arial"/>
                <w:sz w:val="18"/>
                <w:szCs w:val="18"/>
                <w:lang w:eastAsia="en-GB"/>
              </w:rPr>
            </w:pPr>
            <w:r w:rsidRPr="00D322EC">
              <w:rPr>
                <w:rFonts w:ascii="Arial" w:eastAsia="Times New Roman" w:hAnsi="Arial" w:cs="Arial"/>
                <w:sz w:val="18"/>
                <w:szCs w:val="18"/>
                <w:lang w:eastAsia="en-GB"/>
              </w:rPr>
              <w:t>All Ethnicities</w:t>
            </w:r>
          </w:p>
        </w:tc>
        <w:tc>
          <w:tcPr>
            <w:tcW w:w="940"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341,201</w:t>
            </w:r>
          </w:p>
        </w:tc>
        <w:tc>
          <w:tcPr>
            <w:tcW w:w="960"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154,405</w:t>
            </w:r>
          </w:p>
        </w:tc>
        <w:tc>
          <w:tcPr>
            <w:tcW w:w="1027"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185,634</w:t>
            </w:r>
          </w:p>
        </w:tc>
        <w:tc>
          <w:tcPr>
            <w:tcW w:w="1609"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382,766</w:t>
            </w:r>
          </w:p>
        </w:tc>
        <w:tc>
          <w:tcPr>
            <w:tcW w:w="1217"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293,877</w:t>
            </w:r>
          </w:p>
        </w:tc>
      </w:tr>
      <w:tr w:rsidR="00D322EC" w:rsidRPr="00D322EC" w:rsidTr="00707F04">
        <w:trPr>
          <w:trHeight w:val="300"/>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D322EC" w:rsidRPr="00D322EC" w:rsidRDefault="00D322EC" w:rsidP="00D322EC">
            <w:pPr>
              <w:spacing w:after="0" w:line="240" w:lineRule="auto"/>
              <w:rPr>
                <w:rFonts w:ascii="Calibri" w:eastAsia="Times New Roman" w:hAnsi="Calibri" w:cs="Times New Roman"/>
                <w:color w:val="000000"/>
                <w:lang w:eastAsia="en-GB"/>
              </w:rPr>
            </w:pPr>
          </w:p>
        </w:tc>
        <w:tc>
          <w:tcPr>
            <w:tcW w:w="1734"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rPr>
                <w:rFonts w:ascii="Arial" w:eastAsia="Times New Roman" w:hAnsi="Arial" w:cs="Arial"/>
                <w:sz w:val="18"/>
                <w:szCs w:val="18"/>
                <w:lang w:eastAsia="en-GB"/>
              </w:rPr>
            </w:pPr>
            <w:r w:rsidRPr="00D322EC">
              <w:rPr>
                <w:rFonts w:ascii="Arial" w:eastAsia="Times New Roman" w:hAnsi="Arial" w:cs="Arial"/>
                <w:sz w:val="18"/>
                <w:szCs w:val="18"/>
                <w:lang w:eastAsia="en-GB"/>
              </w:rPr>
              <w:t>White</w:t>
            </w:r>
          </w:p>
        </w:tc>
        <w:tc>
          <w:tcPr>
            <w:tcW w:w="940"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201,514</w:t>
            </w:r>
          </w:p>
        </w:tc>
        <w:tc>
          <w:tcPr>
            <w:tcW w:w="960"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119,818</w:t>
            </w:r>
          </w:p>
        </w:tc>
        <w:tc>
          <w:tcPr>
            <w:tcW w:w="1027"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163,737</w:t>
            </w:r>
          </w:p>
        </w:tc>
        <w:tc>
          <w:tcPr>
            <w:tcW w:w="1609"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293,535</w:t>
            </w:r>
          </w:p>
        </w:tc>
        <w:tc>
          <w:tcPr>
            <w:tcW w:w="1217"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229,791</w:t>
            </w:r>
          </w:p>
        </w:tc>
      </w:tr>
      <w:tr w:rsidR="00D322EC" w:rsidRPr="00D322EC" w:rsidTr="00707F04">
        <w:trPr>
          <w:trHeight w:val="300"/>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D322EC" w:rsidRPr="00D322EC" w:rsidRDefault="00D322EC" w:rsidP="00D322EC">
            <w:pPr>
              <w:spacing w:after="0" w:line="240" w:lineRule="auto"/>
              <w:rPr>
                <w:rFonts w:ascii="Calibri" w:eastAsia="Times New Roman" w:hAnsi="Calibri" w:cs="Times New Roman"/>
                <w:color w:val="000000"/>
                <w:lang w:eastAsia="en-GB"/>
              </w:rPr>
            </w:pPr>
          </w:p>
        </w:tc>
        <w:tc>
          <w:tcPr>
            <w:tcW w:w="1734"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rPr>
                <w:rFonts w:ascii="Arial" w:eastAsia="Times New Roman" w:hAnsi="Arial" w:cs="Arial"/>
                <w:sz w:val="18"/>
                <w:szCs w:val="18"/>
                <w:lang w:eastAsia="en-GB"/>
              </w:rPr>
            </w:pPr>
            <w:r w:rsidRPr="00D322EC">
              <w:rPr>
                <w:rFonts w:ascii="Arial" w:eastAsia="Times New Roman" w:hAnsi="Arial" w:cs="Arial"/>
                <w:sz w:val="18"/>
                <w:szCs w:val="18"/>
                <w:lang w:eastAsia="en-GB"/>
              </w:rPr>
              <w:t>Black Caribbean</w:t>
            </w:r>
          </w:p>
        </w:tc>
        <w:tc>
          <w:tcPr>
            <w:tcW w:w="940"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34,954</w:t>
            </w:r>
          </w:p>
        </w:tc>
        <w:tc>
          <w:tcPr>
            <w:tcW w:w="960"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1,101</w:t>
            </w:r>
          </w:p>
        </w:tc>
        <w:tc>
          <w:tcPr>
            <w:tcW w:w="1027"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660</w:t>
            </w:r>
          </w:p>
        </w:tc>
        <w:tc>
          <w:tcPr>
            <w:tcW w:w="1609"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11,156</w:t>
            </w:r>
          </w:p>
        </w:tc>
        <w:tc>
          <w:tcPr>
            <w:tcW w:w="1217"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11,139</w:t>
            </w:r>
          </w:p>
        </w:tc>
      </w:tr>
      <w:tr w:rsidR="00D322EC" w:rsidRPr="00D322EC" w:rsidTr="00707F04">
        <w:trPr>
          <w:trHeight w:val="300"/>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D322EC" w:rsidRPr="00D322EC" w:rsidRDefault="00D322EC" w:rsidP="00D322EC">
            <w:pPr>
              <w:spacing w:after="0" w:line="240" w:lineRule="auto"/>
              <w:rPr>
                <w:rFonts w:ascii="Calibri" w:eastAsia="Times New Roman" w:hAnsi="Calibri" w:cs="Times New Roman"/>
                <w:color w:val="000000"/>
                <w:lang w:eastAsia="en-GB"/>
              </w:rPr>
            </w:pPr>
          </w:p>
        </w:tc>
        <w:tc>
          <w:tcPr>
            <w:tcW w:w="1734"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rPr>
                <w:rFonts w:ascii="Arial" w:eastAsia="Times New Roman" w:hAnsi="Arial" w:cs="Arial"/>
                <w:sz w:val="18"/>
                <w:szCs w:val="18"/>
                <w:lang w:eastAsia="en-GB"/>
              </w:rPr>
            </w:pPr>
            <w:r w:rsidRPr="00D322EC">
              <w:rPr>
                <w:rFonts w:ascii="Arial" w:eastAsia="Times New Roman" w:hAnsi="Arial" w:cs="Arial"/>
                <w:sz w:val="18"/>
                <w:szCs w:val="18"/>
                <w:lang w:eastAsia="en-GB"/>
              </w:rPr>
              <w:t>Black African</w:t>
            </w:r>
          </w:p>
        </w:tc>
        <w:tc>
          <w:tcPr>
            <w:tcW w:w="940"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23,372</w:t>
            </w:r>
          </w:p>
        </w:tc>
        <w:tc>
          <w:tcPr>
            <w:tcW w:w="960"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2,224</w:t>
            </w:r>
          </w:p>
        </w:tc>
        <w:tc>
          <w:tcPr>
            <w:tcW w:w="1027"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1,105</w:t>
            </w:r>
          </w:p>
        </w:tc>
        <w:tc>
          <w:tcPr>
            <w:tcW w:w="1609"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11,765</w:t>
            </w:r>
          </w:p>
        </w:tc>
        <w:tc>
          <w:tcPr>
            <w:tcW w:w="1217"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10,267</w:t>
            </w:r>
          </w:p>
        </w:tc>
      </w:tr>
      <w:tr w:rsidR="00D322EC" w:rsidRPr="00D322EC" w:rsidTr="00707F04">
        <w:trPr>
          <w:trHeight w:val="300"/>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D322EC" w:rsidRPr="00D322EC" w:rsidRDefault="00D322EC" w:rsidP="00D322EC">
            <w:pPr>
              <w:spacing w:after="0" w:line="240" w:lineRule="auto"/>
              <w:rPr>
                <w:rFonts w:ascii="Calibri" w:eastAsia="Times New Roman" w:hAnsi="Calibri" w:cs="Times New Roman"/>
                <w:color w:val="000000"/>
                <w:lang w:eastAsia="en-GB"/>
              </w:rPr>
            </w:pPr>
          </w:p>
        </w:tc>
        <w:tc>
          <w:tcPr>
            <w:tcW w:w="1734"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rPr>
                <w:rFonts w:ascii="Arial" w:eastAsia="Times New Roman" w:hAnsi="Arial" w:cs="Arial"/>
                <w:sz w:val="18"/>
                <w:szCs w:val="18"/>
                <w:lang w:eastAsia="en-GB"/>
              </w:rPr>
            </w:pPr>
            <w:r w:rsidRPr="00D322EC">
              <w:rPr>
                <w:rFonts w:ascii="Arial" w:eastAsia="Times New Roman" w:hAnsi="Arial" w:cs="Arial"/>
                <w:sz w:val="18"/>
                <w:szCs w:val="18"/>
                <w:lang w:eastAsia="en-GB"/>
              </w:rPr>
              <w:t>Black Other</w:t>
            </w:r>
          </w:p>
        </w:tc>
        <w:tc>
          <w:tcPr>
            <w:tcW w:w="940"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14,072</w:t>
            </w:r>
          </w:p>
        </w:tc>
        <w:tc>
          <w:tcPr>
            <w:tcW w:w="960"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1,353</w:t>
            </w:r>
          </w:p>
        </w:tc>
        <w:tc>
          <w:tcPr>
            <w:tcW w:w="1027"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2,076</w:t>
            </w:r>
          </w:p>
        </w:tc>
        <w:tc>
          <w:tcPr>
            <w:tcW w:w="1609"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7,639</w:t>
            </w:r>
          </w:p>
        </w:tc>
        <w:tc>
          <w:tcPr>
            <w:tcW w:w="1217"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7,268</w:t>
            </w:r>
          </w:p>
        </w:tc>
      </w:tr>
      <w:tr w:rsidR="00D322EC" w:rsidRPr="00D322EC" w:rsidTr="00707F04">
        <w:trPr>
          <w:trHeight w:val="300"/>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D322EC" w:rsidRPr="00D322EC" w:rsidRDefault="00D322EC" w:rsidP="00D322EC">
            <w:pPr>
              <w:spacing w:after="0" w:line="240" w:lineRule="auto"/>
              <w:rPr>
                <w:rFonts w:ascii="Calibri" w:eastAsia="Times New Roman" w:hAnsi="Calibri" w:cs="Times New Roman"/>
                <w:color w:val="000000"/>
                <w:lang w:eastAsia="en-GB"/>
              </w:rPr>
            </w:pPr>
          </w:p>
        </w:tc>
        <w:tc>
          <w:tcPr>
            <w:tcW w:w="1734"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rPr>
                <w:rFonts w:ascii="Arial" w:eastAsia="Times New Roman" w:hAnsi="Arial" w:cs="Arial"/>
                <w:sz w:val="18"/>
                <w:szCs w:val="18"/>
                <w:lang w:eastAsia="en-GB"/>
              </w:rPr>
            </w:pPr>
            <w:r w:rsidRPr="00D322EC">
              <w:rPr>
                <w:rFonts w:ascii="Arial" w:eastAsia="Times New Roman" w:hAnsi="Arial" w:cs="Arial"/>
                <w:sz w:val="18"/>
                <w:szCs w:val="18"/>
                <w:lang w:eastAsia="en-GB"/>
              </w:rPr>
              <w:t>Chinese</w:t>
            </w:r>
          </w:p>
        </w:tc>
        <w:tc>
          <w:tcPr>
            <w:tcW w:w="940"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1,862</w:t>
            </w:r>
          </w:p>
        </w:tc>
        <w:tc>
          <w:tcPr>
            <w:tcW w:w="960"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3,074</w:t>
            </w:r>
          </w:p>
        </w:tc>
        <w:tc>
          <w:tcPr>
            <w:tcW w:w="1027"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1,278</w:t>
            </w:r>
          </w:p>
        </w:tc>
        <w:tc>
          <w:tcPr>
            <w:tcW w:w="1609"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4,367</w:t>
            </w:r>
          </w:p>
        </w:tc>
        <w:tc>
          <w:tcPr>
            <w:tcW w:w="1217"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2,637</w:t>
            </w:r>
          </w:p>
        </w:tc>
      </w:tr>
      <w:tr w:rsidR="00D322EC" w:rsidRPr="00D322EC" w:rsidTr="00707F04">
        <w:trPr>
          <w:trHeight w:val="300"/>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D322EC" w:rsidRPr="00D322EC" w:rsidRDefault="00D322EC" w:rsidP="00D322EC">
            <w:pPr>
              <w:spacing w:after="0" w:line="240" w:lineRule="auto"/>
              <w:rPr>
                <w:rFonts w:ascii="Calibri" w:eastAsia="Times New Roman" w:hAnsi="Calibri" w:cs="Times New Roman"/>
                <w:color w:val="000000"/>
                <w:lang w:eastAsia="en-GB"/>
              </w:rPr>
            </w:pPr>
          </w:p>
        </w:tc>
        <w:tc>
          <w:tcPr>
            <w:tcW w:w="1734"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rPr>
                <w:rFonts w:ascii="Arial" w:eastAsia="Times New Roman" w:hAnsi="Arial" w:cs="Arial"/>
                <w:sz w:val="18"/>
                <w:szCs w:val="18"/>
                <w:lang w:eastAsia="en-GB"/>
              </w:rPr>
            </w:pPr>
            <w:r w:rsidRPr="00D322EC">
              <w:rPr>
                <w:rFonts w:ascii="Arial" w:eastAsia="Times New Roman" w:hAnsi="Arial" w:cs="Arial"/>
                <w:sz w:val="18"/>
                <w:szCs w:val="18"/>
                <w:lang w:eastAsia="en-GB"/>
              </w:rPr>
              <w:t>Asian</w:t>
            </w:r>
          </w:p>
        </w:tc>
        <w:tc>
          <w:tcPr>
            <w:tcW w:w="940"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56,188</w:t>
            </w:r>
          </w:p>
        </w:tc>
        <w:tc>
          <w:tcPr>
            <w:tcW w:w="960"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17,204</w:t>
            </w:r>
          </w:p>
        </w:tc>
        <w:tc>
          <w:tcPr>
            <w:tcW w:w="1027"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10,897</w:t>
            </w:r>
          </w:p>
        </w:tc>
        <w:tc>
          <w:tcPr>
            <w:tcW w:w="1609"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42,071</w:t>
            </w:r>
          </w:p>
        </w:tc>
        <w:tc>
          <w:tcPr>
            <w:tcW w:w="1217"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20,073</w:t>
            </w:r>
          </w:p>
        </w:tc>
      </w:tr>
      <w:tr w:rsidR="00D322EC" w:rsidRPr="00D322EC" w:rsidTr="00707F04">
        <w:trPr>
          <w:trHeight w:val="300"/>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D322EC" w:rsidRPr="00D322EC" w:rsidRDefault="00D322EC" w:rsidP="00D322EC">
            <w:pPr>
              <w:spacing w:after="0" w:line="240" w:lineRule="auto"/>
              <w:rPr>
                <w:rFonts w:ascii="Calibri" w:eastAsia="Times New Roman" w:hAnsi="Calibri" w:cs="Times New Roman"/>
                <w:color w:val="000000"/>
                <w:lang w:eastAsia="en-GB"/>
              </w:rPr>
            </w:pPr>
          </w:p>
        </w:tc>
        <w:tc>
          <w:tcPr>
            <w:tcW w:w="1734" w:type="dxa"/>
            <w:tcBorders>
              <w:top w:val="nil"/>
              <w:left w:val="nil"/>
              <w:bottom w:val="single" w:sz="4" w:space="0" w:color="auto"/>
              <w:right w:val="single" w:sz="4" w:space="0" w:color="auto"/>
            </w:tcBorders>
            <w:shd w:val="clear" w:color="auto" w:fill="auto"/>
            <w:noWrap/>
            <w:vAlign w:val="bottom"/>
            <w:hideMark/>
          </w:tcPr>
          <w:p w:rsidR="00D322EC" w:rsidRPr="00D322EC" w:rsidRDefault="00D322EC" w:rsidP="00D322EC">
            <w:pPr>
              <w:spacing w:after="0" w:line="240" w:lineRule="auto"/>
              <w:rPr>
                <w:rFonts w:ascii="Arial" w:eastAsia="Times New Roman" w:hAnsi="Arial" w:cs="Arial"/>
                <w:sz w:val="18"/>
                <w:szCs w:val="18"/>
                <w:lang w:eastAsia="en-GB"/>
              </w:rPr>
            </w:pPr>
            <w:r w:rsidRPr="00D322EC">
              <w:rPr>
                <w:rFonts w:ascii="Arial" w:eastAsia="Times New Roman" w:hAnsi="Arial" w:cs="Arial"/>
                <w:sz w:val="18"/>
                <w:szCs w:val="18"/>
                <w:lang w:eastAsia="en-GB"/>
              </w:rPr>
              <w:t>Other</w:t>
            </w:r>
          </w:p>
        </w:tc>
        <w:tc>
          <w:tcPr>
            <w:tcW w:w="940"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9,239</w:t>
            </w:r>
          </w:p>
        </w:tc>
        <w:tc>
          <w:tcPr>
            <w:tcW w:w="960"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9,632</w:t>
            </w:r>
          </w:p>
        </w:tc>
        <w:tc>
          <w:tcPr>
            <w:tcW w:w="1027"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5,881</w:t>
            </w:r>
          </w:p>
        </w:tc>
        <w:tc>
          <w:tcPr>
            <w:tcW w:w="1609"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12,232</w:t>
            </w:r>
          </w:p>
        </w:tc>
        <w:tc>
          <w:tcPr>
            <w:tcW w:w="1217"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10,231</w:t>
            </w:r>
          </w:p>
        </w:tc>
      </w:tr>
      <w:tr w:rsidR="00D322EC" w:rsidRPr="00D322EC" w:rsidTr="00707F04">
        <w:trPr>
          <w:trHeight w:val="300"/>
        </w:trPr>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322EC" w:rsidRPr="00D322EC" w:rsidRDefault="00D322EC" w:rsidP="00D322EC">
            <w:pPr>
              <w:spacing w:after="0" w:line="240" w:lineRule="auto"/>
              <w:jc w:val="center"/>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Male</w:t>
            </w:r>
          </w:p>
        </w:tc>
        <w:tc>
          <w:tcPr>
            <w:tcW w:w="1734"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rPr>
                <w:rFonts w:ascii="Arial" w:eastAsia="Times New Roman" w:hAnsi="Arial" w:cs="Arial"/>
                <w:sz w:val="18"/>
                <w:szCs w:val="18"/>
                <w:lang w:eastAsia="en-GB"/>
              </w:rPr>
            </w:pPr>
            <w:r w:rsidRPr="00D322EC">
              <w:rPr>
                <w:rFonts w:ascii="Arial" w:eastAsia="Times New Roman" w:hAnsi="Arial" w:cs="Arial"/>
                <w:sz w:val="18"/>
                <w:szCs w:val="18"/>
                <w:lang w:eastAsia="en-GB"/>
              </w:rPr>
              <w:t>All Ethnicities</w:t>
            </w:r>
          </w:p>
        </w:tc>
        <w:tc>
          <w:tcPr>
            <w:tcW w:w="940"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166,745</w:t>
            </w:r>
          </w:p>
        </w:tc>
        <w:tc>
          <w:tcPr>
            <w:tcW w:w="960"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76,109</w:t>
            </w:r>
          </w:p>
        </w:tc>
        <w:tc>
          <w:tcPr>
            <w:tcW w:w="1027"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90,708</w:t>
            </w:r>
          </w:p>
        </w:tc>
        <w:tc>
          <w:tcPr>
            <w:tcW w:w="1609"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187,394</w:t>
            </w:r>
          </w:p>
        </w:tc>
        <w:tc>
          <w:tcPr>
            <w:tcW w:w="1217"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143,260</w:t>
            </w:r>
          </w:p>
        </w:tc>
      </w:tr>
      <w:tr w:rsidR="00D322EC" w:rsidRPr="00D322EC" w:rsidTr="00707F04">
        <w:trPr>
          <w:trHeight w:val="300"/>
        </w:trPr>
        <w:tc>
          <w:tcPr>
            <w:tcW w:w="960" w:type="dxa"/>
            <w:vMerge/>
            <w:tcBorders>
              <w:top w:val="nil"/>
              <w:left w:val="single" w:sz="4" w:space="0" w:color="auto"/>
              <w:bottom w:val="single" w:sz="4" w:space="0" w:color="000000"/>
              <w:right w:val="single" w:sz="4" w:space="0" w:color="auto"/>
            </w:tcBorders>
            <w:vAlign w:val="center"/>
            <w:hideMark/>
          </w:tcPr>
          <w:p w:rsidR="00D322EC" w:rsidRPr="00D322EC" w:rsidRDefault="00D322EC" w:rsidP="00D322EC">
            <w:pPr>
              <w:spacing w:after="0" w:line="240" w:lineRule="auto"/>
              <w:rPr>
                <w:rFonts w:ascii="Calibri" w:eastAsia="Times New Roman" w:hAnsi="Calibri" w:cs="Times New Roman"/>
                <w:color w:val="000000"/>
                <w:lang w:eastAsia="en-GB"/>
              </w:rPr>
            </w:pPr>
          </w:p>
        </w:tc>
        <w:tc>
          <w:tcPr>
            <w:tcW w:w="1734"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rPr>
                <w:rFonts w:ascii="Arial" w:eastAsia="Times New Roman" w:hAnsi="Arial" w:cs="Arial"/>
                <w:sz w:val="18"/>
                <w:szCs w:val="18"/>
                <w:lang w:eastAsia="en-GB"/>
              </w:rPr>
            </w:pPr>
            <w:r w:rsidRPr="00D322EC">
              <w:rPr>
                <w:rFonts w:ascii="Arial" w:eastAsia="Times New Roman" w:hAnsi="Arial" w:cs="Arial"/>
                <w:sz w:val="18"/>
                <w:szCs w:val="18"/>
                <w:lang w:eastAsia="en-GB"/>
              </w:rPr>
              <w:t>White</w:t>
            </w:r>
          </w:p>
        </w:tc>
        <w:tc>
          <w:tcPr>
            <w:tcW w:w="940"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99,906</w:t>
            </w:r>
          </w:p>
        </w:tc>
        <w:tc>
          <w:tcPr>
            <w:tcW w:w="960"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59,546</w:t>
            </w:r>
          </w:p>
        </w:tc>
        <w:tc>
          <w:tcPr>
            <w:tcW w:w="1027"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80,182</w:t>
            </w:r>
          </w:p>
        </w:tc>
        <w:tc>
          <w:tcPr>
            <w:tcW w:w="1609"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144,540</w:t>
            </w:r>
          </w:p>
        </w:tc>
        <w:tc>
          <w:tcPr>
            <w:tcW w:w="1217"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113,206</w:t>
            </w:r>
          </w:p>
        </w:tc>
      </w:tr>
      <w:tr w:rsidR="00D322EC" w:rsidRPr="00D322EC" w:rsidTr="00707F04">
        <w:trPr>
          <w:trHeight w:val="300"/>
        </w:trPr>
        <w:tc>
          <w:tcPr>
            <w:tcW w:w="960" w:type="dxa"/>
            <w:vMerge/>
            <w:tcBorders>
              <w:top w:val="nil"/>
              <w:left w:val="single" w:sz="4" w:space="0" w:color="auto"/>
              <w:bottom w:val="single" w:sz="4" w:space="0" w:color="000000"/>
              <w:right w:val="single" w:sz="4" w:space="0" w:color="auto"/>
            </w:tcBorders>
            <w:vAlign w:val="center"/>
            <w:hideMark/>
          </w:tcPr>
          <w:p w:rsidR="00D322EC" w:rsidRPr="00D322EC" w:rsidRDefault="00D322EC" w:rsidP="00D322EC">
            <w:pPr>
              <w:spacing w:after="0" w:line="240" w:lineRule="auto"/>
              <w:rPr>
                <w:rFonts w:ascii="Calibri" w:eastAsia="Times New Roman" w:hAnsi="Calibri" w:cs="Times New Roman"/>
                <w:color w:val="000000"/>
                <w:lang w:eastAsia="en-GB"/>
              </w:rPr>
            </w:pPr>
          </w:p>
        </w:tc>
        <w:tc>
          <w:tcPr>
            <w:tcW w:w="1734"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rPr>
                <w:rFonts w:ascii="Arial" w:eastAsia="Times New Roman" w:hAnsi="Arial" w:cs="Arial"/>
                <w:sz w:val="18"/>
                <w:szCs w:val="18"/>
                <w:lang w:eastAsia="en-GB"/>
              </w:rPr>
            </w:pPr>
            <w:r w:rsidRPr="00D322EC">
              <w:rPr>
                <w:rFonts w:ascii="Arial" w:eastAsia="Times New Roman" w:hAnsi="Arial" w:cs="Arial"/>
                <w:sz w:val="18"/>
                <w:szCs w:val="18"/>
                <w:lang w:eastAsia="en-GB"/>
              </w:rPr>
              <w:t>Black Caribbean</w:t>
            </w:r>
          </w:p>
        </w:tc>
        <w:tc>
          <w:tcPr>
            <w:tcW w:w="940"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15,195</w:t>
            </w:r>
          </w:p>
        </w:tc>
        <w:tc>
          <w:tcPr>
            <w:tcW w:w="960"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537</w:t>
            </w:r>
          </w:p>
        </w:tc>
        <w:tc>
          <w:tcPr>
            <w:tcW w:w="1027"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257</w:t>
            </w:r>
          </w:p>
        </w:tc>
        <w:tc>
          <w:tcPr>
            <w:tcW w:w="1609"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4,934</w:t>
            </w:r>
          </w:p>
        </w:tc>
        <w:tc>
          <w:tcPr>
            <w:tcW w:w="1217"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4,771</w:t>
            </w:r>
          </w:p>
        </w:tc>
      </w:tr>
      <w:tr w:rsidR="00D322EC" w:rsidRPr="00D322EC" w:rsidTr="00707F04">
        <w:trPr>
          <w:trHeight w:val="300"/>
        </w:trPr>
        <w:tc>
          <w:tcPr>
            <w:tcW w:w="960" w:type="dxa"/>
            <w:vMerge/>
            <w:tcBorders>
              <w:top w:val="nil"/>
              <w:left w:val="single" w:sz="4" w:space="0" w:color="auto"/>
              <w:bottom w:val="single" w:sz="4" w:space="0" w:color="000000"/>
              <w:right w:val="single" w:sz="4" w:space="0" w:color="auto"/>
            </w:tcBorders>
            <w:vAlign w:val="center"/>
            <w:hideMark/>
          </w:tcPr>
          <w:p w:rsidR="00D322EC" w:rsidRPr="00D322EC" w:rsidRDefault="00D322EC" w:rsidP="00D322EC">
            <w:pPr>
              <w:spacing w:after="0" w:line="240" w:lineRule="auto"/>
              <w:rPr>
                <w:rFonts w:ascii="Calibri" w:eastAsia="Times New Roman" w:hAnsi="Calibri" w:cs="Times New Roman"/>
                <w:color w:val="000000"/>
                <w:lang w:eastAsia="en-GB"/>
              </w:rPr>
            </w:pPr>
          </w:p>
        </w:tc>
        <w:tc>
          <w:tcPr>
            <w:tcW w:w="1734"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rPr>
                <w:rFonts w:ascii="Arial" w:eastAsia="Times New Roman" w:hAnsi="Arial" w:cs="Arial"/>
                <w:sz w:val="18"/>
                <w:szCs w:val="18"/>
                <w:lang w:eastAsia="en-GB"/>
              </w:rPr>
            </w:pPr>
            <w:r w:rsidRPr="00D322EC">
              <w:rPr>
                <w:rFonts w:ascii="Arial" w:eastAsia="Times New Roman" w:hAnsi="Arial" w:cs="Arial"/>
                <w:sz w:val="18"/>
                <w:szCs w:val="18"/>
                <w:lang w:eastAsia="en-GB"/>
              </w:rPr>
              <w:t>Black African</w:t>
            </w:r>
          </w:p>
        </w:tc>
        <w:tc>
          <w:tcPr>
            <w:tcW w:w="940"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11,280</w:t>
            </w:r>
          </w:p>
        </w:tc>
        <w:tc>
          <w:tcPr>
            <w:tcW w:w="960"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1,101</w:t>
            </w:r>
          </w:p>
        </w:tc>
        <w:tc>
          <w:tcPr>
            <w:tcW w:w="1027"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499</w:t>
            </w:r>
          </w:p>
        </w:tc>
        <w:tc>
          <w:tcPr>
            <w:tcW w:w="1609"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5,528</w:t>
            </w:r>
          </w:p>
        </w:tc>
        <w:tc>
          <w:tcPr>
            <w:tcW w:w="1217"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4,710</w:t>
            </w:r>
          </w:p>
        </w:tc>
      </w:tr>
      <w:tr w:rsidR="00D322EC" w:rsidRPr="00D322EC" w:rsidTr="00707F04">
        <w:trPr>
          <w:trHeight w:val="300"/>
        </w:trPr>
        <w:tc>
          <w:tcPr>
            <w:tcW w:w="960" w:type="dxa"/>
            <w:vMerge/>
            <w:tcBorders>
              <w:top w:val="nil"/>
              <w:left w:val="single" w:sz="4" w:space="0" w:color="auto"/>
              <w:bottom w:val="single" w:sz="4" w:space="0" w:color="000000"/>
              <w:right w:val="single" w:sz="4" w:space="0" w:color="auto"/>
            </w:tcBorders>
            <w:vAlign w:val="center"/>
            <w:hideMark/>
          </w:tcPr>
          <w:p w:rsidR="00D322EC" w:rsidRPr="00D322EC" w:rsidRDefault="00D322EC" w:rsidP="00D322EC">
            <w:pPr>
              <w:spacing w:after="0" w:line="240" w:lineRule="auto"/>
              <w:rPr>
                <w:rFonts w:ascii="Calibri" w:eastAsia="Times New Roman" w:hAnsi="Calibri" w:cs="Times New Roman"/>
                <w:color w:val="000000"/>
                <w:lang w:eastAsia="en-GB"/>
              </w:rPr>
            </w:pPr>
          </w:p>
        </w:tc>
        <w:tc>
          <w:tcPr>
            <w:tcW w:w="1734"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rPr>
                <w:rFonts w:ascii="Arial" w:eastAsia="Times New Roman" w:hAnsi="Arial" w:cs="Arial"/>
                <w:sz w:val="18"/>
                <w:szCs w:val="18"/>
                <w:lang w:eastAsia="en-GB"/>
              </w:rPr>
            </w:pPr>
            <w:r w:rsidRPr="00D322EC">
              <w:rPr>
                <w:rFonts w:ascii="Arial" w:eastAsia="Times New Roman" w:hAnsi="Arial" w:cs="Arial"/>
                <w:sz w:val="18"/>
                <w:szCs w:val="18"/>
                <w:lang w:eastAsia="en-GB"/>
              </w:rPr>
              <w:t>Black Other</w:t>
            </w:r>
          </w:p>
        </w:tc>
        <w:tc>
          <w:tcPr>
            <w:tcW w:w="940"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6,789</w:t>
            </w:r>
          </w:p>
        </w:tc>
        <w:tc>
          <w:tcPr>
            <w:tcW w:w="960"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698</w:t>
            </w:r>
          </w:p>
        </w:tc>
        <w:tc>
          <w:tcPr>
            <w:tcW w:w="1027"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1,095</w:t>
            </w:r>
          </w:p>
        </w:tc>
        <w:tc>
          <w:tcPr>
            <w:tcW w:w="1609"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3,577</w:t>
            </w:r>
          </w:p>
        </w:tc>
        <w:tc>
          <w:tcPr>
            <w:tcW w:w="1217"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3,511</w:t>
            </w:r>
          </w:p>
        </w:tc>
      </w:tr>
      <w:tr w:rsidR="00D322EC" w:rsidRPr="00D322EC" w:rsidTr="00707F04">
        <w:trPr>
          <w:trHeight w:val="300"/>
        </w:trPr>
        <w:tc>
          <w:tcPr>
            <w:tcW w:w="960" w:type="dxa"/>
            <w:vMerge/>
            <w:tcBorders>
              <w:top w:val="nil"/>
              <w:left w:val="single" w:sz="4" w:space="0" w:color="auto"/>
              <w:bottom w:val="single" w:sz="4" w:space="0" w:color="000000"/>
              <w:right w:val="single" w:sz="4" w:space="0" w:color="auto"/>
            </w:tcBorders>
            <w:vAlign w:val="center"/>
            <w:hideMark/>
          </w:tcPr>
          <w:p w:rsidR="00D322EC" w:rsidRPr="00D322EC" w:rsidRDefault="00D322EC" w:rsidP="00D322EC">
            <w:pPr>
              <w:spacing w:after="0" w:line="240" w:lineRule="auto"/>
              <w:rPr>
                <w:rFonts w:ascii="Calibri" w:eastAsia="Times New Roman" w:hAnsi="Calibri" w:cs="Times New Roman"/>
                <w:color w:val="000000"/>
                <w:lang w:eastAsia="en-GB"/>
              </w:rPr>
            </w:pPr>
          </w:p>
        </w:tc>
        <w:tc>
          <w:tcPr>
            <w:tcW w:w="1734"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rPr>
                <w:rFonts w:ascii="Arial" w:eastAsia="Times New Roman" w:hAnsi="Arial" w:cs="Arial"/>
                <w:sz w:val="18"/>
                <w:szCs w:val="18"/>
                <w:lang w:eastAsia="en-GB"/>
              </w:rPr>
            </w:pPr>
            <w:r w:rsidRPr="00D322EC">
              <w:rPr>
                <w:rFonts w:ascii="Arial" w:eastAsia="Times New Roman" w:hAnsi="Arial" w:cs="Arial"/>
                <w:sz w:val="18"/>
                <w:szCs w:val="18"/>
                <w:lang w:eastAsia="en-GB"/>
              </w:rPr>
              <w:t>Chinese</w:t>
            </w:r>
          </w:p>
        </w:tc>
        <w:tc>
          <w:tcPr>
            <w:tcW w:w="940"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825</w:t>
            </w:r>
          </w:p>
        </w:tc>
        <w:tc>
          <w:tcPr>
            <w:tcW w:w="960"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1,484</w:t>
            </w:r>
          </w:p>
        </w:tc>
        <w:tc>
          <w:tcPr>
            <w:tcW w:w="1027"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514</w:t>
            </w:r>
          </w:p>
        </w:tc>
        <w:tc>
          <w:tcPr>
            <w:tcW w:w="1609"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2,126</w:t>
            </w:r>
          </w:p>
        </w:tc>
        <w:tc>
          <w:tcPr>
            <w:tcW w:w="1217"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1,258</w:t>
            </w:r>
          </w:p>
        </w:tc>
      </w:tr>
      <w:tr w:rsidR="00D322EC" w:rsidRPr="00D322EC" w:rsidTr="00707F04">
        <w:trPr>
          <w:trHeight w:val="300"/>
        </w:trPr>
        <w:tc>
          <w:tcPr>
            <w:tcW w:w="960" w:type="dxa"/>
            <w:vMerge/>
            <w:tcBorders>
              <w:top w:val="nil"/>
              <w:left w:val="single" w:sz="4" w:space="0" w:color="auto"/>
              <w:bottom w:val="single" w:sz="4" w:space="0" w:color="000000"/>
              <w:right w:val="single" w:sz="4" w:space="0" w:color="auto"/>
            </w:tcBorders>
            <w:vAlign w:val="center"/>
            <w:hideMark/>
          </w:tcPr>
          <w:p w:rsidR="00D322EC" w:rsidRPr="00D322EC" w:rsidRDefault="00D322EC" w:rsidP="00D322EC">
            <w:pPr>
              <w:spacing w:after="0" w:line="240" w:lineRule="auto"/>
              <w:rPr>
                <w:rFonts w:ascii="Calibri" w:eastAsia="Times New Roman" w:hAnsi="Calibri" w:cs="Times New Roman"/>
                <w:color w:val="000000"/>
                <w:lang w:eastAsia="en-GB"/>
              </w:rPr>
            </w:pPr>
          </w:p>
        </w:tc>
        <w:tc>
          <w:tcPr>
            <w:tcW w:w="1734"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rPr>
                <w:rFonts w:ascii="Arial" w:eastAsia="Times New Roman" w:hAnsi="Arial" w:cs="Arial"/>
                <w:sz w:val="18"/>
                <w:szCs w:val="18"/>
                <w:lang w:eastAsia="en-GB"/>
              </w:rPr>
            </w:pPr>
            <w:r w:rsidRPr="00D322EC">
              <w:rPr>
                <w:rFonts w:ascii="Arial" w:eastAsia="Times New Roman" w:hAnsi="Arial" w:cs="Arial"/>
                <w:sz w:val="18"/>
                <w:szCs w:val="18"/>
                <w:lang w:eastAsia="en-GB"/>
              </w:rPr>
              <w:t>Asian</w:t>
            </w:r>
          </w:p>
        </w:tc>
        <w:tc>
          <w:tcPr>
            <w:tcW w:w="940"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28,538</w:t>
            </w:r>
          </w:p>
        </w:tc>
        <w:tc>
          <w:tcPr>
            <w:tcW w:w="960"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8,188</w:t>
            </w:r>
          </w:p>
        </w:tc>
        <w:tc>
          <w:tcPr>
            <w:tcW w:w="1027"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5,454</w:t>
            </w:r>
          </w:p>
        </w:tc>
        <w:tc>
          <w:tcPr>
            <w:tcW w:w="1609"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21,021</w:t>
            </w:r>
          </w:p>
        </w:tc>
        <w:tc>
          <w:tcPr>
            <w:tcW w:w="1217"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11,214</w:t>
            </w:r>
          </w:p>
        </w:tc>
      </w:tr>
      <w:tr w:rsidR="00D322EC" w:rsidRPr="00D322EC" w:rsidTr="00707F04">
        <w:trPr>
          <w:trHeight w:val="300"/>
        </w:trPr>
        <w:tc>
          <w:tcPr>
            <w:tcW w:w="960" w:type="dxa"/>
            <w:vMerge/>
            <w:tcBorders>
              <w:top w:val="nil"/>
              <w:left w:val="single" w:sz="4" w:space="0" w:color="auto"/>
              <w:bottom w:val="single" w:sz="4" w:space="0" w:color="000000"/>
              <w:right w:val="single" w:sz="4" w:space="0" w:color="auto"/>
            </w:tcBorders>
            <w:vAlign w:val="center"/>
            <w:hideMark/>
          </w:tcPr>
          <w:p w:rsidR="00D322EC" w:rsidRPr="00D322EC" w:rsidRDefault="00D322EC" w:rsidP="00D322EC">
            <w:pPr>
              <w:spacing w:after="0" w:line="240" w:lineRule="auto"/>
              <w:rPr>
                <w:rFonts w:ascii="Calibri" w:eastAsia="Times New Roman" w:hAnsi="Calibri" w:cs="Times New Roman"/>
                <w:color w:val="000000"/>
                <w:lang w:eastAsia="en-GB"/>
              </w:rPr>
            </w:pPr>
          </w:p>
        </w:tc>
        <w:tc>
          <w:tcPr>
            <w:tcW w:w="1734" w:type="dxa"/>
            <w:tcBorders>
              <w:top w:val="nil"/>
              <w:left w:val="nil"/>
              <w:bottom w:val="single" w:sz="4" w:space="0" w:color="auto"/>
              <w:right w:val="single" w:sz="4" w:space="0" w:color="auto"/>
            </w:tcBorders>
            <w:shd w:val="clear" w:color="auto" w:fill="auto"/>
            <w:noWrap/>
            <w:vAlign w:val="bottom"/>
            <w:hideMark/>
          </w:tcPr>
          <w:p w:rsidR="00D322EC" w:rsidRPr="00D322EC" w:rsidRDefault="00D322EC" w:rsidP="00D322EC">
            <w:pPr>
              <w:spacing w:after="0" w:line="240" w:lineRule="auto"/>
              <w:rPr>
                <w:rFonts w:ascii="Arial" w:eastAsia="Times New Roman" w:hAnsi="Arial" w:cs="Arial"/>
                <w:sz w:val="18"/>
                <w:szCs w:val="18"/>
                <w:lang w:eastAsia="en-GB"/>
              </w:rPr>
            </w:pPr>
            <w:r w:rsidRPr="00D322EC">
              <w:rPr>
                <w:rFonts w:ascii="Arial" w:eastAsia="Times New Roman" w:hAnsi="Arial" w:cs="Arial"/>
                <w:sz w:val="18"/>
                <w:szCs w:val="18"/>
                <w:lang w:eastAsia="en-GB"/>
              </w:rPr>
              <w:t>Other</w:t>
            </w:r>
          </w:p>
        </w:tc>
        <w:tc>
          <w:tcPr>
            <w:tcW w:w="940"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4,211</w:t>
            </w:r>
          </w:p>
        </w:tc>
        <w:tc>
          <w:tcPr>
            <w:tcW w:w="960"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4,555</w:t>
            </w:r>
          </w:p>
        </w:tc>
        <w:tc>
          <w:tcPr>
            <w:tcW w:w="1027"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2,706</w:t>
            </w:r>
          </w:p>
        </w:tc>
        <w:tc>
          <w:tcPr>
            <w:tcW w:w="1609"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5,668</w:t>
            </w:r>
          </w:p>
        </w:tc>
        <w:tc>
          <w:tcPr>
            <w:tcW w:w="1217"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4,591</w:t>
            </w:r>
          </w:p>
        </w:tc>
      </w:tr>
      <w:tr w:rsidR="00D322EC" w:rsidRPr="00D322EC" w:rsidTr="00707F04">
        <w:trPr>
          <w:trHeight w:val="300"/>
        </w:trPr>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322EC" w:rsidRPr="00D322EC" w:rsidRDefault="00D322EC" w:rsidP="00D322EC">
            <w:pPr>
              <w:spacing w:after="0" w:line="240" w:lineRule="auto"/>
              <w:jc w:val="center"/>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Female</w:t>
            </w:r>
          </w:p>
        </w:tc>
        <w:tc>
          <w:tcPr>
            <w:tcW w:w="1734"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rPr>
                <w:rFonts w:ascii="Arial" w:eastAsia="Times New Roman" w:hAnsi="Arial" w:cs="Arial"/>
                <w:sz w:val="18"/>
                <w:szCs w:val="18"/>
                <w:lang w:eastAsia="en-GB"/>
              </w:rPr>
            </w:pPr>
            <w:r w:rsidRPr="00D322EC">
              <w:rPr>
                <w:rFonts w:ascii="Arial" w:eastAsia="Times New Roman" w:hAnsi="Arial" w:cs="Arial"/>
                <w:sz w:val="18"/>
                <w:szCs w:val="18"/>
                <w:lang w:eastAsia="en-GB"/>
              </w:rPr>
              <w:t>All Ethnicities</w:t>
            </w:r>
          </w:p>
        </w:tc>
        <w:tc>
          <w:tcPr>
            <w:tcW w:w="940"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174,456</w:t>
            </w:r>
          </w:p>
        </w:tc>
        <w:tc>
          <w:tcPr>
            <w:tcW w:w="960"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78,296</w:t>
            </w:r>
          </w:p>
        </w:tc>
        <w:tc>
          <w:tcPr>
            <w:tcW w:w="1027"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94,926</w:t>
            </w:r>
          </w:p>
        </w:tc>
        <w:tc>
          <w:tcPr>
            <w:tcW w:w="1609"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195,372</w:t>
            </w:r>
          </w:p>
        </w:tc>
        <w:tc>
          <w:tcPr>
            <w:tcW w:w="1217"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150,618</w:t>
            </w:r>
          </w:p>
        </w:tc>
      </w:tr>
      <w:tr w:rsidR="00D322EC" w:rsidRPr="00D322EC" w:rsidTr="00707F04">
        <w:trPr>
          <w:trHeight w:val="300"/>
        </w:trPr>
        <w:tc>
          <w:tcPr>
            <w:tcW w:w="960" w:type="dxa"/>
            <w:vMerge/>
            <w:tcBorders>
              <w:top w:val="nil"/>
              <w:left w:val="single" w:sz="4" w:space="0" w:color="auto"/>
              <w:bottom w:val="single" w:sz="4" w:space="0" w:color="000000"/>
              <w:right w:val="single" w:sz="4" w:space="0" w:color="auto"/>
            </w:tcBorders>
            <w:vAlign w:val="center"/>
            <w:hideMark/>
          </w:tcPr>
          <w:p w:rsidR="00D322EC" w:rsidRPr="00D322EC" w:rsidRDefault="00D322EC" w:rsidP="00D322EC">
            <w:pPr>
              <w:spacing w:after="0" w:line="240" w:lineRule="auto"/>
              <w:rPr>
                <w:rFonts w:ascii="Calibri" w:eastAsia="Times New Roman" w:hAnsi="Calibri" w:cs="Times New Roman"/>
                <w:color w:val="000000"/>
                <w:lang w:eastAsia="en-GB"/>
              </w:rPr>
            </w:pPr>
          </w:p>
        </w:tc>
        <w:tc>
          <w:tcPr>
            <w:tcW w:w="1734"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rPr>
                <w:rFonts w:ascii="Arial" w:eastAsia="Times New Roman" w:hAnsi="Arial" w:cs="Arial"/>
                <w:sz w:val="18"/>
                <w:szCs w:val="18"/>
                <w:lang w:eastAsia="en-GB"/>
              </w:rPr>
            </w:pPr>
            <w:r w:rsidRPr="00D322EC">
              <w:rPr>
                <w:rFonts w:ascii="Arial" w:eastAsia="Times New Roman" w:hAnsi="Arial" w:cs="Arial"/>
                <w:sz w:val="18"/>
                <w:szCs w:val="18"/>
                <w:lang w:eastAsia="en-GB"/>
              </w:rPr>
              <w:t>White</w:t>
            </w:r>
          </w:p>
        </w:tc>
        <w:tc>
          <w:tcPr>
            <w:tcW w:w="940"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101,608</w:t>
            </w:r>
          </w:p>
        </w:tc>
        <w:tc>
          <w:tcPr>
            <w:tcW w:w="960"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60,272</w:t>
            </w:r>
          </w:p>
        </w:tc>
        <w:tc>
          <w:tcPr>
            <w:tcW w:w="1027"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83,555</w:t>
            </w:r>
          </w:p>
        </w:tc>
        <w:tc>
          <w:tcPr>
            <w:tcW w:w="1609"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148,995</w:t>
            </w:r>
          </w:p>
        </w:tc>
        <w:tc>
          <w:tcPr>
            <w:tcW w:w="1217"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116,585</w:t>
            </w:r>
          </w:p>
        </w:tc>
      </w:tr>
      <w:tr w:rsidR="00D322EC" w:rsidRPr="00D322EC" w:rsidTr="00707F04">
        <w:trPr>
          <w:trHeight w:val="300"/>
        </w:trPr>
        <w:tc>
          <w:tcPr>
            <w:tcW w:w="960" w:type="dxa"/>
            <w:vMerge/>
            <w:tcBorders>
              <w:top w:val="nil"/>
              <w:left w:val="single" w:sz="4" w:space="0" w:color="auto"/>
              <w:bottom w:val="single" w:sz="4" w:space="0" w:color="000000"/>
              <w:right w:val="single" w:sz="4" w:space="0" w:color="auto"/>
            </w:tcBorders>
            <w:vAlign w:val="center"/>
            <w:hideMark/>
          </w:tcPr>
          <w:p w:rsidR="00D322EC" w:rsidRPr="00D322EC" w:rsidRDefault="00D322EC" w:rsidP="00D322EC">
            <w:pPr>
              <w:spacing w:after="0" w:line="240" w:lineRule="auto"/>
              <w:rPr>
                <w:rFonts w:ascii="Calibri" w:eastAsia="Times New Roman" w:hAnsi="Calibri" w:cs="Times New Roman"/>
                <w:color w:val="000000"/>
                <w:lang w:eastAsia="en-GB"/>
              </w:rPr>
            </w:pPr>
          </w:p>
        </w:tc>
        <w:tc>
          <w:tcPr>
            <w:tcW w:w="1734"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rPr>
                <w:rFonts w:ascii="Arial" w:eastAsia="Times New Roman" w:hAnsi="Arial" w:cs="Arial"/>
                <w:sz w:val="18"/>
                <w:szCs w:val="18"/>
                <w:lang w:eastAsia="en-GB"/>
              </w:rPr>
            </w:pPr>
            <w:r w:rsidRPr="00D322EC">
              <w:rPr>
                <w:rFonts w:ascii="Arial" w:eastAsia="Times New Roman" w:hAnsi="Arial" w:cs="Arial"/>
                <w:sz w:val="18"/>
                <w:szCs w:val="18"/>
                <w:lang w:eastAsia="en-GB"/>
              </w:rPr>
              <w:t>Black Caribbean</w:t>
            </w:r>
          </w:p>
        </w:tc>
        <w:tc>
          <w:tcPr>
            <w:tcW w:w="940"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19,760</w:t>
            </w:r>
          </w:p>
        </w:tc>
        <w:tc>
          <w:tcPr>
            <w:tcW w:w="960"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564</w:t>
            </w:r>
          </w:p>
        </w:tc>
        <w:tc>
          <w:tcPr>
            <w:tcW w:w="1027"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403</w:t>
            </w:r>
          </w:p>
        </w:tc>
        <w:tc>
          <w:tcPr>
            <w:tcW w:w="1609"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6,222</w:t>
            </w:r>
          </w:p>
        </w:tc>
        <w:tc>
          <w:tcPr>
            <w:tcW w:w="1217"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6,368</w:t>
            </w:r>
          </w:p>
        </w:tc>
      </w:tr>
      <w:tr w:rsidR="00D322EC" w:rsidRPr="00D322EC" w:rsidTr="00707F04">
        <w:trPr>
          <w:trHeight w:val="300"/>
        </w:trPr>
        <w:tc>
          <w:tcPr>
            <w:tcW w:w="960" w:type="dxa"/>
            <w:vMerge/>
            <w:tcBorders>
              <w:top w:val="nil"/>
              <w:left w:val="single" w:sz="4" w:space="0" w:color="auto"/>
              <w:bottom w:val="single" w:sz="4" w:space="0" w:color="000000"/>
              <w:right w:val="single" w:sz="4" w:space="0" w:color="auto"/>
            </w:tcBorders>
            <w:vAlign w:val="center"/>
            <w:hideMark/>
          </w:tcPr>
          <w:p w:rsidR="00D322EC" w:rsidRPr="00D322EC" w:rsidRDefault="00D322EC" w:rsidP="00D322EC">
            <w:pPr>
              <w:spacing w:after="0" w:line="240" w:lineRule="auto"/>
              <w:rPr>
                <w:rFonts w:ascii="Calibri" w:eastAsia="Times New Roman" w:hAnsi="Calibri" w:cs="Times New Roman"/>
                <w:color w:val="000000"/>
                <w:lang w:eastAsia="en-GB"/>
              </w:rPr>
            </w:pPr>
          </w:p>
        </w:tc>
        <w:tc>
          <w:tcPr>
            <w:tcW w:w="1734"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rPr>
                <w:rFonts w:ascii="Arial" w:eastAsia="Times New Roman" w:hAnsi="Arial" w:cs="Arial"/>
                <w:sz w:val="18"/>
                <w:szCs w:val="18"/>
                <w:lang w:eastAsia="en-GB"/>
              </w:rPr>
            </w:pPr>
            <w:r w:rsidRPr="00D322EC">
              <w:rPr>
                <w:rFonts w:ascii="Arial" w:eastAsia="Times New Roman" w:hAnsi="Arial" w:cs="Arial"/>
                <w:sz w:val="18"/>
                <w:szCs w:val="18"/>
                <w:lang w:eastAsia="en-GB"/>
              </w:rPr>
              <w:t>Black African</w:t>
            </w:r>
          </w:p>
        </w:tc>
        <w:tc>
          <w:tcPr>
            <w:tcW w:w="940"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12,092</w:t>
            </w:r>
          </w:p>
        </w:tc>
        <w:tc>
          <w:tcPr>
            <w:tcW w:w="960"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1,123</w:t>
            </w:r>
          </w:p>
        </w:tc>
        <w:tc>
          <w:tcPr>
            <w:tcW w:w="1027"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606</w:t>
            </w:r>
          </w:p>
        </w:tc>
        <w:tc>
          <w:tcPr>
            <w:tcW w:w="1609"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6,236</w:t>
            </w:r>
          </w:p>
        </w:tc>
        <w:tc>
          <w:tcPr>
            <w:tcW w:w="1217"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5,557</w:t>
            </w:r>
          </w:p>
        </w:tc>
      </w:tr>
      <w:tr w:rsidR="00D322EC" w:rsidRPr="00D322EC" w:rsidTr="00707F04">
        <w:trPr>
          <w:trHeight w:val="300"/>
        </w:trPr>
        <w:tc>
          <w:tcPr>
            <w:tcW w:w="960" w:type="dxa"/>
            <w:vMerge/>
            <w:tcBorders>
              <w:top w:val="nil"/>
              <w:left w:val="single" w:sz="4" w:space="0" w:color="auto"/>
              <w:bottom w:val="single" w:sz="4" w:space="0" w:color="000000"/>
              <w:right w:val="single" w:sz="4" w:space="0" w:color="auto"/>
            </w:tcBorders>
            <w:vAlign w:val="center"/>
            <w:hideMark/>
          </w:tcPr>
          <w:p w:rsidR="00D322EC" w:rsidRPr="00D322EC" w:rsidRDefault="00D322EC" w:rsidP="00D322EC">
            <w:pPr>
              <w:spacing w:after="0" w:line="240" w:lineRule="auto"/>
              <w:rPr>
                <w:rFonts w:ascii="Calibri" w:eastAsia="Times New Roman" w:hAnsi="Calibri" w:cs="Times New Roman"/>
                <w:color w:val="000000"/>
                <w:lang w:eastAsia="en-GB"/>
              </w:rPr>
            </w:pPr>
          </w:p>
        </w:tc>
        <w:tc>
          <w:tcPr>
            <w:tcW w:w="1734"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rPr>
                <w:rFonts w:ascii="Arial" w:eastAsia="Times New Roman" w:hAnsi="Arial" w:cs="Arial"/>
                <w:sz w:val="18"/>
                <w:szCs w:val="18"/>
                <w:lang w:eastAsia="en-GB"/>
              </w:rPr>
            </w:pPr>
            <w:r w:rsidRPr="00D322EC">
              <w:rPr>
                <w:rFonts w:ascii="Arial" w:eastAsia="Times New Roman" w:hAnsi="Arial" w:cs="Arial"/>
                <w:sz w:val="18"/>
                <w:szCs w:val="18"/>
                <w:lang w:eastAsia="en-GB"/>
              </w:rPr>
              <w:t>Black Other</w:t>
            </w:r>
          </w:p>
        </w:tc>
        <w:tc>
          <w:tcPr>
            <w:tcW w:w="940"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7,283</w:t>
            </w:r>
          </w:p>
        </w:tc>
        <w:tc>
          <w:tcPr>
            <w:tcW w:w="960"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655</w:t>
            </w:r>
          </w:p>
        </w:tc>
        <w:tc>
          <w:tcPr>
            <w:tcW w:w="1027"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981</w:t>
            </w:r>
          </w:p>
        </w:tc>
        <w:tc>
          <w:tcPr>
            <w:tcW w:w="1609"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4,062</w:t>
            </w:r>
          </w:p>
        </w:tc>
        <w:tc>
          <w:tcPr>
            <w:tcW w:w="1217"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3,757</w:t>
            </w:r>
          </w:p>
        </w:tc>
      </w:tr>
      <w:tr w:rsidR="00D322EC" w:rsidRPr="00D322EC" w:rsidTr="00707F04">
        <w:trPr>
          <w:trHeight w:val="300"/>
        </w:trPr>
        <w:tc>
          <w:tcPr>
            <w:tcW w:w="960" w:type="dxa"/>
            <w:vMerge/>
            <w:tcBorders>
              <w:top w:val="nil"/>
              <w:left w:val="single" w:sz="4" w:space="0" w:color="auto"/>
              <w:bottom w:val="single" w:sz="4" w:space="0" w:color="000000"/>
              <w:right w:val="single" w:sz="4" w:space="0" w:color="auto"/>
            </w:tcBorders>
            <w:vAlign w:val="center"/>
            <w:hideMark/>
          </w:tcPr>
          <w:p w:rsidR="00D322EC" w:rsidRPr="00D322EC" w:rsidRDefault="00D322EC" w:rsidP="00D322EC">
            <w:pPr>
              <w:spacing w:after="0" w:line="240" w:lineRule="auto"/>
              <w:rPr>
                <w:rFonts w:ascii="Calibri" w:eastAsia="Times New Roman" w:hAnsi="Calibri" w:cs="Times New Roman"/>
                <w:color w:val="000000"/>
                <w:lang w:eastAsia="en-GB"/>
              </w:rPr>
            </w:pPr>
          </w:p>
        </w:tc>
        <w:tc>
          <w:tcPr>
            <w:tcW w:w="1734"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rPr>
                <w:rFonts w:ascii="Arial" w:eastAsia="Times New Roman" w:hAnsi="Arial" w:cs="Arial"/>
                <w:sz w:val="18"/>
                <w:szCs w:val="18"/>
                <w:lang w:eastAsia="en-GB"/>
              </w:rPr>
            </w:pPr>
            <w:r w:rsidRPr="00D322EC">
              <w:rPr>
                <w:rFonts w:ascii="Arial" w:eastAsia="Times New Roman" w:hAnsi="Arial" w:cs="Arial"/>
                <w:sz w:val="18"/>
                <w:szCs w:val="18"/>
                <w:lang w:eastAsia="en-GB"/>
              </w:rPr>
              <w:t>Chinese</w:t>
            </w:r>
          </w:p>
        </w:tc>
        <w:tc>
          <w:tcPr>
            <w:tcW w:w="940"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1,037</w:t>
            </w:r>
          </w:p>
        </w:tc>
        <w:tc>
          <w:tcPr>
            <w:tcW w:w="960"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1,591</w:t>
            </w:r>
          </w:p>
        </w:tc>
        <w:tc>
          <w:tcPr>
            <w:tcW w:w="1027"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764</w:t>
            </w:r>
          </w:p>
        </w:tc>
        <w:tc>
          <w:tcPr>
            <w:tcW w:w="1609"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2,241</w:t>
            </w:r>
          </w:p>
        </w:tc>
        <w:tc>
          <w:tcPr>
            <w:tcW w:w="1217"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1,563</w:t>
            </w:r>
          </w:p>
        </w:tc>
      </w:tr>
      <w:tr w:rsidR="00D322EC" w:rsidRPr="00D322EC" w:rsidTr="00707F04">
        <w:trPr>
          <w:trHeight w:val="300"/>
        </w:trPr>
        <w:tc>
          <w:tcPr>
            <w:tcW w:w="960" w:type="dxa"/>
            <w:vMerge/>
            <w:tcBorders>
              <w:top w:val="nil"/>
              <w:left w:val="single" w:sz="4" w:space="0" w:color="auto"/>
              <w:bottom w:val="single" w:sz="4" w:space="0" w:color="000000"/>
              <w:right w:val="single" w:sz="4" w:space="0" w:color="auto"/>
            </w:tcBorders>
            <w:vAlign w:val="center"/>
            <w:hideMark/>
          </w:tcPr>
          <w:p w:rsidR="00D322EC" w:rsidRPr="00D322EC" w:rsidRDefault="00D322EC" w:rsidP="00D322EC">
            <w:pPr>
              <w:spacing w:after="0" w:line="240" w:lineRule="auto"/>
              <w:rPr>
                <w:rFonts w:ascii="Calibri" w:eastAsia="Times New Roman" w:hAnsi="Calibri" w:cs="Times New Roman"/>
                <w:color w:val="000000"/>
                <w:lang w:eastAsia="en-GB"/>
              </w:rPr>
            </w:pPr>
          </w:p>
        </w:tc>
        <w:tc>
          <w:tcPr>
            <w:tcW w:w="1734"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rPr>
                <w:rFonts w:ascii="Arial" w:eastAsia="Times New Roman" w:hAnsi="Arial" w:cs="Arial"/>
                <w:sz w:val="18"/>
                <w:szCs w:val="18"/>
                <w:lang w:eastAsia="en-GB"/>
              </w:rPr>
            </w:pPr>
            <w:r w:rsidRPr="00D322EC">
              <w:rPr>
                <w:rFonts w:ascii="Arial" w:eastAsia="Times New Roman" w:hAnsi="Arial" w:cs="Arial"/>
                <w:sz w:val="18"/>
                <w:szCs w:val="18"/>
                <w:lang w:eastAsia="en-GB"/>
              </w:rPr>
              <w:t>Asian</w:t>
            </w:r>
          </w:p>
        </w:tc>
        <w:tc>
          <w:tcPr>
            <w:tcW w:w="940"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27,649</w:t>
            </w:r>
          </w:p>
        </w:tc>
        <w:tc>
          <w:tcPr>
            <w:tcW w:w="960"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9,016</w:t>
            </w:r>
          </w:p>
        </w:tc>
        <w:tc>
          <w:tcPr>
            <w:tcW w:w="1027"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5,443</w:t>
            </w:r>
          </w:p>
        </w:tc>
        <w:tc>
          <w:tcPr>
            <w:tcW w:w="1609"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21,050</w:t>
            </w:r>
          </w:p>
        </w:tc>
        <w:tc>
          <w:tcPr>
            <w:tcW w:w="1217" w:type="dxa"/>
            <w:tcBorders>
              <w:top w:val="nil"/>
              <w:left w:val="nil"/>
              <w:bottom w:val="nil"/>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10,869</w:t>
            </w:r>
          </w:p>
        </w:tc>
      </w:tr>
      <w:tr w:rsidR="00D322EC" w:rsidRPr="00D322EC" w:rsidTr="00707F04">
        <w:trPr>
          <w:trHeight w:val="300"/>
        </w:trPr>
        <w:tc>
          <w:tcPr>
            <w:tcW w:w="960" w:type="dxa"/>
            <w:vMerge/>
            <w:tcBorders>
              <w:top w:val="nil"/>
              <w:left w:val="single" w:sz="4" w:space="0" w:color="auto"/>
              <w:bottom w:val="single" w:sz="4" w:space="0" w:color="000000"/>
              <w:right w:val="single" w:sz="4" w:space="0" w:color="auto"/>
            </w:tcBorders>
            <w:vAlign w:val="center"/>
            <w:hideMark/>
          </w:tcPr>
          <w:p w:rsidR="00D322EC" w:rsidRPr="00D322EC" w:rsidRDefault="00D322EC" w:rsidP="00D322EC">
            <w:pPr>
              <w:spacing w:after="0" w:line="240" w:lineRule="auto"/>
              <w:rPr>
                <w:rFonts w:ascii="Calibri" w:eastAsia="Times New Roman" w:hAnsi="Calibri" w:cs="Times New Roman"/>
                <w:color w:val="000000"/>
                <w:lang w:eastAsia="en-GB"/>
              </w:rPr>
            </w:pPr>
          </w:p>
        </w:tc>
        <w:tc>
          <w:tcPr>
            <w:tcW w:w="1734" w:type="dxa"/>
            <w:tcBorders>
              <w:top w:val="nil"/>
              <w:left w:val="nil"/>
              <w:bottom w:val="single" w:sz="4" w:space="0" w:color="auto"/>
              <w:right w:val="single" w:sz="4" w:space="0" w:color="auto"/>
            </w:tcBorders>
            <w:shd w:val="clear" w:color="auto" w:fill="auto"/>
            <w:noWrap/>
            <w:vAlign w:val="bottom"/>
            <w:hideMark/>
          </w:tcPr>
          <w:p w:rsidR="00D322EC" w:rsidRPr="00D322EC" w:rsidRDefault="00D322EC" w:rsidP="00D322EC">
            <w:pPr>
              <w:spacing w:after="0" w:line="240" w:lineRule="auto"/>
              <w:rPr>
                <w:rFonts w:ascii="Arial" w:eastAsia="Times New Roman" w:hAnsi="Arial" w:cs="Arial"/>
                <w:sz w:val="18"/>
                <w:szCs w:val="18"/>
                <w:lang w:eastAsia="en-GB"/>
              </w:rPr>
            </w:pPr>
            <w:r w:rsidRPr="00D322EC">
              <w:rPr>
                <w:rFonts w:ascii="Arial" w:eastAsia="Times New Roman" w:hAnsi="Arial" w:cs="Arial"/>
                <w:sz w:val="18"/>
                <w:szCs w:val="18"/>
                <w:lang w:eastAsia="en-GB"/>
              </w:rPr>
              <w:t>Other</w:t>
            </w:r>
          </w:p>
        </w:tc>
        <w:tc>
          <w:tcPr>
            <w:tcW w:w="940" w:type="dxa"/>
            <w:tcBorders>
              <w:top w:val="nil"/>
              <w:left w:val="nil"/>
              <w:bottom w:val="single" w:sz="4" w:space="0" w:color="auto"/>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5,028</w:t>
            </w:r>
          </w:p>
        </w:tc>
        <w:tc>
          <w:tcPr>
            <w:tcW w:w="960" w:type="dxa"/>
            <w:tcBorders>
              <w:top w:val="nil"/>
              <w:left w:val="nil"/>
              <w:bottom w:val="single" w:sz="4" w:space="0" w:color="auto"/>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5,077</w:t>
            </w:r>
          </w:p>
        </w:tc>
        <w:tc>
          <w:tcPr>
            <w:tcW w:w="1027" w:type="dxa"/>
            <w:tcBorders>
              <w:top w:val="nil"/>
              <w:left w:val="nil"/>
              <w:bottom w:val="single" w:sz="4" w:space="0" w:color="auto"/>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3,175</w:t>
            </w:r>
          </w:p>
        </w:tc>
        <w:tc>
          <w:tcPr>
            <w:tcW w:w="1609" w:type="dxa"/>
            <w:tcBorders>
              <w:top w:val="nil"/>
              <w:left w:val="nil"/>
              <w:bottom w:val="single" w:sz="4" w:space="0" w:color="auto"/>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6,565</w:t>
            </w:r>
          </w:p>
        </w:tc>
        <w:tc>
          <w:tcPr>
            <w:tcW w:w="1217" w:type="dxa"/>
            <w:tcBorders>
              <w:top w:val="nil"/>
              <w:left w:val="nil"/>
              <w:bottom w:val="single" w:sz="4" w:space="0" w:color="auto"/>
              <w:right w:val="single" w:sz="4" w:space="0" w:color="auto"/>
            </w:tcBorders>
            <w:shd w:val="clear" w:color="auto" w:fill="auto"/>
            <w:noWrap/>
            <w:vAlign w:val="bottom"/>
            <w:hideMark/>
          </w:tcPr>
          <w:p w:rsidR="00D322EC" w:rsidRPr="00D322EC" w:rsidRDefault="00D322EC" w:rsidP="00D322EC">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5,919</w:t>
            </w:r>
          </w:p>
        </w:tc>
      </w:tr>
    </w:tbl>
    <w:p w:rsidR="00D322EC" w:rsidRPr="00A04738" w:rsidRDefault="00707F04" w:rsidP="00A04738">
      <w:pPr>
        <w:autoSpaceDE w:val="0"/>
        <w:autoSpaceDN w:val="0"/>
        <w:adjustRightInd w:val="0"/>
        <w:rPr>
          <w:rFonts w:ascii="Arial" w:hAnsi="Arial" w:cs="Arial"/>
          <w:b/>
          <w:color w:val="242121"/>
          <w:kern w:val="36"/>
          <w:sz w:val="16"/>
          <w:szCs w:val="16"/>
        </w:rPr>
      </w:pPr>
      <w:r w:rsidRPr="00AB27C8">
        <w:rPr>
          <w:rFonts w:ascii="Arial" w:hAnsi="Arial" w:cs="Arial"/>
          <w:b/>
          <w:sz w:val="16"/>
          <w:szCs w:val="16"/>
        </w:rPr>
        <w:t xml:space="preserve">Source: </w:t>
      </w:r>
      <w:r w:rsidRPr="00AB27C8">
        <w:rPr>
          <w:rFonts w:ascii="Arial" w:hAnsi="Arial" w:cs="Arial"/>
          <w:b/>
          <w:color w:val="242121"/>
          <w:kern w:val="36"/>
          <w:sz w:val="16"/>
          <w:szCs w:val="16"/>
        </w:rPr>
        <w:t>G</w:t>
      </w:r>
      <w:r>
        <w:rPr>
          <w:rFonts w:ascii="Arial" w:hAnsi="Arial" w:cs="Arial"/>
          <w:b/>
          <w:color w:val="242121"/>
          <w:kern w:val="36"/>
          <w:sz w:val="16"/>
          <w:szCs w:val="16"/>
        </w:rPr>
        <w:t xml:space="preserve">reater </w:t>
      </w:r>
      <w:r w:rsidRPr="00AB27C8">
        <w:rPr>
          <w:rFonts w:ascii="Arial" w:hAnsi="Arial" w:cs="Arial"/>
          <w:b/>
          <w:color w:val="242121"/>
          <w:kern w:val="36"/>
          <w:sz w:val="16"/>
          <w:szCs w:val="16"/>
        </w:rPr>
        <w:t>L</w:t>
      </w:r>
      <w:r>
        <w:rPr>
          <w:rFonts w:ascii="Arial" w:hAnsi="Arial" w:cs="Arial"/>
          <w:b/>
          <w:color w:val="242121"/>
          <w:kern w:val="36"/>
          <w:sz w:val="16"/>
          <w:szCs w:val="16"/>
        </w:rPr>
        <w:t xml:space="preserve">ondon </w:t>
      </w:r>
      <w:r w:rsidRPr="00AB27C8">
        <w:rPr>
          <w:rFonts w:ascii="Arial" w:hAnsi="Arial" w:cs="Arial"/>
          <w:b/>
          <w:color w:val="242121"/>
          <w:kern w:val="36"/>
          <w:sz w:val="16"/>
          <w:szCs w:val="16"/>
        </w:rPr>
        <w:t>A</w:t>
      </w:r>
      <w:r>
        <w:rPr>
          <w:rFonts w:ascii="Arial" w:hAnsi="Arial" w:cs="Arial"/>
          <w:b/>
          <w:color w:val="242121"/>
          <w:kern w:val="36"/>
          <w:sz w:val="16"/>
          <w:szCs w:val="16"/>
        </w:rPr>
        <w:t>uthority</w:t>
      </w:r>
      <w:r w:rsidRPr="00AB27C8">
        <w:rPr>
          <w:rFonts w:ascii="Arial" w:hAnsi="Arial" w:cs="Arial"/>
          <w:b/>
          <w:color w:val="242121"/>
          <w:kern w:val="36"/>
          <w:sz w:val="16"/>
          <w:szCs w:val="16"/>
        </w:rPr>
        <w:t xml:space="preserve"> Ethnic Group Projections 2008 Round, London Plan, Borough.</w:t>
      </w:r>
    </w:p>
    <w:sectPr w:rsidR="00D322EC" w:rsidRPr="00A04738" w:rsidSect="00D462D7">
      <w:headerReference w:type="default" r:id="rId65"/>
      <w:footerReference w:type="default" r:id="rId66"/>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74A6" w:rsidRDefault="00ED74A6" w:rsidP="00614521">
      <w:pPr>
        <w:spacing w:after="0" w:line="240" w:lineRule="auto"/>
      </w:pPr>
      <w:r>
        <w:separator/>
      </w:r>
    </w:p>
  </w:endnote>
  <w:endnote w:type="continuationSeparator" w:id="0">
    <w:p w:rsidR="00ED74A6" w:rsidRDefault="00ED74A6" w:rsidP="0061452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Microsoft Sans Serif">
    <w:panose1 w:val="020B0604020202020204"/>
    <w:charset w:val="00"/>
    <w:family w:val="swiss"/>
    <w:pitch w:val="variable"/>
    <w:sig w:usb0="61002BDF" w:usb1="80000000" w:usb2="00000008" w:usb3="00000000" w:csb0="000101FF" w:csb1="00000000"/>
  </w:font>
  <w:font w:name="Arial">
    <w:panose1 w:val="020B0604020202020204"/>
    <w:charset w:val="00"/>
    <w:family w:val="swiss"/>
    <w:pitch w:val="variable"/>
    <w:sig w:usb0="20002A87" w:usb1="00000000" w:usb2="00000000" w:usb3="00000000" w:csb0="000001FF" w:csb1="00000000"/>
  </w:font>
  <w:font w:name="Barmeno-Regular">
    <w:panose1 w:val="00000000000000000000"/>
    <w:charset w:val="00"/>
    <w:family w:val="auto"/>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HelveticaNeue-Light">
    <w:panose1 w:val="00000000000000000000"/>
    <w:charset w:val="00"/>
    <w:family w:val="swiss"/>
    <w:notTrueType/>
    <w:pitch w:val="default"/>
    <w:sig w:usb0="00000003" w:usb1="00000000" w:usb2="00000000" w:usb3="00000000" w:csb0="00000001" w:csb1="00000000"/>
  </w:font>
  <w:font w:name="HelveticaNeue-Black">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81753"/>
      <w:docPartObj>
        <w:docPartGallery w:val="Page Numbers (Bottom of Page)"/>
        <w:docPartUnique/>
      </w:docPartObj>
    </w:sdtPr>
    <w:sdtContent>
      <w:p w:rsidR="00ED74A6" w:rsidRDefault="00AF55AD">
        <w:pPr>
          <w:pStyle w:val="Footer"/>
          <w:jc w:val="center"/>
        </w:pPr>
        <w:fldSimple w:instr=" PAGE   \* MERGEFORMAT ">
          <w:r w:rsidR="008B47D9">
            <w:rPr>
              <w:noProof/>
            </w:rPr>
            <w:t>1</w:t>
          </w:r>
        </w:fldSimple>
      </w:p>
    </w:sdtContent>
  </w:sdt>
  <w:p w:rsidR="00ED74A6" w:rsidRDefault="00ED74A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74A6" w:rsidRDefault="00ED74A6" w:rsidP="00614521">
      <w:pPr>
        <w:spacing w:after="0" w:line="240" w:lineRule="auto"/>
      </w:pPr>
      <w:r>
        <w:separator/>
      </w:r>
    </w:p>
  </w:footnote>
  <w:footnote w:type="continuationSeparator" w:id="0">
    <w:p w:rsidR="00ED74A6" w:rsidRDefault="00ED74A6" w:rsidP="0061452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4A6" w:rsidRDefault="00114141">
    <w:pPr>
      <w:pStyle w:val="Header"/>
    </w:pPr>
    <w:r>
      <w:t>Final Version</w:t>
    </w:r>
    <w:r w:rsidR="00ED74A6">
      <w:tab/>
      <w:t xml:space="preserve">                               </w:t>
    </w:r>
    <w:r>
      <w:t xml:space="preserve">         Date of last update: 29</w:t>
    </w:r>
    <w:r w:rsidR="00ED74A6" w:rsidRPr="000C4E25">
      <w:rPr>
        <w:vertAlign w:val="superscript"/>
      </w:rPr>
      <w:t>th</w:t>
    </w:r>
    <w:r w:rsidR="00ED74A6">
      <w:t xml:space="preserve"> October 2010</w:t>
    </w:r>
  </w:p>
  <w:p w:rsidR="00ED74A6" w:rsidRDefault="00ED74A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474C0C"/>
    <w:multiLevelType w:val="multilevel"/>
    <w:tmpl w:val="463A6FD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
    <w:nsid w:val="358D136F"/>
    <w:multiLevelType w:val="multilevel"/>
    <w:tmpl w:val="463A6FD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nsid w:val="35AB14D3"/>
    <w:multiLevelType w:val="hybridMultilevel"/>
    <w:tmpl w:val="267E2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1FE5FA7"/>
    <w:multiLevelType w:val="hybridMultilevel"/>
    <w:tmpl w:val="BC2C5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A2E5905"/>
    <w:multiLevelType w:val="multilevel"/>
    <w:tmpl w:val="463A6FD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
    <w:nsid w:val="7C7D168E"/>
    <w:multiLevelType w:val="hybridMultilevel"/>
    <w:tmpl w:val="758608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3"/>
  </w:num>
  <w:num w:numId="5">
    <w:abstractNumId w:val="1"/>
  </w:num>
  <w:num w:numId="6">
    <w:abstractNumId w:val="4"/>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235521"/>
  </w:hdrShapeDefaults>
  <w:footnotePr>
    <w:footnote w:id="-1"/>
    <w:footnote w:id="0"/>
  </w:footnotePr>
  <w:endnotePr>
    <w:endnote w:id="-1"/>
    <w:endnote w:id="0"/>
  </w:endnotePr>
  <w:compat/>
  <w:rsids>
    <w:rsidRoot w:val="00614521"/>
    <w:rsid w:val="000002AB"/>
    <w:rsid w:val="00003052"/>
    <w:rsid w:val="0000380E"/>
    <w:rsid w:val="000046E1"/>
    <w:rsid w:val="00007D4C"/>
    <w:rsid w:val="00013A5C"/>
    <w:rsid w:val="00014004"/>
    <w:rsid w:val="0002041B"/>
    <w:rsid w:val="00020586"/>
    <w:rsid w:val="000254CC"/>
    <w:rsid w:val="000263AC"/>
    <w:rsid w:val="00027914"/>
    <w:rsid w:val="00030BCC"/>
    <w:rsid w:val="000346DE"/>
    <w:rsid w:val="00040C2F"/>
    <w:rsid w:val="00043890"/>
    <w:rsid w:val="00046F49"/>
    <w:rsid w:val="00051496"/>
    <w:rsid w:val="0005258E"/>
    <w:rsid w:val="00052B41"/>
    <w:rsid w:val="000611D3"/>
    <w:rsid w:val="00065D8B"/>
    <w:rsid w:val="00077FDA"/>
    <w:rsid w:val="00082316"/>
    <w:rsid w:val="0008276B"/>
    <w:rsid w:val="00083630"/>
    <w:rsid w:val="000877D1"/>
    <w:rsid w:val="00087CD9"/>
    <w:rsid w:val="000945E2"/>
    <w:rsid w:val="000A24A2"/>
    <w:rsid w:val="000A548E"/>
    <w:rsid w:val="000A6A5C"/>
    <w:rsid w:val="000A79D1"/>
    <w:rsid w:val="000B1DBD"/>
    <w:rsid w:val="000C10E2"/>
    <w:rsid w:val="000C32AB"/>
    <w:rsid w:val="000C49E8"/>
    <w:rsid w:val="000C4E25"/>
    <w:rsid w:val="000D04DA"/>
    <w:rsid w:val="000D629A"/>
    <w:rsid w:val="000E0EB5"/>
    <w:rsid w:val="000E1584"/>
    <w:rsid w:val="000E4B71"/>
    <w:rsid w:val="000E5EE4"/>
    <w:rsid w:val="000E798B"/>
    <w:rsid w:val="000F0E06"/>
    <w:rsid w:val="000F6079"/>
    <w:rsid w:val="000F6825"/>
    <w:rsid w:val="00100A41"/>
    <w:rsid w:val="00101AA4"/>
    <w:rsid w:val="00107F18"/>
    <w:rsid w:val="001103B4"/>
    <w:rsid w:val="00110835"/>
    <w:rsid w:val="00110939"/>
    <w:rsid w:val="00111FA3"/>
    <w:rsid w:val="00114141"/>
    <w:rsid w:val="00115413"/>
    <w:rsid w:val="00121091"/>
    <w:rsid w:val="00130A7C"/>
    <w:rsid w:val="001350BF"/>
    <w:rsid w:val="00136708"/>
    <w:rsid w:val="00136962"/>
    <w:rsid w:val="00137095"/>
    <w:rsid w:val="001446CB"/>
    <w:rsid w:val="00146230"/>
    <w:rsid w:val="001537D9"/>
    <w:rsid w:val="00153969"/>
    <w:rsid w:val="001565A1"/>
    <w:rsid w:val="001631B8"/>
    <w:rsid w:val="0016374D"/>
    <w:rsid w:val="00164E6A"/>
    <w:rsid w:val="001650BF"/>
    <w:rsid w:val="00165A44"/>
    <w:rsid w:val="00166674"/>
    <w:rsid w:val="00171FFD"/>
    <w:rsid w:val="00172D2C"/>
    <w:rsid w:val="00176C35"/>
    <w:rsid w:val="00177561"/>
    <w:rsid w:val="00180046"/>
    <w:rsid w:val="001806E6"/>
    <w:rsid w:val="00185B72"/>
    <w:rsid w:val="0018794D"/>
    <w:rsid w:val="00191E6C"/>
    <w:rsid w:val="0019618A"/>
    <w:rsid w:val="001A2586"/>
    <w:rsid w:val="001A31AC"/>
    <w:rsid w:val="001A34FC"/>
    <w:rsid w:val="001A3B7A"/>
    <w:rsid w:val="001B1BCC"/>
    <w:rsid w:val="001B4CCD"/>
    <w:rsid w:val="001C285C"/>
    <w:rsid w:val="001C3DAB"/>
    <w:rsid w:val="001C4BE3"/>
    <w:rsid w:val="001D0123"/>
    <w:rsid w:val="001D3ABD"/>
    <w:rsid w:val="001D71B5"/>
    <w:rsid w:val="001E0C56"/>
    <w:rsid w:val="001E1354"/>
    <w:rsid w:val="001E74CE"/>
    <w:rsid w:val="001F2601"/>
    <w:rsid w:val="001F434C"/>
    <w:rsid w:val="001F5353"/>
    <w:rsid w:val="0020087F"/>
    <w:rsid w:val="00203217"/>
    <w:rsid w:val="002105A3"/>
    <w:rsid w:val="00212E9A"/>
    <w:rsid w:val="00215AA8"/>
    <w:rsid w:val="00224DA4"/>
    <w:rsid w:val="00225277"/>
    <w:rsid w:val="00226443"/>
    <w:rsid w:val="00230206"/>
    <w:rsid w:val="00232EF2"/>
    <w:rsid w:val="002334E1"/>
    <w:rsid w:val="002364FF"/>
    <w:rsid w:val="0023678F"/>
    <w:rsid w:val="00236EF7"/>
    <w:rsid w:val="0023715E"/>
    <w:rsid w:val="0023787E"/>
    <w:rsid w:val="00240456"/>
    <w:rsid w:val="00240996"/>
    <w:rsid w:val="00242059"/>
    <w:rsid w:val="00252009"/>
    <w:rsid w:val="00252F1E"/>
    <w:rsid w:val="0025347C"/>
    <w:rsid w:val="00263E54"/>
    <w:rsid w:val="002656F5"/>
    <w:rsid w:val="0026702D"/>
    <w:rsid w:val="002755D2"/>
    <w:rsid w:val="002779DB"/>
    <w:rsid w:val="00280FD3"/>
    <w:rsid w:val="002830DB"/>
    <w:rsid w:val="002904F5"/>
    <w:rsid w:val="00291818"/>
    <w:rsid w:val="00291928"/>
    <w:rsid w:val="002938B7"/>
    <w:rsid w:val="00293EFF"/>
    <w:rsid w:val="00296691"/>
    <w:rsid w:val="00297D6A"/>
    <w:rsid w:val="002A48CE"/>
    <w:rsid w:val="002A56A8"/>
    <w:rsid w:val="002B3DA8"/>
    <w:rsid w:val="002B45D4"/>
    <w:rsid w:val="002B7D23"/>
    <w:rsid w:val="002C201D"/>
    <w:rsid w:val="002D0F3B"/>
    <w:rsid w:val="002D256A"/>
    <w:rsid w:val="002D5240"/>
    <w:rsid w:val="002D62FD"/>
    <w:rsid w:val="002E2F3D"/>
    <w:rsid w:val="002F03E5"/>
    <w:rsid w:val="002F44BE"/>
    <w:rsid w:val="002F61D9"/>
    <w:rsid w:val="002F621B"/>
    <w:rsid w:val="002F758A"/>
    <w:rsid w:val="002F7C3F"/>
    <w:rsid w:val="003139E1"/>
    <w:rsid w:val="003145C6"/>
    <w:rsid w:val="003165C8"/>
    <w:rsid w:val="00316DF2"/>
    <w:rsid w:val="003238EC"/>
    <w:rsid w:val="00323AA0"/>
    <w:rsid w:val="003243C2"/>
    <w:rsid w:val="003257C1"/>
    <w:rsid w:val="00330D07"/>
    <w:rsid w:val="00331C52"/>
    <w:rsid w:val="00332713"/>
    <w:rsid w:val="00332D16"/>
    <w:rsid w:val="00332F01"/>
    <w:rsid w:val="003331DF"/>
    <w:rsid w:val="00333F33"/>
    <w:rsid w:val="00340B18"/>
    <w:rsid w:val="0034288F"/>
    <w:rsid w:val="00342DB8"/>
    <w:rsid w:val="00345CD5"/>
    <w:rsid w:val="00350D2E"/>
    <w:rsid w:val="00356ADD"/>
    <w:rsid w:val="003601A9"/>
    <w:rsid w:val="00360CBA"/>
    <w:rsid w:val="003620A9"/>
    <w:rsid w:val="0037406C"/>
    <w:rsid w:val="00377129"/>
    <w:rsid w:val="00377C4D"/>
    <w:rsid w:val="00377D5C"/>
    <w:rsid w:val="003808F3"/>
    <w:rsid w:val="003819E0"/>
    <w:rsid w:val="00384280"/>
    <w:rsid w:val="00385D54"/>
    <w:rsid w:val="0039588B"/>
    <w:rsid w:val="003A1B88"/>
    <w:rsid w:val="003A1EA3"/>
    <w:rsid w:val="003A2988"/>
    <w:rsid w:val="003A3AF0"/>
    <w:rsid w:val="003B1D4C"/>
    <w:rsid w:val="003B549C"/>
    <w:rsid w:val="003C048C"/>
    <w:rsid w:val="003C7D76"/>
    <w:rsid w:val="003D29DF"/>
    <w:rsid w:val="003D2B9A"/>
    <w:rsid w:val="003D65BB"/>
    <w:rsid w:val="003E340C"/>
    <w:rsid w:val="003E4BC2"/>
    <w:rsid w:val="003E543F"/>
    <w:rsid w:val="003E5B5E"/>
    <w:rsid w:val="003E5E8B"/>
    <w:rsid w:val="003E6F5D"/>
    <w:rsid w:val="003F27BD"/>
    <w:rsid w:val="003F3BAA"/>
    <w:rsid w:val="003F69B0"/>
    <w:rsid w:val="00404460"/>
    <w:rsid w:val="0040765F"/>
    <w:rsid w:val="00407DB7"/>
    <w:rsid w:val="00407E7A"/>
    <w:rsid w:val="00410423"/>
    <w:rsid w:val="00410C50"/>
    <w:rsid w:val="00411A22"/>
    <w:rsid w:val="00411CCE"/>
    <w:rsid w:val="004145BF"/>
    <w:rsid w:val="00421ECD"/>
    <w:rsid w:val="0042222F"/>
    <w:rsid w:val="004224B4"/>
    <w:rsid w:val="00422641"/>
    <w:rsid w:val="00422E87"/>
    <w:rsid w:val="00424BC2"/>
    <w:rsid w:val="004261E0"/>
    <w:rsid w:val="004346E3"/>
    <w:rsid w:val="0044562E"/>
    <w:rsid w:val="004507FA"/>
    <w:rsid w:val="00450E66"/>
    <w:rsid w:val="00451703"/>
    <w:rsid w:val="00451738"/>
    <w:rsid w:val="00451976"/>
    <w:rsid w:val="00451C6D"/>
    <w:rsid w:val="00451D22"/>
    <w:rsid w:val="00452928"/>
    <w:rsid w:val="00466CE4"/>
    <w:rsid w:val="00470721"/>
    <w:rsid w:val="0047171E"/>
    <w:rsid w:val="00474EEA"/>
    <w:rsid w:val="00475D65"/>
    <w:rsid w:val="004769F5"/>
    <w:rsid w:val="00476F8A"/>
    <w:rsid w:val="00477350"/>
    <w:rsid w:val="00480406"/>
    <w:rsid w:val="00481015"/>
    <w:rsid w:val="00485C63"/>
    <w:rsid w:val="00485C74"/>
    <w:rsid w:val="00487E4F"/>
    <w:rsid w:val="00494D6D"/>
    <w:rsid w:val="00495D05"/>
    <w:rsid w:val="004A0036"/>
    <w:rsid w:val="004A1A55"/>
    <w:rsid w:val="004A2F9F"/>
    <w:rsid w:val="004A66B6"/>
    <w:rsid w:val="004A6CE8"/>
    <w:rsid w:val="004B2F74"/>
    <w:rsid w:val="004B34D0"/>
    <w:rsid w:val="004B374A"/>
    <w:rsid w:val="004B5CF1"/>
    <w:rsid w:val="004B5F61"/>
    <w:rsid w:val="004D074A"/>
    <w:rsid w:val="004D5B5A"/>
    <w:rsid w:val="004D5EFB"/>
    <w:rsid w:val="004D7E86"/>
    <w:rsid w:val="004E3030"/>
    <w:rsid w:val="004E6A50"/>
    <w:rsid w:val="004F2977"/>
    <w:rsid w:val="004F3354"/>
    <w:rsid w:val="004F5F6B"/>
    <w:rsid w:val="005014D6"/>
    <w:rsid w:val="00503797"/>
    <w:rsid w:val="00504179"/>
    <w:rsid w:val="00504613"/>
    <w:rsid w:val="00512019"/>
    <w:rsid w:val="00513011"/>
    <w:rsid w:val="005149DB"/>
    <w:rsid w:val="00514D0E"/>
    <w:rsid w:val="00516A20"/>
    <w:rsid w:val="00522819"/>
    <w:rsid w:val="0052368A"/>
    <w:rsid w:val="00524392"/>
    <w:rsid w:val="0053370E"/>
    <w:rsid w:val="0053556F"/>
    <w:rsid w:val="00537338"/>
    <w:rsid w:val="005408BC"/>
    <w:rsid w:val="00541147"/>
    <w:rsid w:val="00543157"/>
    <w:rsid w:val="00544FDA"/>
    <w:rsid w:val="00545C6D"/>
    <w:rsid w:val="00554B1C"/>
    <w:rsid w:val="00557C46"/>
    <w:rsid w:val="005604DC"/>
    <w:rsid w:val="00563488"/>
    <w:rsid w:val="00564D7D"/>
    <w:rsid w:val="00566BE3"/>
    <w:rsid w:val="005671D7"/>
    <w:rsid w:val="00570E90"/>
    <w:rsid w:val="00573124"/>
    <w:rsid w:val="005754B3"/>
    <w:rsid w:val="00575ED8"/>
    <w:rsid w:val="005760F1"/>
    <w:rsid w:val="0057775F"/>
    <w:rsid w:val="00580938"/>
    <w:rsid w:val="00582D70"/>
    <w:rsid w:val="005851FF"/>
    <w:rsid w:val="0058656D"/>
    <w:rsid w:val="005873AE"/>
    <w:rsid w:val="005907C9"/>
    <w:rsid w:val="005931DB"/>
    <w:rsid w:val="005971A8"/>
    <w:rsid w:val="005A00E3"/>
    <w:rsid w:val="005A07E3"/>
    <w:rsid w:val="005A1264"/>
    <w:rsid w:val="005C4A04"/>
    <w:rsid w:val="005D08C7"/>
    <w:rsid w:val="005D0E9C"/>
    <w:rsid w:val="005E11ED"/>
    <w:rsid w:val="005E5B9E"/>
    <w:rsid w:val="005F011D"/>
    <w:rsid w:val="005F4B7C"/>
    <w:rsid w:val="005F4E05"/>
    <w:rsid w:val="006013D3"/>
    <w:rsid w:val="0060663D"/>
    <w:rsid w:val="006116F3"/>
    <w:rsid w:val="00611F60"/>
    <w:rsid w:val="00614521"/>
    <w:rsid w:val="0061622B"/>
    <w:rsid w:val="006163F3"/>
    <w:rsid w:val="00616A16"/>
    <w:rsid w:val="00620482"/>
    <w:rsid w:val="00623EF3"/>
    <w:rsid w:val="0062625E"/>
    <w:rsid w:val="00630151"/>
    <w:rsid w:val="0063252E"/>
    <w:rsid w:val="00633786"/>
    <w:rsid w:val="0063744C"/>
    <w:rsid w:val="006413C4"/>
    <w:rsid w:val="00646F50"/>
    <w:rsid w:val="0065046F"/>
    <w:rsid w:val="006509A3"/>
    <w:rsid w:val="00651B33"/>
    <w:rsid w:val="0065421A"/>
    <w:rsid w:val="00663043"/>
    <w:rsid w:val="006672E1"/>
    <w:rsid w:val="00674DC5"/>
    <w:rsid w:val="006813A7"/>
    <w:rsid w:val="00682890"/>
    <w:rsid w:val="00683355"/>
    <w:rsid w:val="00683C6B"/>
    <w:rsid w:val="006840FE"/>
    <w:rsid w:val="00692D98"/>
    <w:rsid w:val="00693FB6"/>
    <w:rsid w:val="00694812"/>
    <w:rsid w:val="00694A08"/>
    <w:rsid w:val="00695D53"/>
    <w:rsid w:val="00696101"/>
    <w:rsid w:val="00696BBD"/>
    <w:rsid w:val="00697A0E"/>
    <w:rsid w:val="006A3509"/>
    <w:rsid w:val="006A4561"/>
    <w:rsid w:val="006A7982"/>
    <w:rsid w:val="006B1CA3"/>
    <w:rsid w:val="006B21F9"/>
    <w:rsid w:val="006B3397"/>
    <w:rsid w:val="006B3AAC"/>
    <w:rsid w:val="006C1CC5"/>
    <w:rsid w:val="006C278D"/>
    <w:rsid w:val="006C5B06"/>
    <w:rsid w:val="006C78D9"/>
    <w:rsid w:val="006C7ACC"/>
    <w:rsid w:val="006D575A"/>
    <w:rsid w:val="006D769D"/>
    <w:rsid w:val="006E1162"/>
    <w:rsid w:val="006E5DD5"/>
    <w:rsid w:val="006F29B6"/>
    <w:rsid w:val="006F2DF2"/>
    <w:rsid w:val="006F725A"/>
    <w:rsid w:val="00704AB8"/>
    <w:rsid w:val="00707F04"/>
    <w:rsid w:val="00711EC3"/>
    <w:rsid w:val="007152E0"/>
    <w:rsid w:val="00715F82"/>
    <w:rsid w:val="007174C0"/>
    <w:rsid w:val="007204F2"/>
    <w:rsid w:val="0072092C"/>
    <w:rsid w:val="00721AC2"/>
    <w:rsid w:val="007238C0"/>
    <w:rsid w:val="007309C1"/>
    <w:rsid w:val="007322FF"/>
    <w:rsid w:val="0073253B"/>
    <w:rsid w:val="00732C78"/>
    <w:rsid w:val="007343D8"/>
    <w:rsid w:val="00734EBF"/>
    <w:rsid w:val="00744589"/>
    <w:rsid w:val="00746BA2"/>
    <w:rsid w:val="00746EF2"/>
    <w:rsid w:val="00756398"/>
    <w:rsid w:val="00762952"/>
    <w:rsid w:val="007658DF"/>
    <w:rsid w:val="00770C8D"/>
    <w:rsid w:val="00774CCE"/>
    <w:rsid w:val="007823A6"/>
    <w:rsid w:val="00783905"/>
    <w:rsid w:val="00784E76"/>
    <w:rsid w:val="00790CC5"/>
    <w:rsid w:val="007937D1"/>
    <w:rsid w:val="00796C09"/>
    <w:rsid w:val="007A0060"/>
    <w:rsid w:val="007A0E77"/>
    <w:rsid w:val="007A4BBC"/>
    <w:rsid w:val="007B3344"/>
    <w:rsid w:val="007B5BD5"/>
    <w:rsid w:val="007B7C1C"/>
    <w:rsid w:val="007C0611"/>
    <w:rsid w:val="007C0F53"/>
    <w:rsid w:val="007D2F67"/>
    <w:rsid w:val="007D43BB"/>
    <w:rsid w:val="007D48DB"/>
    <w:rsid w:val="007D53E2"/>
    <w:rsid w:val="007D5615"/>
    <w:rsid w:val="007D5A84"/>
    <w:rsid w:val="007E34EA"/>
    <w:rsid w:val="007F08FF"/>
    <w:rsid w:val="007F38C6"/>
    <w:rsid w:val="007F3A54"/>
    <w:rsid w:val="007F4303"/>
    <w:rsid w:val="007F4C2D"/>
    <w:rsid w:val="008008FB"/>
    <w:rsid w:val="00802836"/>
    <w:rsid w:val="00806CDA"/>
    <w:rsid w:val="00807413"/>
    <w:rsid w:val="00807634"/>
    <w:rsid w:val="00810600"/>
    <w:rsid w:val="0081586E"/>
    <w:rsid w:val="00817420"/>
    <w:rsid w:val="00817EA3"/>
    <w:rsid w:val="00830500"/>
    <w:rsid w:val="00831838"/>
    <w:rsid w:val="0083321B"/>
    <w:rsid w:val="008352DB"/>
    <w:rsid w:val="0083709D"/>
    <w:rsid w:val="00842020"/>
    <w:rsid w:val="0084398D"/>
    <w:rsid w:val="008467FF"/>
    <w:rsid w:val="00846C1D"/>
    <w:rsid w:val="008474F6"/>
    <w:rsid w:val="008517D3"/>
    <w:rsid w:val="00857A27"/>
    <w:rsid w:val="00861923"/>
    <w:rsid w:val="00863E73"/>
    <w:rsid w:val="008657D3"/>
    <w:rsid w:val="0087089F"/>
    <w:rsid w:val="00871B3E"/>
    <w:rsid w:val="00875439"/>
    <w:rsid w:val="00886FA8"/>
    <w:rsid w:val="00887C88"/>
    <w:rsid w:val="00890271"/>
    <w:rsid w:val="00890E5C"/>
    <w:rsid w:val="00891A04"/>
    <w:rsid w:val="0089346C"/>
    <w:rsid w:val="008966F9"/>
    <w:rsid w:val="00897363"/>
    <w:rsid w:val="008A7878"/>
    <w:rsid w:val="008B47D9"/>
    <w:rsid w:val="008C4CE4"/>
    <w:rsid w:val="008C5A00"/>
    <w:rsid w:val="008C75ED"/>
    <w:rsid w:val="008D0ABC"/>
    <w:rsid w:val="008D1615"/>
    <w:rsid w:val="008D51EF"/>
    <w:rsid w:val="008E17A5"/>
    <w:rsid w:val="008E1885"/>
    <w:rsid w:val="008E2704"/>
    <w:rsid w:val="008E561C"/>
    <w:rsid w:val="008E578B"/>
    <w:rsid w:val="008E6CED"/>
    <w:rsid w:val="008E7269"/>
    <w:rsid w:val="008F42DA"/>
    <w:rsid w:val="008F497D"/>
    <w:rsid w:val="008F7947"/>
    <w:rsid w:val="009009A6"/>
    <w:rsid w:val="009020C9"/>
    <w:rsid w:val="00902EA0"/>
    <w:rsid w:val="00903FD6"/>
    <w:rsid w:val="009065CF"/>
    <w:rsid w:val="00912567"/>
    <w:rsid w:val="009151F5"/>
    <w:rsid w:val="0091735F"/>
    <w:rsid w:val="00917810"/>
    <w:rsid w:val="009178F3"/>
    <w:rsid w:val="00917CD3"/>
    <w:rsid w:val="009203A6"/>
    <w:rsid w:val="00922E19"/>
    <w:rsid w:val="0092338B"/>
    <w:rsid w:val="00923D22"/>
    <w:rsid w:val="00925FA2"/>
    <w:rsid w:val="00926F5B"/>
    <w:rsid w:val="00930065"/>
    <w:rsid w:val="00930F07"/>
    <w:rsid w:val="009352B8"/>
    <w:rsid w:val="00937917"/>
    <w:rsid w:val="0094046E"/>
    <w:rsid w:val="009414E5"/>
    <w:rsid w:val="0094458E"/>
    <w:rsid w:val="00950D20"/>
    <w:rsid w:val="009546C5"/>
    <w:rsid w:val="00957DF7"/>
    <w:rsid w:val="00963DD6"/>
    <w:rsid w:val="009642BF"/>
    <w:rsid w:val="00965C76"/>
    <w:rsid w:val="00972265"/>
    <w:rsid w:val="009762A1"/>
    <w:rsid w:val="00976D93"/>
    <w:rsid w:val="009858F0"/>
    <w:rsid w:val="009934A5"/>
    <w:rsid w:val="00995F13"/>
    <w:rsid w:val="00997DBD"/>
    <w:rsid w:val="009A1D32"/>
    <w:rsid w:val="009A3FCE"/>
    <w:rsid w:val="009A6456"/>
    <w:rsid w:val="009A7EB4"/>
    <w:rsid w:val="009B58AC"/>
    <w:rsid w:val="009C15FC"/>
    <w:rsid w:val="009C530C"/>
    <w:rsid w:val="009D0BA2"/>
    <w:rsid w:val="009D1642"/>
    <w:rsid w:val="009D236E"/>
    <w:rsid w:val="009D3036"/>
    <w:rsid w:val="009D3D63"/>
    <w:rsid w:val="009D7075"/>
    <w:rsid w:val="009D764D"/>
    <w:rsid w:val="009E2294"/>
    <w:rsid w:val="009E2E5E"/>
    <w:rsid w:val="009E40E3"/>
    <w:rsid w:val="009E5900"/>
    <w:rsid w:val="009E7CC1"/>
    <w:rsid w:val="009F2D99"/>
    <w:rsid w:val="009F4A6F"/>
    <w:rsid w:val="00A00017"/>
    <w:rsid w:val="00A00E9A"/>
    <w:rsid w:val="00A04738"/>
    <w:rsid w:val="00A04759"/>
    <w:rsid w:val="00A06CCF"/>
    <w:rsid w:val="00A07850"/>
    <w:rsid w:val="00A07FD1"/>
    <w:rsid w:val="00A1389B"/>
    <w:rsid w:val="00A17819"/>
    <w:rsid w:val="00A21AC0"/>
    <w:rsid w:val="00A21E47"/>
    <w:rsid w:val="00A3029B"/>
    <w:rsid w:val="00A32282"/>
    <w:rsid w:val="00A34FD5"/>
    <w:rsid w:val="00A35970"/>
    <w:rsid w:val="00A375DF"/>
    <w:rsid w:val="00A40127"/>
    <w:rsid w:val="00A42489"/>
    <w:rsid w:val="00A428F4"/>
    <w:rsid w:val="00A42F4B"/>
    <w:rsid w:val="00A47042"/>
    <w:rsid w:val="00A50503"/>
    <w:rsid w:val="00A52F55"/>
    <w:rsid w:val="00A55729"/>
    <w:rsid w:val="00A55AEC"/>
    <w:rsid w:val="00A55CA2"/>
    <w:rsid w:val="00A56C18"/>
    <w:rsid w:val="00A56FFF"/>
    <w:rsid w:val="00A608AD"/>
    <w:rsid w:val="00A632BE"/>
    <w:rsid w:val="00A63BB9"/>
    <w:rsid w:val="00A63EC4"/>
    <w:rsid w:val="00A643BA"/>
    <w:rsid w:val="00A655EC"/>
    <w:rsid w:val="00A65D8D"/>
    <w:rsid w:val="00A67261"/>
    <w:rsid w:val="00A700FD"/>
    <w:rsid w:val="00A70BDB"/>
    <w:rsid w:val="00A71A9D"/>
    <w:rsid w:val="00A74F00"/>
    <w:rsid w:val="00A7686D"/>
    <w:rsid w:val="00A77C5F"/>
    <w:rsid w:val="00A84798"/>
    <w:rsid w:val="00A93927"/>
    <w:rsid w:val="00A95AFC"/>
    <w:rsid w:val="00A95C40"/>
    <w:rsid w:val="00AA077A"/>
    <w:rsid w:val="00AA156F"/>
    <w:rsid w:val="00AA295A"/>
    <w:rsid w:val="00AA399A"/>
    <w:rsid w:val="00AA61A9"/>
    <w:rsid w:val="00AB27C8"/>
    <w:rsid w:val="00AB5802"/>
    <w:rsid w:val="00AB696D"/>
    <w:rsid w:val="00AC08EF"/>
    <w:rsid w:val="00AC22B5"/>
    <w:rsid w:val="00AC24D6"/>
    <w:rsid w:val="00AC339B"/>
    <w:rsid w:val="00AC363C"/>
    <w:rsid w:val="00AC49A0"/>
    <w:rsid w:val="00AC6BB3"/>
    <w:rsid w:val="00AD17D7"/>
    <w:rsid w:val="00AD2369"/>
    <w:rsid w:val="00AD31F6"/>
    <w:rsid w:val="00AD6A5A"/>
    <w:rsid w:val="00AE0734"/>
    <w:rsid w:val="00AE0D35"/>
    <w:rsid w:val="00AE5905"/>
    <w:rsid w:val="00AE7061"/>
    <w:rsid w:val="00AF55AD"/>
    <w:rsid w:val="00AF7266"/>
    <w:rsid w:val="00B00A1C"/>
    <w:rsid w:val="00B03EBC"/>
    <w:rsid w:val="00B04B5F"/>
    <w:rsid w:val="00B05DC2"/>
    <w:rsid w:val="00B06F3D"/>
    <w:rsid w:val="00B10EF9"/>
    <w:rsid w:val="00B16F2B"/>
    <w:rsid w:val="00B200A5"/>
    <w:rsid w:val="00B20372"/>
    <w:rsid w:val="00B24BF0"/>
    <w:rsid w:val="00B24C25"/>
    <w:rsid w:val="00B256BF"/>
    <w:rsid w:val="00B313CA"/>
    <w:rsid w:val="00B3698F"/>
    <w:rsid w:val="00B36DCC"/>
    <w:rsid w:val="00B36E01"/>
    <w:rsid w:val="00B408C1"/>
    <w:rsid w:val="00B40F0A"/>
    <w:rsid w:val="00B46400"/>
    <w:rsid w:val="00B468F8"/>
    <w:rsid w:val="00B508A2"/>
    <w:rsid w:val="00B51A3C"/>
    <w:rsid w:val="00B530F0"/>
    <w:rsid w:val="00B54828"/>
    <w:rsid w:val="00B55FB8"/>
    <w:rsid w:val="00B56649"/>
    <w:rsid w:val="00B572C5"/>
    <w:rsid w:val="00B655BF"/>
    <w:rsid w:val="00B677CE"/>
    <w:rsid w:val="00B81392"/>
    <w:rsid w:val="00B83456"/>
    <w:rsid w:val="00B910C5"/>
    <w:rsid w:val="00B94862"/>
    <w:rsid w:val="00B94C63"/>
    <w:rsid w:val="00B975F5"/>
    <w:rsid w:val="00BA7290"/>
    <w:rsid w:val="00BA75B1"/>
    <w:rsid w:val="00BB0CD6"/>
    <w:rsid w:val="00BB3F7D"/>
    <w:rsid w:val="00BB4E4C"/>
    <w:rsid w:val="00BB6D86"/>
    <w:rsid w:val="00BC0215"/>
    <w:rsid w:val="00BC0803"/>
    <w:rsid w:val="00BD0239"/>
    <w:rsid w:val="00BD035A"/>
    <w:rsid w:val="00BD2581"/>
    <w:rsid w:val="00BE13B4"/>
    <w:rsid w:val="00BE64E2"/>
    <w:rsid w:val="00BE77B3"/>
    <w:rsid w:val="00BF2B6C"/>
    <w:rsid w:val="00BF4897"/>
    <w:rsid w:val="00BF6555"/>
    <w:rsid w:val="00BF699D"/>
    <w:rsid w:val="00C0271A"/>
    <w:rsid w:val="00C03879"/>
    <w:rsid w:val="00C0413A"/>
    <w:rsid w:val="00C0668E"/>
    <w:rsid w:val="00C10913"/>
    <w:rsid w:val="00C11C19"/>
    <w:rsid w:val="00C1225C"/>
    <w:rsid w:val="00C21B03"/>
    <w:rsid w:val="00C22C67"/>
    <w:rsid w:val="00C25E52"/>
    <w:rsid w:val="00C2753D"/>
    <w:rsid w:val="00C3228B"/>
    <w:rsid w:val="00C3264E"/>
    <w:rsid w:val="00C3439C"/>
    <w:rsid w:val="00C40F7B"/>
    <w:rsid w:val="00C45ECA"/>
    <w:rsid w:val="00C47883"/>
    <w:rsid w:val="00C50B3F"/>
    <w:rsid w:val="00C52633"/>
    <w:rsid w:val="00C539EC"/>
    <w:rsid w:val="00C62008"/>
    <w:rsid w:val="00C62161"/>
    <w:rsid w:val="00C661C4"/>
    <w:rsid w:val="00C67116"/>
    <w:rsid w:val="00C67525"/>
    <w:rsid w:val="00C727AE"/>
    <w:rsid w:val="00C752CE"/>
    <w:rsid w:val="00C765CE"/>
    <w:rsid w:val="00C77014"/>
    <w:rsid w:val="00C7761A"/>
    <w:rsid w:val="00C776B2"/>
    <w:rsid w:val="00C77D39"/>
    <w:rsid w:val="00C819F2"/>
    <w:rsid w:val="00C8271F"/>
    <w:rsid w:val="00C86507"/>
    <w:rsid w:val="00C93648"/>
    <w:rsid w:val="00C95282"/>
    <w:rsid w:val="00C97455"/>
    <w:rsid w:val="00CA0CCF"/>
    <w:rsid w:val="00CA3FDC"/>
    <w:rsid w:val="00CA454F"/>
    <w:rsid w:val="00CA4FBB"/>
    <w:rsid w:val="00CA6138"/>
    <w:rsid w:val="00CA7D18"/>
    <w:rsid w:val="00CB391F"/>
    <w:rsid w:val="00CB6DF0"/>
    <w:rsid w:val="00CC2012"/>
    <w:rsid w:val="00CC532A"/>
    <w:rsid w:val="00CD00EB"/>
    <w:rsid w:val="00CD67ED"/>
    <w:rsid w:val="00CE0DD9"/>
    <w:rsid w:val="00CE3761"/>
    <w:rsid w:val="00CE5E28"/>
    <w:rsid w:val="00CF42B3"/>
    <w:rsid w:val="00CF4423"/>
    <w:rsid w:val="00CF4E40"/>
    <w:rsid w:val="00CF5263"/>
    <w:rsid w:val="00D042BA"/>
    <w:rsid w:val="00D067C2"/>
    <w:rsid w:val="00D079C7"/>
    <w:rsid w:val="00D10494"/>
    <w:rsid w:val="00D11F86"/>
    <w:rsid w:val="00D15B41"/>
    <w:rsid w:val="00D165F6"/>
    <w:rsid w:val="00D1687B"/>
    <w:rsid w:val="00D322EC"/>
    <w:rsid w:val="00D3373A"/>
    <w:rsid w:val="00D3456B"/>
    <w:rsid w:val="00D35D18"/>
    <w:rsid w:val="00D41E6A"/>
    <w:rsid w:val="00D462D7"/>
    <w:rsid w:val="00D471E4"/>
    <w:rsid w:val="00D52E09"/>
    <w:rsid w:val="00D55C4B"/>
    <w:rsid w:val="00D604B0"/>
    <w:rsid w:val="00D60AF4"/>
    <w:rsid w:val="00D65A96"/>
    <w:rsid w:val="00D73BFA"/>
    <w:rsid w:val="00D7558C"/>
    <w:rsid w:val="00D75E0F"/>
    <w:rsid w:val="00D77CE6"/>
    <w:rsid w:val="00D82CC1"/>
    <w:rsid w:val="00D83932"/>
    <w:rsid w:val="00D83B24"/>
    <w:rsid w:val="00D84156"/>
    <w:rsid w:val="00D87F05"/>
    <w:rsid w:val="00D90D85"/>
    <w:rsid w:val="00D91A51"/>
    <w:rsid w:val="00D91ADD"/>
    <w:rsid w:val="00D9432D"/>
    <w:rsid w:val="00D96108"/>
    <w:rsid w:val="00DB22F0"/>
    <w:rsid w:val="00DB3270"/>
    <w:rsid w:val="00DB3378"/>
    <w:rsid w:val="00DC0D89"/>
    <w:rsid w:val="00DC0F75"/>
    <w:rsid w:val="00DC48F1"/>
    <w:rsid w:val="00DC5BC2"/>
    <w:rsid w:val="00DD68EF"/>
    <w:rsid w:val="00DD6D09"/>
    <w:rsid w:val="00DE57D0"/>
    <w:rsid w:val="00DF0DFA"/>
    <w:rsid w:val="00DF4E14"/>
    <w:rsid w:val="00DF7D85"/>
    <w:rsid w:val="00E05866"/>
    <w:rsid w:val="00E10E8C"/>
    <w:rsid w:val="00E144D8"/>
    <w:rsid w:val="00E17EB8"/>
    <w:rsid w:val="00E24146"/>
    <w:rsid w:val="00E24A03"/>
    <w:rsid w:val="00E26193"/>
    <w:rsid w:val="00E338D2"/>
    <w:rsid w:val="00E37168"/>
    <w:rsid w:val="00E41FE2"/>
    <w:rsid w:val="00E437F1"/>
    <w:rsid w:val="00E46BDA"/>
    <w:rsid w:val="00E477BF"/>
    <w:rsid w:val="00E52959"/>
    <w:rsid w:val="00E53870"/>
    <w:rsid w:val="00E54251"/>
    <w:rsid w:val="00E6645C"/>
    <w:rsid w:val="00E669C6"/>
    <w:rsid w:val="00E73347"/>
    <w:rsid w:val="00E7400E"/>
    <w:rsid w:val="00E77BFB"/>
    <w:rsid w:val="00E85DAA"/>
    <w:rsid w:val="00E85F9F"/>
    <w:rsid w:val="00E875F9"/>
    <w:rsid w:val="00E91F6C"/>
    <w:rsid w:val="00E92C79"/>
    <w:rsid w:val="00E945A2"/>
    <w:rsid w:val="00EA40A0"/>
    <w:rsid w:val="00EA4D5D"/>
    <w:rsid w:val="00EB26F7"/>
    <w:rsid w:val="00EB2A6E"/>
    <w:rsid w:val="00EB4AE8"/>
    <w:rsid w:val="00EC1623"/>
    <w:rsid w:val="00EC1D7B"/>
    <w:rsid w:val="00EC4C5F"/>
    <w:rsid w:val="00EC6BE2"/>
    <w:rsid w:val="00ED25EE"/>
    <w:rsid w:val="00ED53F0"/>
    <w:rsid w:val="00ED74A6"/>
    <w:rsid w:val="00ED7624"/>
    <w:rsid w:val="00ED77E6"/>
    <w:rsid w:val="00EE1E5C"/>
    <w:rsid w:val="00EE1FE0"/>
    <w:rsid w:val="00EE4A7D"/>
    <w:rsid w:val="00EE5BAC"/>
    <w:rsid w:val="00EE62A8"/>
    <w:rsid w:val="00EF0BD8"/>
    <w:rsid w:val="00EF2DF2"/>
    <w:rsid w:val="00EF5471"/>
    <w:rsid w:val="00F00E97"/>
    <w:rsid w:val="00F020E1"/>
    <w:rsid w:val="00F0493A"/>
    <w:rsid w:val="00F061A4"/>
    <w:rsid w:val="00F07D2D"/>
    <w:rsid w:val="00F07E9C"/>
    <w:rsid w:val="00F124BD"/>
    <w:rsid w:val="00F15819"/>
    <w:rsid w:val="00F16222"/>
    <w:rsid w:val="00F165B4"/>
    <w:rsid w:val="00F21059"/>
    <w:rsid w:val="00F22A7A"/>
    <w:rsid w:val="00F266EB"/>
    <w:rsid w:val="00F31015"/>
    <w:rsid w:val="00F322DF"/>
    <w:rsid w:val="00F34001"/>
    <w:rsid w:val="00F37819"/>
    <w:rsid w:val="00F43F1A"/>
    <w:rsid w:val="00F4455D"/>
    <w:rsid w:val="00F477A0"/>
    <w:rsid w:val="00F510B8"/>
    <w:rsid w:val="00F556B0"/>
    <w:rsid w:val="00F629D7"/>
    <w:rsid w:val="00F62C42"/>
    <w:rsid w:val="00F6638F"/>
    <w:rsid w:val="00F7026C"/>
    <w:rsid w:val="00F71FCD"/>
    <w:rsid w:val="00F72435"/>
    <w:rsid w:val="00F72BFE"/>
    <w:rsid w:val="00F730F5"/>
    <w:rsid w:val="00F74ED2"/>
    <w:rsid w:val="00F75E5F"/>
    <w:rsid w:val="00F76CC5"/>
    <w:rsid w:val="00F83092"/>
    <w:rsid w:val="00F86A81"/>
    <w:rsid w:val="00F8711F"/>
    <w:rsid w:val="00F90641"/>
    <w:rsid w:val="00F9242B"/>
    <w:rsid w:val="00FA0D0F"/>
    <w:rsid w:val="00FA2DE6"/>
    <w:rsid w:val="00FA630F"/>
    <w:rsid w:val="00FB09D5"/>
    <w:rsid w:val="00FB378C"/>
    <w:rsid w:val="00FB42CE"/>
    <w:rsid w:val="00FB5477"/>
    <w:rsid w:val="00FB6918"/>
    <w:rsid w:val="00FB74C2"/>
    <w:rsid w:val="00FC49F0"/>
    <w:rsid w:val="00FC5858"/>
    <w:rsid w:val="00FC6A39"/>
    <w:rsid w:val="00FD4036"/>
    <w:rsid w:val="00FD5C48"/>
    <w:rsid w:val="00FD5FC2"/>
    <w:rsid w:val="00FE6CD5"/>
    <w:rsid w:val="00FF1081"/>
    <w:rsid w:val="00FF1892"/>
    <w:rsid w:val="00FF2C12"/>
    <w:rsid w:val="00FF4236"/>
    <w:rsid w:val="00FF5CC7"/>
    <w:rsid w:val="00FF6E0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355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62D7"/>
  </w:style>
  <w:style w:type="paragraph" w:styleId="Heading1">
    <w:name w:val="heading 1"/>
    <w:basedOn w:val="Normal"/>
    <w:next w:val="Normal"/>
    <w:link w:val="Heading1Char"/>
    <w:uiPriority w:val="9"/>
    <w:qFormat/>
    <w:rsid w:val="004A6CE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04AB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3456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45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4521"/>
  </w:style>
  <w:style w:type="paragraph" w:styleId="Footer">
    <w:name w:val="footer"/>
    <w:basedOn w:val="Normal"/>
    <w:link w:val="FooterChar"/>
    <w:uiPriority w:val="99"/>
    <w:unhideWhenUsed/>
    <w:rsid w:val="006145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4521"/>
  </w:style>
  <w:style w:type="paragraph" w:styleId="BalloonText">
    <w:name w:val="Balloon Text"/>
    <w:basedOn w:val="Normal"/>
    <w:link w:val="BalloonTextChar"/>
    <w:uiPriority w:val="99"/>
    <w:semiHidden/>
    <w:unhideWhenUsed/>
    <w:rsid w:val="006145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4521"/>
    <w:rPr>
      <w:rFonts w:ascii="Tahoma" w:hAnsi="Tahoma" w:cs="Tahoma"/>
      <w:sz w:val="16"/>
      <w:szCs w:val="16"/>
    </w:rPr>
  </w:style>
  <w:style w:type="character" w:customStyle="1" w:styleId="Heading1Char">
    <w:name w:val="Heading 1 Char"/>
    <w:basedOn w:val="DefaultParagraphFont"/>
    <w:link w:val="Heading1"/>
    <w:uiPriority w:val="9"/>
    <w:rsid w:val="004A6CE8"/>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CE3761"/>
    <w:pPr>
      <w:ind w:left="720"/>
      <w:contextualSpacing/>
    </w:pPr>
  </w:style>
  <w:style w:type="paragraph" w:styleId="Caption">
    <w:name w:val="caption"/>
    <w:basedOn w:val="Normal"/>
    <w:next w:val="Normal"/>
    <w:unhideWhenUsed/>
    <w:qFormat/>
    <w:rsid w:val="00AB5802"/>
    <w:pPr>
      <w:spacing w:line="240" w:lineRule="auto"/>
    </w:pPr>
    <w:rPr>
      <w:b/>
      <w:bCs/>
      <w:color w:val="4F81BD" w:themeColor="accent1"/>
      <w:sz w:val="18"/>
      <w:szCs w:val="18"/>
    </w:rPr>
  </w:style>
  <w:style w:type="character" w:styleId="Hyperlink">
    <w:name w:val="Hyperlink"/>
    <w:basedOn w:val="DefaultParagraphFont"/>
    <w:uiPriority w:val="99"/>
    <w:unhideWhenUsed/>
    <w:rsid w:val="004224B4"/>
    <w:rPr>
      <w:color w:val="1D4296"/>
      <w:u w:val="single"/>
      <w:shd w:val="clear" w:color="auto" w:fill="auto"/>
    </w:rPr>
  </w:style>
  <w:style w:type="character" w:customStyle="1" w:styleId="Heading2Char">
    <w:name w:val="Heading 2 Char"/>
    <w:basedOn w:val="DefaultParagraphFont"/>
    <w:link w:val="Heading2"/>
    <w:uiPriority w:val="9"/>
    <w:rsid w:val="00704AB8"/>
    <w:rPr>
      <w:rFonts w:asciiTheme="majorHAnsi" w:eastAsiaTheme="majorEastAsia" w:hAnsiTheme="majorHAnsi" w:cstheme="majorBidi"/>
      <w:b/>
      <w:bCs/>
      <w:color w:val="4F81BD" w:themeColor="accent1"/>
      <w:sz w:val="26"/>
      <w:szCs w:val="26"/>
    </w:rPr>
  </w:style>
  <w:style w:type="character" w:customStyle="1" w:styleId="foos21">
    <w:name w:val="foos21"/>
    <w:basedOn w:val="DefaultParagraphFont"/>
    <w:rsid w:val="00DC0D89"/>
    <w:rPr>
      <w:rFonts w:ascii="Microsoft Sans Serif" w:hAnsi="Microsoft Sans Serif" w:cs="Microsoft Sans Serif" w:hint="default"/>
      <w:sz w:val="20"/>
      <w:szCs w:val="20"/>
    </w:rPr>
  </w:style>
  <w:style w:type="paragraph" w:styleId="NormalWeb">
    <w:name w:val="Normal (Web)"/>
    <w:basedOn w:val="Normal"/>
    <w:uiPriority w:val="99"/>
    <w:semiHidden/>
    <w:unhideWhenUsed/>
    <w:rsid w:val="001631B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OCHeading">
    <w:name w:val="TOC Heading"/>
    <w:basedOn w:val="Heading1"/>
    <w:next w:val="Normal"/>
    <w:uiPriority w:val="39"/>
    <w:semiHidden/>
    <w:unhideWhenUsed/>
    <w:qFormat/>
    <w:rsid w:val="0044562E"/>
    <w:pPr>
      <w:outlineLvl w:val="9"/>
    </w:pPr>
    <w:rPr>
      <w:lang w:val="en-US"/>
    </w:rPr>
  </w:style>
  <w:style w:type="paragraph" w:styleId="TOC1">
    <w:name w:val="toc 1"/>
    <w:basedOn w:val="Normal"/>
    <w:next w:val="Normal"/>
    <w:autoRedefine/>
    <w:uiPriority w:val="39"/>
    <w:unhideWhenUsed/>
    <w:rsid w:val="0044562E"/>
    <w:pPr>
      <w:spacing w:after="100"/>
    </w:pPr>
  </w:style>
  <w:style w:type="paragraph" w:styleId="TOC2">
    <w:name w:val="toc 2"/>
    <w:basedOn w:val="Normal"/>
    <w:next w:val="Normal"/>
    <w:autoRedefine/>
    <w:uiPriority w:val="39"/>
    <w:unhideWhenUsed/>
    <w:rsid w:val="0044562E"/>
    <w:pPr>
      <w:spacing w:after="100"/>
      <w:ind w:left="220"/>
    </w:pPr>
  </w:style>
  <w:style w:type="character" w:customStyle="1" w:styleId="fulltext-it">
    <w:name w:val="fulltext-it"/>
    <w:basedOn w:val="DefaultParagraphFont"/>
    <w:rsid w:val="00C819F2"/>
  </w:style>
  <w:style w:type="character" w:styleId="Strong">
    <w:name w:val="Strong"/>
    <w:basedOn w:val="DefaultParagraphFont"/>
    <w:uiPriority w:val="22"/>
    <w:qFormat/>
    <w:rsid w:val="000877D1"/>
    <w:rPr>
      <w:b/>
      <w:bCs/>
    </w:rPr>
  </w:style>
  <w:style w:type="character" w:styleId="HTMLCite">
    <w:name w:val="HTML Cite"/>
    <w:basedOn w:val="DefaultParagraphFont"/>
    <w:uiPriority w:val="99"/>
    <w:semiHidden/>
    <w:unhideWhenUsed/>
    <w:rsid w:val="00AF7266"/>
    <w:rPr>
      <w:i/>
      <w:iCs/>
    </w:rPr>
  </w:style>
  <w:style w:type="character" w:customStyle="1" w:styleId="cit-source">
    <w:name w:val="cit-source"/>
    <w:basedOn w:val="DefaultParagraphFont"/>
    <w:rsid w:val="00EA4D5D"/>
  </w:style>
  <w:style w:type="character" w:customStyle="1" w:styleId="cit-pub-date">
    <w:name w:val="cit-pub-date"/>
    <w:basedOn w:val="DefaultParagraphFont"/>
    <w:rsid w:val="00EA4D5D"/>
  </w:style>
  <w:style w:type="character" w:customStyle="1" w:styleId="cit-vol3">
    <w:name w:val="cit-vol3"/>
    <w:basedOn w:val="DefaultParagraphFont"/>
    <w:rsid w:val="00EA4D5D"/>
  </w:style>
  <w:style w:type="character" w:customStyle="1" w:styleId="cit-fpage">
    <w:name w:val="cit-fpage"/>
    <w:basedOn w:val="DefaultParagraphFont"/>
    <w:rsid w:val="00EA4D5D"/>
  </w:style>
  <w:style w:type="character" w:styleId="FollowedHyperlink">
    <w:name w:val="FollowedHyperlink"/>
    <w:basedOn w:val="DefaultParagraphFont"/>
    <w:uiPriority w:val="99"/>
    <w:semiHidden/>
    <w:unhideWhenUsed/>
    <w:rsid w:val="007A4BBC"/>
    <w:rPr>
      <w:color w:val="800080" w:themeColor="followedHyperlink"/>
      <w:u w:val="single"/>
    </w:rPr>
  </w:style>
  <w:style w:type="paragraph" w:customStyle="1" w:styleId="Default">
    <w:name w:val="Default"/>
    <w:rsid w:val="002D256A"/>
    <w:pPr>
      <w:autoSpaceDE w:val="0"/>
      <w:autoSpaceDN w:val="0"/>
      <w:adjustRightInd w:val="0"/>
      <w:spacing w:after="0" w:line="240" w:lineRule="auto"/>
    </w:pPr>
    <w:rPr>
      <w:rFonts w:ascii="Arial" w:hAnsi="Arial" w:cs="Arial"/>
      <w:color w:val="000000"/>
      <w:sz w:val="24"/>
      <w:szCs w:val="24"/>
    </w:rPr>
  </w:style>
  <w:style w:type="paragraph" w:customStyle="1" w:styleId="fulltext-text">
    <w:name w:val="fulltext-text"/>
    <w:basedOn w:val="Normal"/>
    <w:rsid w:val="004D5EFB"/>
    <w:pPr>
      <w:spacing w:before="100" w:beforeAutospacing="1" w:after="360"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1350B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Emphasis">
    <w:name w:val="Emphasis"/>
    <w:basedOn w:val="DefaultParagraphFont"/>
    <w:uiPriority w:val="20"/>
    <w:qFormat/>
    <w:rsid w:val="004346E3"/>
    <w:rPr>
      <w:i/>
      <w:iCs/>
    </w:rPr>
  </w:style>
  <w:style w:type="character" w:customStyle="1" w:styleId="slug-pop-date">
    <w:name w:val="slug-pop-date"/>
    <w:basedOn w:val="DefaultParagraphFont"/>
    <w:rsid w:val="00083630"/>
  </w:style>
  <w:style w:type="character" w:customStyle="1" w:styleId="pop-slug">
    <w:name w:val="pop-slug"/>
    <w:basedOn w:val="DefaultParagraphFont"/>
    <w:rsid w:val="00083630"/>
  </w:style>
  <w:style w:type="character" w:customStyle="1" w:styleId="slug-vol">
    <w:name w:val="slug-vol"/>
    <w:basedOn w:val="DefaultParagraphFont"/>
    <w:rsid w:val="00342DB8"/>
    <w:rPr>
      <w:b/>
      <w:bCs/>
    </w:rPr>
  </w:style>
  <w:style w:type="character" w:customStyle="1" w:styleId="cit-sep1">
    <w:name w:val="cit-sep1"/>
    <w:basedOn w:val="DefaultParagraphFont"/>
    <w:rsid w:val="00342DB8"/>
    <w:rPr>
      <w:b w:val="0"/>
      <w:bCs w:val="0"/>
    </w:rPr>
  </w:style>
  <w:style w:type="character" w:customStyle="1" w:styleId="slug-doi2">
    <w:name w:val="slug-doi2"/>
    <w:basedOn w:val="DefaultParagraphFont"/>
    <w:rsid w:val="00342DB8"/>
  </w:style>
  <w:style w:type="paragraph" w:customStyle="1" w:styleId="ReportBodytext">
    <w:name w:val="Report Bodytext"/>
    <w:basedOn w:val="Normal"/>
    <w:rsid w:val="00694812"/>
    <w:pPr>
      <w:spacing w:after="220" w:line="240" w:lineRule="auto"/>
    </w:pPr>
    <w:rPr>
      <w:rFonts w:ascii="Arial" w:eastAsia="Times New Roman" w:hAnsi="Arial" w:cs="Times New Roman"/>
      <w:szCs w:val="24"/>
    </w:rPr>
  </w:style>
  <w:style w:type="character" w:customStyle="1" w:styleId="ReportBodytextCharChar">
    <w:name w:val="Report Bodytext Char Char"/>
    <w:basedOn w:val="DefaultParagraphFont"/>
    <w:link w:val="ReportBodytextChar"/>
    <w:rsid w:val="00694812"/>
    <w:rPr>
      <w:rFonts w:ascii="Arial" w:hAnsi="Arial"/>
      <w:szCs w:val="24"/>
    </w:rPr>
  </w:style>
  <w:style w:type="paragraph" w:customStyle="1" w:styleId="ReportBodytextChar">
    <w:name w:val="Report Bodytext Char"/>
    <w:basedOn w:val="Normal"/>
    <w:link w:val="ReportBodytextCharChar"/>
    <w:rsid w:val="00694812"/>
    <w:pPr>
      <w:spacing w:after="220" w:line="240" w:lineRule="auto"/>
    </w:pPr>
    <w:rPr>
      <w:rFonts w:ascii="Arial" w:hAnsi="Arial"/>
      <w:szCs w:val="24"/>
    </w:rPr>
  </w:style>
  <w:style w:type="character" w:customStyle="1" w:styleId="Heading3Char">
    <w:name w:val="Heading 3 Char"/>
    <w:basedOn w:val="DefaultParagraphFont"/>
    <w:link w:val="Heading3"/>
    <w:uiPriority w:val="9"/>
    <w:rsid w:val="00D3456B"/>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D3456B"/>
    <w:pPr>
      <w:spacing w:after="100"/>
      <w:ind w:left="440"/>
    </w:pPr>
  </w:style>
</w:styles>
</file>

<file path=word/webSettings.xml><?xml version="1.0" encoding="utf-8"?>
<w:webSettings xmlns:r="http://schemas.openxmlformats.org/officeDocument/2006/relationships" xmlns:w="http://schemas.openxmlformats.org/wordprocessingml/2006/main">
  <w:divs>
    <w:div w:id="96219318">
      <w:bodyDiv w:val="1"/>
      <w:marLeft w:val="0"/>
      <w:marRight w:val="0"/>
      <w:marTop w:val="0"/>
      <w:marBottom w:val="0"/>
      <w:divBdr>
        <w:top w:val="none" w:sz="0" w:space="0" w:color="auto"/>
        <w:left w:val="none" w:sz="0" w:space="0" w:color="auto"/>
        <w:bottom w:val="none" w:sz="0" w:space="0" w:color="auto"/>
        <w:right w:val="none" w:sz="0" w:space="0" w:color="auto"/>
      </w:divBdr>
      <w:divsChild>
        <w:div w:id="1020544753">
          <w:marLeft w:val="547"/>
          <w:marRight w:val="0"/>
          <w:marTop w:val="144"/>
          <w:marBottom w:val="0"/>
          <w:divBdr>
            <w:top w:val="none" w:sz="0" w:space="0" w:color="auto"/>
            <w:left w:val="none" w:sz="0" w:space="0" w:color="auto"/>
            <w:bottom w:val="none" w:sz="0" w:space="0" w:color="auto"/>
            <w:right w:val="none" w:sz="0" w:space="0" w:color="auto"/>
          </w:divBdr>
        </w:div>
        <w:div w:id="879391411">
          <w:marLeft w:val="547"/>
          <w:marRight w:val="0"/>
          <w:marTop w:val="144"/>
          <w:marBottom w:val="0"/>
          <w:divBdr>
            <w:top w:val="none" w:sz="0" w:space="0" w:color="auto"/>
            <w:left w:val="none" w:sz="0" w:space="0" w:color="auto"/>
            <w:bottom w:val="none" w:sz="0" w:space="0" w:color="auto"/>
            <w:right w:val="none" w:sz="0" w:space="0" w:color="auto"/>
          </w:divBdr>
        </w:div>
        <w:div w:id="2022856341">
          <w:marLeft w:val="547"/>
          <w:marRight w:val="0"/>
          <w:marTop w:val="144"/>
          <w:marBottom w:val="0"/>
          <w:divBdr>
            <w:top w:val="none" w:sz="0" w:space="0" w:color="auto"/>
            <w:left w:val="none" w:sz="0" w:space="0" w:color="auto"/>
            <w:bottom w:val="none" w:sz="0" w:space="0" w:color="auto"/>
            <w:right w:val="none" w:sz="0" w:space="0" w:color="auto"/>
          </w:divBdr>
        </w:div>
        <w:div w:id="1187400402">
          <w:marLeft w:val="547"/>
          <w:marRight w:val="0"/>
          <w:marTop w:val="144"/>
          <w:marBottom w:val="0"/>
          <w:divBdr>
            <w:top w:val="none" w:sz="0" w:space="0" w:color="auto"/>
            <w:left w:val="none" w:sz="0" w:space="0" w:color="auto"/>
            <w:bottom w:val="none" w:sz="0" w:space="0" w:color="auto"/>
            <w:right w:val="none" w:sz="0" w:space="0" w:color="auto"/>
          </w:divBdr>
        </w:div>
        <w:div w:id="84310092">
          <w:marLeft w:val="1166"/>
          <w:marRight w:val="0"/>
          <w:marTop w:val="125"/>
          <w:marBottom w:val="0"/>
          <w:divBdr>
            <w:top w:val="none" w:sz="0" w:space="0" w:color="auto"/>
            <w:left w:val="none" w:sz="0" w:space="0" w:color="auto"/>
            <w:bottom w:val="none" w:sz="0" w:space="0" w:color="auto"/>
            <w:right w:val="none" w:sz="0" w:space="0" w:color="auto"/>
          </w:divBdr>
        </w:div>
        <w:div w:id="559681233">
          <w:marLeft w:val="1166"/>
          <w:marRight w:val="0"/>
          <w:marTop w:val="125"/>
          <w:marBottom w:val="0"/>
          <w:divBdr>
            <w:top w:val="none" w:sz="0" w:space="0" w:color="auto"/>
            <w:left w:val="none" w:sz="0" w:space="0" w:color="auto"/>
            <w:bottom w:val="none" w:sz="0" w:space="0" w:color="auto"/>
            <w:right w:val="none" w:sz="0" w:space="0" w:color="auto"/>
          </w:divBdr>
        </w:div>
      </w:divsChild>
    </w:div>
    <w:div w:id="164134542">
      <w:bodyDiv w:val="1"/>
      <w:marLeft w:val="0"/>
      <w:marRight w:val="0"/>
      <w:marTop w:val="120"/>
      <w:marBottom w:val="120"/>
      <w:divBdr>
        <w:top w:val="none" w:sz="0" w:space="0" w:color="auto"/>
        <w:left w:val="none" w:sz="0" w:space="0" w:color="auto"/>
        <w:bottom w:val="none" w:sz="0" w:space="0" w:color="auto"/>
        <w:right w:val="none" w:sz="0" w:space="0" w:color="auto"/>
      </w:divBdr>
      <w:divsChild>
        <w:div w:id="163515953">
          <w:marLeft w:val="0"/>
          <w:marRight w:val="0"/>
          <w:marTop w:val="150"/>
          <w:marBottom w:val="0"/>
          <w:divBdr>
            <w:top w:val="none" w:sz="0" w:space="0" w:color="auto"/>
            <w:left w:val="none" w:sz="0" w:space="0" w:color="auto"/>
            <w:bottom w:val="none" w:sz="0" w:space="0" w:color="auto"/>
            <w:right w:val="none" w:sz="0" w:space="0" w:color="auto"/>
          </w:divBdr>
          <w:divsChild>
            <w:div w:id="1654749223">
              <w:marLeft w:val="0"/>
              <w:marRight w:val="0"/>
              <w:marTop w:val="0"/>
              <w:marBottom w:val="0"/>
              <w:divBdr>
                <w:top w:val="none" w:sz="0" w:space="0" w:color="auto"/>
                <w:left w:val="none" w:sz="0" w:space="0" w:color="auto"/>
                <w:bottom w:val="none" w:sz="0" w:space="0" w:color="auto"/>
                <w:right w:val="none" w:sz="0" w:space="0" w:color="auto"/>
              </w:divBdr>
              <w:divsChild>
                <w:div w:id="1730424077">
                  <w:marLeft w:val="0"/>
                  <w:marRight w:val="0"/>
                  <w:marTop w:val="0"/>
                  <w:marBottom w:val="45"/>
                  <w:divBdr>
                    <w:top w:val="none" w:sz="0" w:space="0" w:color="auto"/>
                    <w:left w:val="none" w:sz="0" w:space="0" w:color="auto"/>
                    <w:bottom w:val="none" w:sz="0" w:space="0" w:color="auto"/>
                    <w:right w:val="none" w:sz="0" w:space="0" w:color="auto"/>
                  </w:divBdr>
                  <w:divsChild>
                    <w:div w:id="462650019">
                      <w:marLeft w:val="0"/>
                      <w:marRight w:val="0"/>
                      <w:marTop w:val="0"/>
                      <w:marBottom w:val="0"/>
                      <w:divBdr>
                        <w:top w:val="single" w:sz="6" w:space="0" w:color="808080"/>
                        <w:left w:val="single" w:sz="6" w:space="0" w:color="808080"/>
                        <w:bottom w:val="single" w:sz="6" w:space="0" w:color="808080"/>
                        <w:right w:val="single" w:sz="6" w:space="0" w:color="808080"/>
                      </w:divBdr>
                      <w:divsChild>
                        <w:div w:id="1460763380">
                          <w:marLeft w:val="0"/>
                          <w:marRight w:val="0"/>
                          <w:marTop w:val="0"/>
                          <w:marBottom w:val="0"/>
                          <w:divBdr>
                            <w:top w:val="none" w:sz="0" w:space="0" w:color="auto"/>
                            <w:left w:val="none" w:sz="0" w:space="0" w:color="auto"/>
                            <w:bottom w:val="none" w:sz="0" w:space="0" w:color="auto"/>
                            <w:right w:val="none" w:sz="0" w:space="0" w:color="auto"/>
                          </w:divBdr>
                          <w:divsChild>
                            <w:div w:id="591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3485673">
      <w:bodyDiv w:val="1"/>
      <w:marLeft w:val="0"/>
      <w:marRight w:val="0"/>
      <w:marTop w:val="0"/>
      <w:marBottom w:val="0"/>
      <w:divBdr>
        <w:top w:val="none" w:sz="0" w:space="0" w:color="auto"/>
        <w:left w:val="none" w:sz="0" w:space="0" w:color="auto"/>
        <w:bottom w:val="none" w:sz="0" w:space="0" w:color="auto"/>
        <w:right w:val="none" w:sz="0" w:space="0" w:color="auto"/>
      </w:divBdr>
      <w:divsChild>
        <w:div w:id="2041935140">
          <w:marLeft w:val="547"/>
          <w:marRight w:val="0"/>
          <w:marTop w:val="154"/>
          <w:marBottom w:val="0"/>
          <w:divBdr>
            <w:top w:val="none" w:sz="0" w:space="0" w:color="auto"/>
            <w:left w:val="none" w:sz="0" w:space="0" w:color="auto"/>
            <w:bottom w:val="none" w:sz="0" w:space="0" w:color="auto"/>
            <w:right w:val="none" w:sz="0" w:space="0" w:color="auto"/>
          </w:divBdr>
        </w:div>
      </w:divsChild>
    </w:div>
    <w:div w:id="483401648">
      <w:bodyDiv w:val="1"/>
      <w:marLeft w:val="0"/>
      <w:marRight w:val="0"/>
      <w:marTop w:val="0"/>
      <w:marBottom w:val="0"/>
      <w:divBdr>
        <w:top w:val="none" w:sz="0" w:space="0" w:color="auto"/>
        <w:left w:val="none" w:sz="0" w:space="0" w:color="auto"/>
        <w:bottom w:val="none" w:sz="0" w:space="0" w:color="auto"/>
        <w:right w:val="none" w:sz="0" w:space="0" w:color="auto"/>
      </w:divBdr>
      <w:divsChild>
        <w:div w:id="1913353088">
          <w:marLeft w:val="0"/>
          <w:marRight w:val="0"/>
          <w:marTop w:val="150"/>
          <w:marBottom w:val="0"/>
          <w:divBdr>
            <w:top w:val="none" w:sz="0" w:space="0" w:color="auto"/>
            <w:left w:val="none" w:sz="0" w:space="0" w:color="auto"/>
            <w:bottom w:val="none" w:sz="0" w:space="0" w:color="auto"/>
            <w:right w:val="none" w:sz="0" w:space="0" w:color="auto"/>
          </w:divBdr>
          <w:divsChild>
            <w:div w:id="1660234835">
              <w:marLeft w:val="0"/>
              <w:marRight w:val="0"/>
              <w:marTop w:val="0"/>
              <w:marBottom w:val="0"/>
              <w:divBdr>
                <w:top w:val="none" w:sz="0" w:space="0" w:color="auto"/>
                <w:left w:val="none" w:sz="0" w:space="0" w:color="auto"/>
                <w:bottom w:val="none" w:sz="0" w:space="0" w:color="auto"/>
                <w:right w:val="none" w:sz="0" w:space="0" w:color="auto"/>
              </w:divBdr>
              <w:divsChild>
                <w:div w:id="1956985676">
                  <w:marLeft w:val="0"/>
                  <w:marRight w:val="0"/>
                  <w:marTop w:val="0"/>
                  <w:marBottom w:val="0"/>
                  <w:divBdr>
                    <w:top w:val="none" w:sz="0" w:space="0" w:color="auto"/>
                    <w:left w:val="none" w:sz="0" w:space="0" w:color="auto"/>
                    <w:bottom w:val="none" w:sz="0" w:space="0" w:color="auto"/>
                    <w:right w:val="none" w:sz="0" w:space="0" w:color="auto"/>
                  </w:divBdr>
                  <w:divsChild>
                    <w:div w:id="1921596243">
                      <w:marLeft w:val="0"/>
                      <w:marRight w:val="0"/>
                      <w:marTop w:val="168"/>
                      <w:marBottom w:val="0"/>
                      <w:divBdr>
                        <w:top w:val="none" w:sz="0" w:space="0" w:color="auto"/>
                        <w:left w:val="none" w:sz="0" w:space="0" w:color="auto"/>
                        <w:bottom w:val="none" w:sz="0" w:space="0" w:color="auto"/>
                        <w:right w:val="none" w:sz="0" w:space="0" w:color="auto"/>
                      </w:divBdr>
                      <w:divsChild>
                        <w:div w:id="143209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6431084">
      <w:bodyDiv w:val="1"/>
      <w:marLeft w:val="0"/>
      <w:marRight w:val="0"/>
      <w:marTop w:val="0"/>
      <w:marBottom w:val="0"/>
      <w:divBdr>
        <w:top w:val="none" w:sz="0" w:space="0" w:color="auto"/>
        <w:left w:val="none" w:sz="0" w:space="0" w:color="auto"/>
        <w:bottom w:val="none" w:sz="0" w:space="0" w:color="auto"/>
        <w:right w:val="none" w:sz="0" w:space="0" w:color="auto"/>
      </w:divBdr>
      <w:divsChild>
        <w:div w:id="859973293">
          <w:marLeft w:val="547"/>
          <w:marRight w:val="0"/>
          <w:marTop w:val="130"/>
          <w:marBottom w:val="0"/>
          <w:divBdr>
            <w:top w:val="none" w:sz="0" w:space="0" w:color="auto"/>
            <w:left w:val="none" w:sz="0" w:space="0" w:color="auto"/>
            <w:bottom w:val="none" w:sz="0" w:space="0" w:color="auto"/>
            <w:right w:val="none" w:sz="0" w:space="0" w:color="auto"/>
          </w:divBdr>
        </w:div>
        <w:div w:id="1213661336">
          <w:marLeft w:val="547"/>
          <w:marRight w:val="0"/>
          <w:marTop w:val="130"/>
          <w:marBottom w:val="0"/>
          <w:divBdr>
            <w:top w:val="none" w:sz="0" w:space="0" w:color="auto"/>
            <w:left w:val="none" w:sz="0" w:space="0" w:color="auto"/>
            <w:bottom w:val="none" w:sz="0" w:space="0" w:color="auto"/>
            <w:right w:val="none" w:sz="0" w:space="0" w:color="auto"/>
          </w:divBdr>
        </w:div>
        <w:div w:id="1539850803">
          <w:marLeft w:val="547"/>
          <w:marRight w:val="0"/>
          <w:marTop w:val="130"/>
          <w:marBottom w:val="0"/>
          <w:divBdr>
            <w:top w:val="none" w:sz="0" w:space="0" w:color="auto"/>
            <w:left w:val="none" w:sz="0" w:space="0" w:color="auto"/>
            <w:bottom w:val="none" w:sz="0" w:space="0" w:color="auto"/>
            <w:right w:val="none" w:sz="0" w:space="0" w:color="auto"/>
          </w:divBdr>
        </w:div>
        <w:div w:id="1255018985">
          <w:marLeft w:val="547"/>
          <w:marRight w:val="0"/>
          <w:marTop w:val="130"/>
          <w:marBottom w:val="0"/>
          <w:divBdr>
            <w:top w:val="none" w:sz="0" w:space="0" w:color="auto"/>
            <w:left w:val="none" w:sz="0" w:space="0" w:color="auto"/>
            <w:bottom w:val="none" w:sz="0" w:space="0" w:color="auto"/>
            <w:right w:val="none" w:sz="0" w:space="0" w:color="auto"/>
          </w:divBdr>
        </w:div>
      </w:divsChild>
    </w:div>
    <w:div w:id="564150518">
      <w:bodyDiv w:val="1"/>
      <w:marLeft w:val="0"/>
      <w:marRight w:val="0"/>
      <w:marTop w:val="0"/>
      <w:marBottom w:val="0"/>
      <w:divBdr>
        <w:top w:val="none" w:sz="0" w:space="0" w:color="auto"/>
        <w:left w:val="none" w:sz="0" w:space="0" w:color="auto"/>
        <w:bottom w:val="none" w:sz="0" w:space="0" w:color="auto"/>
        <w:right w:val="none" w:sz="0" w:space="0" w:color="auto"/>
      </w:divBdr>
    </w:div>
    <w:div w:id="597836487">
      <w:bodyDiv w:val="1"/>
      <w:marLeft w:val="150"/>
      <w:marRight w:val="150"/>
      <w:marTop w:val="150"/>
      <w:marBottom w:val="150"/>
      <w:divBdr>
        <w:top w:val="none" w:sz="0" w:space="0" w:color="auto"/>
        <w:left w:val="none" w:sz="0" w:space="0" w:color="auto"/>
        <w:bottom w:val="none" w:sz="0" w:space="0" w:color="auto"/>
        <w:right w:val="none" w:sz="0" w:space="0" w:color="auto"/>
      </w:divBdr>
      <w:divsChild>
        <w:div w:id="730274088">
          <w:marLeft w:val="0"/>
          <w:marRight w:val="0"/>
          <w:marTop w:val="0"/>
          <w:marBottom w:val="0"/>
          <w:divBdr>
            <w:top w:val="none" w:sz="0" w:space="0" w:color="auto"/>
            <w:left w:val="none" w:sz="0" w:space="0" w:color="auto"/>
            <w:bottom w:val="none" w:sz="0" w:space="0" w:color="auto"/>
            <w:right w:val="none" w:sz="0" w:space="0" w:color="auto"/>
          </w:divBdr>
          <w:divsChild>
            <w:div w:id="546068834">
              <w:marLeft w:val="0"/>
              <w:marRight w:val="0"/>
              <w:marTop w:val="0"/>
              <w:marBottom w:val="0"/>
              <w:divBdr>
                <w:top w:val="none" w:sz="0" w:space="0" w:color="auto"/>
                <w:left w:val="none" w:sz="0" w:space="0" w:color="auto"/>
                <w:bottom w:val="none" w:sz="0" w:space="0" w:color="auto"/>
                <w:right w:val="none" w:sz="0" w:space="0" w:color="auto"/>
              </w:divBdr>
              <w:divsChild>
                <w:div w:id="2074547419">
                  <w:marLeft w:val="0"/>
                  <w:marRight w:val="0"/>
                  <w:marTop w:val="0"/>
                  <w:marBottom w:val="0"/>
                  <w:divBdr>
                    <w:top w:val="none" w:sz="0" w:space="0" w:color="auto"/>
                    <w:left w:val="none" w:sz="0" w:space="0" w:color="auto"/>
                    <w:bottom w:val="none" w:sz="0" w:space="0" w:color="auto"/>
                    <w:right w:val="none" w:sz="0" w:space="0" w:color="auto"/>
                  </w:divBdr>
                  <w:divsChild>
                    <w:div w:id="124465919">
                      <w:marLeft w:val="0"/>
                      <w:marRight w:val="0"/>
                      <w:marTop w:val="0"/>
                      <w:marBottom w:val="0"/>
                      <w:divBdr>
                        <w:top w:val="none" w:sz="0" w:space="0" w:color="auto"/>
                        <w:left w:val="none" w:sz="0" w:space="0" w:color="auto"/>
                        <w:bottom w:val="none" w:sz="0" w:space="0" w:color="auto"/>
                        <w:right w:val="none" w:sz="0" w:space="0" w:color="auto"/>
                      </w:divBdr>
                      <w:divsChild>
                        <w:div w:id="1907910839">
                          <w:marLeft w:val="0"/>
                          <w:marRight w:val="0"/>
                          <w:marTop w:val="0"/>
                          <w:marBottom w:val="0"/>
                          <w:divBdr>
                            <w:top w:val="none" w:sz="0" w:space="0" w:color="auto"/>
                            <w:left w:val="none" w:sz="0" w:space="0" w:color="auto"/>
                            <w:bottom w:val="none" w:sz="0" w:space="0" w:color="auto"/>
                            <w:right w:val="none" w:sz="0" w:space="0" w:color="auto"/>
                          </w:divBdr>
                        </w:div>
                        <w:div w:id="158676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2733457">
      <w:bodyDiv w:val="1"/>
      <w:marLeft w:val="150"/>
      <w:marRight w:val="150"/>
      <w:marTop w:val="150"/>
      <w:marBottom w:val="150"/>
      <w:divBdr>
        <w:top w:val="none" w:sz="0" w:space="0" w:color="auto"/>
        <w:left w:val="none" w:sz="0" w:space="0" w:color="auto"/>
        <w:bottom w:val="none" w:sz="0" w:space="0" w:color="auto"/>
        <w:right w:val="none" w:sz="0" w:space="0" w:color="auto"/>
      </w:divBdr>
      <w:divsChild>
        <w:div w:id="303508777">
          <w:marLeft w:val="0"/>
          <w:marRight w:val="0"/>
          <w:marTop w:val="0"/>
          <w:marBottom w:val="0"/>
          <w:divBdr>
            <w:top w:val="none" w:sz="0" w:space="0" w:color="auto"/>
            <w:left w:val="none" w:sz="0" w:space="0" w:color="auto"/>
            <w:bottom w:val="none" w:sz="0" w:space="0" w:color="auto"/>
            <w:right w:val="none" w:sz="0" w:space="0" w:color="auto"/>
          </w:divBdr>
          <w:divsChild>
            <w:div w:id="1116755894">
              <w:marLeft w:val="0"/>
              <w:marRight w:val="0"/>
              <w:marTop w:val="0"/>
              <w:marBottom w:val="0"/>
              <w:divBdr>
                <w:top w:val="none" w:sz="0" w:space="0" w:color="auto"/>
                <w:left w:val="none" w:sz="0" w:space="0" w:color="auto"/>
                <w:bottom w:val="none" w:sz="0" w:space="0" w:color="auto"/>
                <w:right w:val="none" w:sz="0" w:space="0" w:color="auto"/>
              </w:divBdr>
              <w:divsChild>
                <w:div w:id="1656374458">
                  <w:marLeft w:val="0"/>
                  <w:marRight w:val="0"/>
                  <w:marTop w:val="0"/>
                  <w:marBottom w:val="0"/>
                  <w:divBdr>
                    <w:top w:val="none" w:sz="0" w:space="0" w:color="auto"/>
                    <w:left w:val="none" w:sz="0" w:space="0" w:color="auto"/>
                    <w:bottom w:val="none" w:sz="0" w:space="0" w:color="auto"/>
                    <w:right w:val="none" w:sz="0" w:space="0" w:color="auto"/>
                  </w:divBdr>
                  <w:divsChild>
                    <w:div w:id="1498155982">
                      <w:marLeft w:val="0"/>
                      <w:marRight w:val="0"/>
                      <w:marTop w:val="0"/>
                      <w:marBottom w:val="0"/>
                      <w:divBdr>
                        <w:top w:val="none" w:sz="0" w:space="0" w:color="auto"/>
                        <w:left w:val="none" w:sz="0" w:space="0" w:color="auto"/>
                        <w:bottom w:val="none" w:sz="0" w:space="0" w:color="auto"/>
                        <w:right w:val="none" w:sz="0" w:space="0" w:color="auto"/>
                      </w:divBdr>
                      <w:divsChild>
                        <w:div w:id="1215503752">
                          <w:marLeft w:val="0"/>
                          <w:marRight w:val="0"/>
                          <w:marTop w:val="0"/>
                          <w:marBottom w:val="0"/>
                          <w:divBdr>
                            <w:top w:val="none" w:sz="0" w:space="0" w:color="auto"/>
                            <w:left w:val="none" w:sz="0" w:space="0" w:color="auto"/>
                            <w:bottom w:val="none" w:sz="0" w:space="0" w:color="auto"/>
                            <w:right w:val="none" w:sz="0" w:space="0" w:color="auto"/>
                          </w:divBdr>
                        </w:div>
                        <w:div w:id="202343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533871">
      <w:bodyDiv w:val="1"/>
      <w:marLeft w:val="0"/>
      <w:marRight w:val="0"/>
      <w:marTop w:val="0"/>
      <w:marBottom w:val="0"/>
      <w:divBdr>
        <w:top w:val="none" w:sz="0" w:space="0" w:color="auto"/>
        <w:left w:val="none" w:sz="0" w:space="0" w:color="auto"/>
        <w:bottom w:val="none" w:sz="0" w:space="0" w:color="auto"/>
        <w:right w:val="none" w:sz="0" w:space="0" w:color="auto"/>
      </w:divBdr>
      <w:divsChild>
        <w:div w:id="517086144">
          <w:marLeft w:val="0"/>
          <w:marRight w:val="0"/>
          <w:marTop w:val="150"/>
          <w:marBottom w:val="0"/>
          <w:divBdr>
            <w:top w:val="none" w:sz="0" w:space="0" w:color="auto"/>
            <w:left w:val="none" w:sz="0" w:space="0" w:color="auto"/>
            <w:bottom w:val="none" w:sz="0" w:space="0" w:color="auto"/>
            <w:right w:val="none" w:sz="0" w:space="0" w:color="auto"/>
          </w:divBdr>
          <w:divsChild>
            <w:div w:id="1157309917">
              <w:marLeft w:val="0"/>
              <w:marRight w:val="0"/>
              <w:marTop w:val="0"/>
              <w:marBottom w:val="0"/>
              <w:divBdr>
                <w:top w:val="none" w:sz="0" w:space="0" w:color="auto"/>
                <w:left w:val="none" w:sz="0" w:space="0" w:color="auto"/>
                <w:bottom w:val="none" w:sz="0" w:space="0" w:color="auto"/>
                <w:right w:val="none" w:sz="0" w:space="0" w:color="auto"/>
              </w:divBdr>
              <w:divsChild>
                <w:div w:id="950167501">
                  <w:marLeft w:val="0"/>
                  <w:marRight w:val="0"/>
                  <w:marTop w:val="0"/>
                  <w:marBottom w:val="0"/>
                  <w:divBdr>
                    <w:top w:val="none" w:sz="0" w:space="0" w:color="auto"/>
                    <w:left w:val="none" w:sz="0" w:space="0" w:color="auto"/>
                    <w:bottom w:val="none" w:sz="0" w:space="0" w:color="auto"/>
                    <w:right w:val="none" w:sz="0" w:space="0" w:color="auto"/>
                  </w:divBdr>
                  <w:divsChild>
                    <w:div w:id="140390158">
                      <w:marLeft w:val="0"/>
                      <w:marRight w:val="0"/>
                      <w:marTop w:val="168"/>
                      <w:marBottom w:val="0"/>
                      <w:divBdr>
                        <w:top w:val="none" w:sz="0" w:space="0" w:color="auto"/>
                        <w:left w:val="none" w:sz="0" w:space="0" w:color="auto"/>
                        <w:bottom w:val="none" w:sz="0" w:space="0" w:color="auto"/>
                        <w:right w:val="none" w:sz="0" w:space="0" w:color="auto"/>
                      </w:divBdr>
                      <w:divsChild>
                        <w:div w:id="198831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324058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2074698013">
          <w:marLeft w:val="0"/>
          <w:marRight w:val="0"/>
          <w:marTop w:val="0"/>
          <w:marBottom w:val="0"/>
          <w:divBdr>
            <w:top w:val="none" w:sz="0" w:space="0" w:color="auto"/>
            <w:left w:val="none" w:sz="0" w:space="0" w:color="auto"/>
            <w:bottom w:val="none" w:sz="0" w:space="0" w:color="auto"/>
            <w:right w:val="none" w:sz="0" w:space="0" w:color="auto"/>
          </w:divBdr>
          <w:divsChild>
            <w:div w:id="1604991604">
              <w:marLeft w:val="0"/>
              <w:marRight w:val="0"/>
              <w:marTop w:val="0"/>
              <w:marBottom w:val="0"/>
              <w:divBdr>
                <w:top w:val="none" w:sz="0" w:space="0" w:color="auto"/>
                <w:left w:val="none" w:sz="0" w:space="0" w:color="auto"/>
                <w:bottom w:val="none" w:sz="0" w:space="0" w:color="auto"/>
                <w:right w:val="none" w:sz="0" w:space="0" w:color="auto"/>
              </w:divBdr>
              <w:divsChild>
                <w:div w:id="407120194">
                  <w:marLeft w:val="0"/>
                  <w:marRight w:val="0"/>
                  <w:marTop w:val="0"/>
                  <w:marBottom w:val="0"/>
                  <w:divBdr>
                    <w:top w:val="none" w:sz="0" w:space="0" w:color="auto"/>
                    <w:left w:val="none" w:sz="0" w:space="0" w:color="auto"/>
                    <w:bottom w:val="none" w:sz="0" w:space="0" w:color="auto"/>
                    <w:right w:val="none" w:sz="0" w:space="0" w:color="auto"/>
                  </w:divBdr>
                  <w:divsChild>
                    <w:div w:id="1098401611">
                      <w:marLeft w:val="0"/>
                      <w:marRight w:val="0"/>
                      <w:marTop w:val="0"/>
                      <w:marBottom w:val="0"/>
                      <w:divBdr>
                        <w:top w:val="none" w:sz="0" w:space="0" w:color="auto"/>
                        <w:left w:val="none" w:sz="0" w:space="0" w:color="auto"/>
                        <w:bottom w:val="none" w:sz="0" w:space="0" w:color="auto"/>
                        <w:right w:val="none" w:sz="0" w:space="0" w:color="auto"/>
                      </w:divBdr>
                      <w:divsChild>
                        <w:div w:id="664629789">
                          <w:marLeft w:val="0"/>
                          <w:marRight w:val="0"/>
                          <w:marTop w:val="0"/>
                          <w:marBottom w:val="0"/>
                          <w:divBdr>
                            <w:top w:val="none" w:sz="0" w:space="0" w:color="auto"/>
                            <w:left w:val="none" w:sz="0" w:space="0" w:color="auto"/>
                            <w:bottom w:val="none" w:sz="0" w:space="0" w:color="auto"/>
                            <w:right w:val="none" w:sz="0" w:space="0" w:color="auto"/>
                          </w:divBdr>
                        </w:div>
                        <w:div w:id="207057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7247937">
      <w:bodyDiv w:val="1"/>
      <w:marLeft w:val="0"/>
      <w:marRight w:val="0"/>
      <w:marTop w:val="0"/>
      <w:marBottom w:val="0"/>
      <w:divBdr>
        <w:top w:val="none" w:sz="0" w:space="0" w:color="auto"/>
        <w:left w:val="none" w:sz="0" w:space="0" w:color="auto"/>
        <w:bottom w:val="none" w:sz="0" w:space="0" w:color="auto"/>
        <w:right w:val="none" w:sz="0" w:space="0" w:color="auto"/>
      </w:divBdr>
    </w:div>
    <w:div w:id="1079785978">
      <w:bodyDiv w:val="1"/>
      <w:marLeft w:val="0"/>
      <w:marRight w:val="0"/>
      <w:marTop w:val="0"/>
      <w:marBottom w:val="0"/>
      <w:divBdr>
        <w:top w:val="none" w:sz="0" w:space="0" w:color="auto"/>
        <w:left w:val="none" w:sz="0" w:space="0" w:color="auto"/>
        <w:bottom w:val="none" w:sz="0" w:space="0" w:color="auto"/>
        <w:right w:val="none" w:sz="0" w:space="0" w:color="auto"/>
      </w:divBdr>
      <w:divsChild>
        <w:div w:id="947085443">
          <w:marLeft w:val="547"/>
          <w:marRight w:val="0"/>
          <w:marTop w:val="144"/>
          <w:marBottom w:val="0"/>
          <w:divBdr>
            <w:top w:val="none" w:sz="0" w:space="0" w:color="auto"/>
            <w:left w:val="none" w:sz="0" w:space="0" w:color="auto"/>
            <w:bottom w:val="none" w:sz="0" w:space="0" w:color="auto"/>
            <w:right w:val="none" w:sz="0" w:space="0" w:color="auto"/>
          </w:divBdr>
        </w:div>
        <w:div w:id="776405917">
          <w:marLeft w:val="1166"/>
          <w:marRight w:val="0"/>
          <w:marTop w:val="125"/>
          <w:marBottom w:val="0"/>
          <w:divBdr>
            <w:top w:val="none" w:sz="0" w:space="0" w:color="auto"/>
            <w:left w:val="none" w:sz="0" w:space="0" w:color="auto"/>
            <w:bottom w:val="none" w:sz="0" w:space="0" w:color="auto"/>
            <w:right w:val="none" w:sz="0" w:space="0" w:color="auto"/>
          </w:divBdr>
        </w:div>
        <w:div w:id="445849073">
          <w:marLeft w:val="1166"/>
          <w:marRight w:val="0"/>
          <w:marTop w:val="125"/>
          <w:marBottom w:val="0"/>
          <w:divBdr>
            <w:top w:val="none" w:sz="0" w:space="0" w:color="auto"/>
            <w:left w:val="none" w:sz="0" w:space="0" w:color="auto"/>
            <w:bottom w:val="none" w:sz="0" w:space="0" w:color="auto"/>
            <w:right w:val="none" w:sz="0" w:space="0" w:color="auto"/>
          </w:divBdr>
        </w:div>
        <w:div w:id="978605734">
          <w:marLeft w:val="1166"/>
          <w:marRight w:val="0"/>
          <w:marTop w:val="125"/>
          <w:marBottom w:val="0"/>
          <w:divBdr>
            <w:top w:val="none" w:sz="0" w:space="0" w:color="auto"/>
            <w:left w:val="none" w:sz="0" w:space="0" w:color="auto"/>
            <w:bottom w:val="none" w:sz="0" w:space="0" w:color="auto"/>
            <w:right w:val="none" w:sz="0" w:space="0" w:color="auto"/>
          </w:divBdr>
        </w:div>
      </w:divsChild>
    </w:div>
    <w:div w:id="1137917349">
      <w:bodyDiv w:val="1"/>
      <w:marLeft w:val="0"/>
      <w:marRight w:val="0"/>
      <w:marTop w:val="0"/>
      <w:marBottom w:val="0"/>
      <w:divBdr>
        <w:top w:val="none" w:sz="0" w:space="0" w:color="auto"/>
        <w:left w:val="none" w:sz="0" w:space="0" w:color="auto"/>
        <w:bottom w:val="none" w:sz="0" w:space="0" w:color="auto"/>
        <w:right w:val="none" w:sz="0" w:space="0" w:color="auto"/>
      </w:divBdr>
      <w:divsChild>
        <w:div w:id="786773881">
          <w:marLeft w:val="0"/>
          <w:marRight w:val="0"/>
          <w:marTop w:val="150"/>
          <w:marBottom w:val="0"/>
          <w:divBdr>
            <w:top w:val="none" w:sz="0" w:space="0" w:color="auto"/>
            <w:left w:val="none" w:sz="0" w:space="0" w:color="auto"/>
            <w:bottom w:val="none" w:sz="0" w:space="0" w:color="auto"/>
            <w:right w:val="none" w:sz="0" w:space="0" w:color="auto"/>
          </w:divBdr>
          <w:divsChild>
            <w:div w:id="753478593">
              <w:marLeft w:val="0"/>
              <w:marRight w:val="0"/>
              <w:marTop w:val="0"/>
              <w:marBottom w:val="0"/>
              <w:divBdr>
                <w:top w:val="none" w:sz="0" w:space="0" w:color="auto"/>
                <w:left w:val="none" w:sz="0" w:space="0" w:color="auto"/>
                <w:bottom w:val="none" w:sz="0" w:space="0" w:color="auto"/>
                <w:right w:val="none" w:sz="0" w:space="0" w:color="auto"/>
              </w:divBdr>
              <w:divsChild>
                <w:div w:id="1562133593">
                  <w:marLeft w:val="0"/>
                  <w:marRight w:val="0"/>
                  <w:marTop w:val="0"/>
                  <w:marBottom w:val="0"/>
                  <w:divBdr>
                    <w:top w:val="none" w:sz="0" w:space="0" w:color="auto"/>
                    <w:left w:val="none" w:sz="0" w:space="0" w:color="auto"/>
                    <w:bottom w:val="none" w:sz="0" w:space="0" w:color="auto"/>
                    <w:right w:val="none" w:sz="0" w:space="0" w:color="auto"/>
                  </w:divBdr>
                  <w:divsChild>
                    <w:div w:id="1961255151">
                      <w:marLeft w:val="0"/>
                      <w:marRight w:val="0"/>
                      <w:marTop w:val="168"/>
                      <w:marBottom w:val="0"/>
                      <w:divBdr>
                        <w:top w:val="none" w:sz="0" w:space="0" w:color="auto"/>
                        <w:left w:val="none" w:sz="0" w:space="0" w:color="auto"/>
                        <w:bottom w:val="none" w:sz="0" w:space="0" w:color="auto"/>
                        <w:right w:val="none" w:sz="0" w:space="0" w:color="auto"/>
                      </w:divBdr>
                      <w:divsChild>
                        <w:div w:id="1608846871">
                          <w:marLeft w:val="0"/>
                          <w:marRight w:val="0"/>
                          <w:marTop w:val="0"/>
                          <w:marBottom w:val="0"/>
                          <w:divBdr>
                            <w:top w:val="none" w:sz="0" w:space="0" w:color="auto"/>
                            <w:left w:val="none" w:sz="0" w:space="0" w:color="auto"/>
                            <w:bottom w:val="none" w:sz="0" w:space="0" w:color="auto"/>
                            <w:right w:val="none" w:sz="0" w:space="0" w:color="auto"/>
                          </w:divBdr>
                        </w:div>
                        <w:div w:id="17349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5501633">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352102104">
          <w:marLeft w:val="0"/>
          <w:marRight w:val="0"/>
          <w:marTop w:val="0"/>
          <w:marBottom w:val="0"/>
          <w:divBdr>
            <w:top w:val="none" w:sz="0" w:space="0" w:color="auto"/>
            <w:left w:val="none" w:sz="0" w:space="0" w:color="auto"/>
            <w:bottom w:val="none" w:sz="0" w:space="0" w:color="auto"/>
            <w:right w:val="none" w:sz="0" w:space="0" w:color="auto"/>
          </w:divBdr>
          <w:divsChild>
            <w:div w:id="1583879381">
              <w:marLeft w:val="0"/>
              <w:marRight w:val="0"/>
              <w:marTop w:val="0"/>
              <w:marBottom w:val="0"/>
              <w:divBdr>
                <w:top w:val="none" w:sz="0" w:space="0" w:color="auto"/>
                <w:left w:val="none" w:sz="0" w:space="0" w:color="auto"/>
                <w:bottom w:val="none" w:sz="0" w:space="0" w:color="auto"/>
                <w:right w:val="none" w:sz="0" w:space="0" w:color="auto"/>
              </w:divBdr>
              <w:divsChild>
                <w:div w:id="20010425">
                  <w:marLeft w:val="0"/>
                  <w:marRight w:val="0"/>
                  <w:marTop w:val="0"/>
                  <w:marBottom w:val="0"/>
                  <w:divBdr>
                    <w:top w:val="none" w:sz="0" w:space="0" w:color="auto"/>
                    <w:left w:val="none" w:sz="0" w:space="0" w:color="auto"/>
                    <w:bottom w:val="none" w:sz="0" w:space="0" w:color="auto"/>
                    <w:right w:val="none" w:sz="0" w:space="0" w:color="auto"/>
                  </w:divBdr>
                </w:div>
                <w:div w:id="1088694557">
                  <w:marLeft w:val="0"/>
                  <w:marRight w:val="0"/>
                  <w:marTop w:val="0"/>
                  <w:marBottom w:val="0"/>
                  <w:divBdr>
                    <w:top w:val="none" w:sz="0" w:space="0" w:color="auto"/>
                    <w:left w:val="none" w:sz="0" w:space="0" w:color="auto"/>
                    <w:bottom w:val="none" w:sz="0" w:space="0" w:color="auto"/>
                    <w:right w:val="none" w:sz="0" w:space="0" w:color="auto"/>
                  </w:divBdr>
                </w:div>
                <w:div w:id="1282421212">
                  <w:marLeft w:val="0"/>
                  <w:marRight w:val="0"/>
                  <w:marTop w:val="0"/>
                  <w:marBottom w:val="0"/>
                  <w:divBdr>
                    <w:top w:val="none" w:sz="0" w:space="0" w:color="auto"/>
                    <w:left w:val="none" w:sz="0" w:space="0" w:color="auto"/>
                    <w:bottom w:val="none" w:sz="0" w:space="0" w:color="auto"/>
                    <w:right w:val="none" w:sz="0" w:space="0" w:color="auto"/>
                  </w:divBdr>
                </w:div>
                <w:div w:id="1580090705">
                  <w:marLeft w:val="0"/>
                  <w:marRight w:val="0"/>
                  <w:marTop w:val="0"/>
                  <w:marBottom w:val="0"/>
                  <w:divBdr>
                    <w:top w:val="none" w:sz="0" w:space="0" w:color="auto"/>
                    <w:left w:val="none" w:sz="0" w:space="0" w:color="auto"/>
                    <w:bottom w:val="none" w:sz="0" w:space="0" w:color="auto"/>
                    <w:right w:val="none" w:sz="0" w:space="0" w:color="auto"/>
                  </w:divBdr>
                </w:div>
                <w:div w:id="1285117344">
                  <w:marLeft w:val="0"/>
                  <w:marRight w:val="0"/>
                  <w:marTop w:val="0"/>
                  <w:marBottom w:val="0"/>
                  <w:divBdr>
                    <w:top w:val="none" w:sz="0" w:space="0" w:color="auto"/>
                    <w:left w:val="none" w:sz="0" w:space="0" w:color="auto"/>
                    <w:bottom w:val="none" w:sz="0" w:space="0" w:color="auto"/>
                    <w:right w:val="none" w:sz="0" w:space="0" w:color="auto"/>
                  </w:divBdr>
                </w:div>
                <w:div w:id="1800611170">
                  <w:marLeft w:val="0"/>
                  <w:marRight w:val="0"/>
                  <w:marTop w:val="0"/>
                  <w:marBottom w:val="0"/>
                  <w:divBdr>
                    <w:top w:val="none" w:sz="0" w:space="0" w:color="auto"/>
                    <w:left w:val="none" w:sz="0" w:space="0" w:color="auto"/>
                    <w:bottom w:val="none" w:sz="0" w:space="0" w:color="auto"/>
                    <w:right w:val="none" w:sz="0" w:space="0" w:color="auto"/>
                  </w:divBdr>
                </w:div>
                <w:div w:id="849757337">
                  <w:marLeft w:val="0"/>
                  <w:marRight w:val="0"/>
                  <w:marTop w:val="0"/>
                  <w:marBottom w:val="0"/>
                  <w:divBdr>
                    <w:top w:val="none" w:sz="0" w:space="0" w:color="auto"/>
                    <w:left w:val="none" w:sz="0" w:space="0" w:color="auto"/>
                    <w:bottom w:val="none" w:sz="0" w:space="0" w:color="auto"/>
                    <w:right w:val="none" w:sz="0" w:space="0" w:color="auto"/>
                  </w:divBdr>
                </w:div>
                <w:div w:id="1098599794">
                  <w:marLeft w:val="0"/>
                  <w:marRight w:val="0"/>
                  <w:marTop w:val="0"/>
                  <w:marBottom w:val="0"/>
                  <w:divBdr>
                    <w:top w:val="none" w:sz="0" w:space="0" w:color="auto"/>
                    <w:left w:val="none" w:sz="0" w:space="0" w:color="auto"/>
                    <w:bottom w:val="none" w:sz="0" w:space="0" w:color="auto"/>
                    <w:right w:val="none" w:sz="0" w:space="0" w:color="auto"/>
                  </w:divBdr>
                </w:div>
                <w:div w:id="799299714">
                  <w:marLeft w:val="0"/>
                  <w:marRight w:val="0"/>
                  <w:marTop w:val="0"/>
                  <w:marBottom w:val="0"/>
                  <w:divBdr>
                    <w:top w:val="none" w:sz="0" w:space="0" w:color="auto"/>
                    <w:left w:val="none" w:sz="0" w:space="0" w:color="auto"/>
                    <w:bottom w:val="none" w:sz="0" w:space="0" w:color="auto"/>
                    <w:right w:val="none" w:sz="0" w:space="0" w:color="auto"/>
                  </w:divBdr>
                </w:div>
                <w:div w:id="101148423">
                  <w:marLeft w:val="0"/>
                  <w:marRight w:val="0"/>
                  <w:marTop w:val="0"/>
                  <w:marBottom w:val="0"/>
                  <w:divBdr>
                    <w:top w:val="none" w:sz="0" w:space="0" w:color="auto"/>
                    <w:left w:val="none" w:sz="0" w:space="0" w:color="auto"/>
                    <w:bottom w:val="none" w:sz="0" w:space="0" w:color="auto"/>
                    <w:right w:val="none" w:sz="0" w:space="0" w:color="auto"/>
                  </w:divBdr>
                </w:div>
                <w:div w:id="235097459">
                  <w:marLeft w:val="0"/>
                  <w:marRight w:val="0"/>
                  <w:marTop w:val="0"/>
                  <w:marBottom w:val="0"/>
                  <w:divBdr>
                    <w:top w:val="none" w:sz="0" w:space="0" w:color="auto"/>
                    <w:left w:val="none" w:sz="0" w:space="0" w:color="auto"/>
                    <w:bottom w:val="none" w:sz="0" w:space="0" w:color="auto"/>
                    <w:right w:val="none" w:sz="0" w:space="0" w:color="auto"/>
                  </w:divBdr>
                </w:div>
                <w:div w:id="1240745926">
                  <w:marLeft w:val="0"/>
                  <w:marRight w:val="0"/>
                  <w:marTop w:val="0"/>
                  <w:marBottom w:val="0"/>
                  <w:divBdr>
                    <w:top w:val="none" w:sz="0" w:space="0" w:color="auto"/>
                    <w:left w:val="none" w:sz="0" w:space="0" w:color="auto"/>
                    <w:bottom w:val="none" w:sz="0" w:space="0" w:color="auto"/>
                    <w:right w:val="none" w:sz="0" w:space="0" w:color="auto"/>
                  </w:divBdr>
                </w:div>
                <w:div w:id="122381745">
                  <w:marLeft w:val="0"/>
                  <w:marRight w:val="0"/>
                  <w:marTop w:val="0"/>
                  <w:marBottom w:val="0"/>
                  <w:divBdr>
                    <w:top w:val="none" w:sz="0" w:space="0" w:color="auto"/>
                    <w:left w:val="none" w:sz="0" w:space="0" w:color="auto"/>
                    <w:bottom w:val="none" w:sz="0" w:space="0" w:color="auto"/>
                    <w:right w:val="none" w:sz="0" w:space="0" w:color="auto"/>
                  </w:divBdr>
                </w:div>
                <w:div w:id="1271090277">
                  <w:marLeft w:val="0"/>
                  <w:marRight w:val="0"/>
                  <w:marTop w:val="0"/>
                  <w:marBottom w:val="0"/>
                  <w:divBdr>
                    <w:top w:val="none" w:sz="0" w:space="0" w:color="auto"/>
                    <w:left w:val="none" w:sz="0" w:space="0" w:color="auto"/>
                    <w:bottom w:val="none" w:sz="0" w:space="0" w:color="auto"/>
                    <w:right w:val="none" w:sz="0" w:space="0" w:color="auto"/>
                  </w:divBdr>
                </w:div>
                <w:div w:id="1846481302">
                  <w:marLeft w:val="0"/>
                  <w:marRight w:val="0"/>
                  <w:marTop w:val="0"/>
                  <w:marBottom w:val="0"/>
                  <w:divBdr>
                    <w:top w:val="none" w:sz="0" w:space="0" w:color="auto"/>
                    <w:left w:val="none" w:sz="0" w:space="0" w:color="auto"/>
                    <w:bottom w:val="none" w:sz="0" w:space="0" w:color="auto"/>
                    <w:right w:val="none" w:sz="0" w:space="0" w:color="auto"/>
                  </w:divBdr>
                </w:div>
                <w:div w:id="654988962">
                  <w:marLeft w:val="0"/>
                  <w:marRight w:val="0"/>
                  <w:marTop w:val="0"/>
                  <w:marBottom w:val="0"/>
                  <w:divBdr>
                    <w:top w:val="none" w:sz="0" w:space="0" w:color="auto"/>
                    <w:left w:val="none" w:sz="0" w:space="0" w:color="auto"/>
                    <w:bottom w:val="none" w:sz="0" w:space="0" w:color="auto"/>
                    <w:right w:val="none" w:sz="0" w:space="0" w:color="auto"/>
                  </w:divBdr>
                </w:div>
                <w:div w:id="910582302">
                  <w:marLeft w:val="0"/>
                  <w:marRight w:val="0"/>
                  <w:marTop w:val="0"/>
                  <w:marBottom w:val="0"/>
                  <w:divBdr>
                    <w:top w:val="none" w:sz="0" w:space="0" w:color="auto"/>
                    <w:left w:val="none" w:sz="0" w:space="0" w:color="auto"/>
                    <w:bottom w:val="none" w:sz="0" w:space="0" w:color="auto"/>
                    <w:right w:val="none" w:sz="0" w:space="0" w:color="auto"/>
                  </w:divBdr>
                </w:div>
                <w:div w:id="1273393390">
                  <w:marLeft w:val="0"/>
                  <w:marRight w:val="0"/>
                  <w:marTop w:val="0"/>
                  <w:marBottom w:val="0"/>
                  <w:divBdr>
                    <w:top w:val="none" w:sz="0" w:space="0" w:color="auto"/>
                    <w:left w:val="none" w:sz="0" w:space="0" w:color="auto"/>
                    <w:bottom w:val="none" w:sz="0" w:space="0" w:color="auto"/>
                    <w:right w:val="none" w:sz="0" w:space="0" w:color="auto"/>
                  </w:divBdr>
                </w:div>
                <w:div w:id="227039234">
                  <w:marLeft w:val="0"/>
                  <w:marRight w:val="0"/>
                  <w:marTop w:val="0"/>
                  <w:marBottom w:val="0"/>
                  <w:divBdr>
                    <w:top w:val="none" w:sz="0" w:space="0" w:color="auto"/>
                    <w:left w:val="none" w:sz="0" w:space="0" w:color="auto"/>
                    <w:bottom w:val="none" w:sz="0" w:space="0" w:color="auto"/>
                    <w:right w:val="none" w:sz="0" w:space="0" w:color="auto"/>
                  </w:divBdr>
                </w:div>
                <w:div w:id="1712000622">
                  <w:marLeft w:val="0"/>
                  <w:marRight w:val="0"/>
                  <w:marTop w:val="0"/>
                  <w:marBottom w:val="0"/>
                  <w:divBdr>
                    <w:top w:val="none" w:sz="0" w:space="0" w:color="auto"/>
                    <w:left w:val="none" w:sz="0" w:space="0" w:color="auto"/>
                    <w:bottom w:val="none" w:sz="0" w:space="0" w:color="auto"/>
                    <w:right w:val="none" w:sz="0" w:space="0" w:color="auto"/>
                  </w:divBdr>
                </w:div>
                <w:div w:id="523325960">
                  <w:marLeft w:val="0"/>
                  <w:marRight w:val="0"/>
                  <w:marTop w:val="0"/>
                  <w:marBottom w:val="0"/>
                  <w:divBdr>
                    <w:top w:val="none" w:sz="0" w:space="0" w:color="auto"/>
                    <w:left w:val="none" w:sz="0" w:space="0" w:color="auto"/>
                    <w:bottom w:val="none" w:sz="0" w:space="0" w:color="auto"/>
                    <w:right w:val="none" w:sz="0" w:space="0" w:color="auto"/>
                  </w:divBdr>
                </w:div>
                <w:div w:id="428620953">
                  <w:marLeft w:val="0"/>
                  <w:marRight w:val="0"/>
                  <w:marTop w:val="0"/>
                  <w:marBottom w:val="0"/>
                  <w:divBdr>
                    <w:top w:val="none" w:sz="0" w:space="0" w:color="auto"/>
                    <w:left w:val="none" w:sz="0" w:space="0" w:color="auto"/>
                    <w:bottom w:val="none" w:sz="0" w:space="0" w:color="auto"/>
                    <w:right w:val="none" w:sz="0" w:space="0" w:color="auto"/>
                  </w:divBdr>
                </w:div>
                <w:div w:id="1556308982">
                  <w:marLeft w:val="0"/>
                  <w:marRight w:val="0"/>
                  <w:marTop w:val="0"/>
                  <w:marBottom w:val="0"/>
                  <w:divBdr>
                    <w:top w:val="none" w:sz="0" w:space="0" w:color="auto"/>
                    <w:left w:val="none" w:sz="0" w:space="0" w:color="auto"/>
                    <w:bottom w:val="none" w:sz="0" w:space="0" w:color="auto"/>
                    <w:right w:val="none" w:sz="0" w:space="0" w:color="auto"/>
                  </w:divBdr>
                </w:div>
                <w:div w:id="1752651855">
                  <w:marLeft w:val="0"/>
                  <w:marRight w:val="0"/>
                  <w:marTop w:val="0"/>
                  <w:marBottom w:val="0"/>
                  <w:divBdr>
                    <w:top w:val="none" w:sz="0" w:space="0" w:color="auto"/>
                    <w:left w:val="none" w:sz="0" w:space="0" w:color="auto"/>
                    <w:bottom w:val="none" w:sz="0" w:space="0" w:color="auto"/>
                    <w:right w:val="none" w:sz="0" w:space="0" w:color="auto"/>
                  </w:divBdr>
                </w:div>
                <w:div w:id="1657413741">
                  <w:marLeft w:val="0"/>
                  <w:marRight w:val="0"/>
                  <w:marTop w:val="0"/>
                  <w:marBottom w:val="0"/>
                  <w:divBdr>
                    <w:top w:val="none" w:sz="0" w:space="0" w:color="auto"/>
                    <w:left w:val="none" w:sz="0" w:space="0" w:color="auto"/>
                    <w:bottom w:val="none" w:sz="0" w:space="0" w:color="auto"/>
                    <w:right w:val="none" w:sz="0" w:space="0" w:color="auto"/>
                  </w:divBdr>
                </w:div>
                <w:div w:id="119880567">
                  <w:marLeft w:val="0"/>
                  <w:marRight w:val="0"/>
                  <w:marTop w:val="0"/>
                  <w:marBottom w:val="0"/>
                  <w:divBdr>
                    <w:top w:val="none" w:sz="0" w:space="0" w:color="auto"/>
                    <w:left w:val="none" w:sz="0" w:space="0" w:color="auto"/>
                    <w:bottom w:val="none" w:sz="0" w:space="0" w:color="auto"/>
                    <w:right w:val="none" w:sz="0" w:space="0" w:color="auto"/>
                  </w:divBdr>
                </w:div>
                <w:div w:id="1846747846">
                  <w:marLeft w:val="0"/>
                  <w:marRight w:val="0"/>
                  <w:marTop w:val="0"/>
                  <w:marBottom w:val="0"/>
                  <w:divBdr>
                    <w:top w:val="none" w:sz="0" w:space="0" w:color="auto"/>
                    <w:left w:val="none" w:sz="0" w:space="0" w:color="auto"/>
                    <w:bottom w:val="none" w:sz="0" w:space="0" w:color="auto"/>
                    <w:right w:val="none" w:sz="0" w:space="0" w:color="auto"/>
                  </w:divBdr>
                </w:div>
                <w:div w:id="12681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316909">
      <w:bodyDiv w:val="1"/>
      <w:marLeft w:val="0"/>
      <w:marRight w:val="0"/>
      <w:marTop w:val="0"/>
      <w:marBottom w:val="0"/>
      <w:divBdr>
        <w:top w:val="none" w:sz="0" w:space="0" w:color="auto"/>
        <w:left w:val="none" w:sz="0" w:space="0" w:color="auto"/>
        <w:bottom w:val="none" w:sz="0" w:space="0" w:color="auto"/>
        <w:right w:val="none" w:sz="0" w:space="0" w:color="auto"/>
      </w:divBdr>
    </w:div>
    <w:div w:id="1248223688">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926064090">
          <w:marLeft w:val="0"/>
          <w:marRight w:val="0"/>
          <w:marTop w:val="0"/>
          <w:marBottom w:val="0"/>
          <w:divBdr>
            <w:top w:val="none" w:sz="0" w:space="0" w:color="auto"/>
            <w:left w:val="none" w:sz="0" w:space="0" w:color="auto"/>
            <w:bottom w:val="none" w:sz="0" w:space="0" w:color="auto"/>
            <w:right w:val="none" w:sz="0" w:space="0" w:color="auto"/>
          </w:divBdr>
          <w:divsChild>
            <w:div w:id="1978601973">
              <w:marLeft w:val="0"/>
              <w:marRight w:val="0"/>
              <w:marTop w:val="0"/>
              <w:marBottom w:val="0"/>
              <w:divBdr>
                <w:top w:val="none" w:sz="0" w:space="0" w:color="auto"/>
                <w:left w:val="none" w:sz="0" w:space="0" w:color="auto"/>
                <w:bottom w:val="none" w:sz="0" w:space="0" w:color="auto"/>
                <w:right w:val="none" w:sz="0" w:space="0" w:color="auto"/>
              </w:divBdr>
              <w:divsChild>
                <w:div w:id="1511872288">
                  <w:marLeft w:val="0"/>
                  <w:marRight w:val="0"/>
                  <w:marTop w:val="0"/>
                  <w:marBottom w:val="0"/>
                  <w:divBdr>
                    <w:top w:val="none" w:sz="0" w:space="0" w:color="auto"/>
                    <w:left w:val="none" w:sz="0" w:space="0" w:color="auto"/>
                    <w:bottom w:val="none" w:sz="0" w:space="0" w:color="auto"/>
                    <w:right w:val="none" w:sz="0" w:space="0" w:color="auto"/>
                  </w:divBdr>
                </w:div>
                <w:div w:id="357585486">
                  <w:marLeft w:val="0"/>
                  <w:marRight w:val="0"/>
                  <w:marTop w:val="0"/>
                  <w:marBottom w:val="0"/>
                  <w:divBdr>
                    <w:top w:val="none" w:sz="0" w:space="0" w:color="auto"/>
                    <w:left w:val="none" w:sz="0" w:space="0" w:color="auto"/>
                    <w:bottom w:val="none" w:sz="0" w:space="0" w:color="auto"/>
                    <w:right w:val="none" w:sz="0" w:space="0" w:color="auto"/>
                  </w:divBdr>
                </w:div>
                <w:div w:id="697313275">
                  <w:marLeft w:val="0"/>
                  <w:marRight w:val="0"/>
                  <w:marTop w:val="0"/>
                  <w:marBottom w:val="0"/>
                  <w:divBdr>
                    <w:top w:val="none" w:sz="0" w:space="0" w:color="auto"/>
                    <w:left w:val="none" w:sz="0" w:space="0" w:color="auto"/>
                    <w:bottom w:val="none" w:sz="0" w:space="0" w:color="auto"/>
                    <w:right w:val="none" w:sz="0" w:space="0" w:color="auto"/>
                  </w:divBdr>
                </w:div>
                <w:div w:id="1239753543">
                  <w:marLeft w:val="0"/>
                  <w:marRight w:val="0"/>
                  <w:marTop w:val="0"/>
                  <w:marBottom w:val="0"/>
                  <w:divBdr>
                    <w:top w:val="none" w:sz="0" w:space="0" w:color="auto"/>
                    <w:left w:val="none" w:sz="0" w:space="0" w:color="auto"/>
                    <w:bottom w:val="none" w:sz="0" w:space="0" w:color="auto"/>
                    <w:right w:val="none" w:sz="0" w:space="0" w:color="auto"/>
                  </w:divBdr>
                </w:div>
                <w:div w:id="1988823369">
                  <w:marLeft w:val="0"/>
                  <w:marRight w:val="0"/>
                  <w:marTop w:val="0"/>
                  <w:marBottom w:val="0"/>
                  <w:divBdr>
                    <w:top w:val="none" w:sz="0" w:space="0" w:color="auto"/>
                    <w:left w:val="none" w:sz="0" w:space="0" w:color="auto"/>
                    <w:bottom w:val="none" w:sz="0" w:space="0" w:color="auto"/>
                    <w:right w:val="none" w:sz="0" w:space="0" w:color="auto"/>
                  </w:divBdr>
                </w:div>
                <w:div w:id="1253277515">
                  <w:marLeft w:val="0"/>
                  <w:marRight w:val="0"/>
                  <w:marTop w:val="0"/>
                  <w:marBottom w:val="0"/>
                  <w:divBdr>
                    <w:top w:val="none" w:sz="0" w:space="0" w:color="auto"/>
                    <w:left w:val="none" w:sz="0" w:space="0" w:color="auto"/>
                    <w:bottom w:val="none" w:sz="0" w:space="0" w:color="auto"/>
                    <w:right w:val="none" w:sz="0" w:space="0" w:color="auto"/>
                  </w:divBdr>
                </w:div>
                <w:div w:id="2379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642119">
      <w:bodyDiv w:val="1"/>
      <w:marLeft w:val="0"/>
      <w:marRight w:val="0"/>
      <w:marTop w:val="0"/>
      <w:marBottom w:val="0"/>
      <w:divBdr>
        <w:top w:val="none" w:sz="0" w:space="0" w:color="auto"/>
        <w:left w:val="none" w:sz="0" w:space="0" w:color="auto"/>
        <w:bottom w:val="none" w:sz="0" w:space="0" w:color="auto"/>
        <w:right w:val="none" w:sz="0" w:space="0" w:color="auto"/>
      </w:divBdr>
    </w:div>
    <w:div w:id="1377899330">
      <w:bodyDiv w:val="1"/>
      <w:marLeft w:val="0"/>
      <w:marRight w:val="0"/>
      <w:marTop w:val="0"/>
      <w:marBottom w:val="0"/>
      <w:divBdr>
        <w:top w:val="none" w:sz="0" w:space="0" w:color="auto"/>
        <w:left w:val="none" w:sz="0" w:space="0" w:color="auto"/>
        <w:bottom w:val="none" w:sz="0" w:space="0" w:color="auto"/>
        <w:right w:val="none" w:sz="0" w:space="0" w:color="auto"/>
      </w:divBdr>
    </w:div>
    <w:div w:id="1398935816">
      <w:bodyDiv w:val="1"/>
      <w:marLeft w:val="0"/>
      <w:marRight w:val="0"/>
      <w:marTop w:val="0"/>
      <w:marBottom w:val="0"/>
      <w:divBdr>
        <w:top w:val="none" w:sz="0" w:space="0" w:color="auto"/>
        <w:left w:val="none" w:sz="0" w:space="0" w:color="auto"/>
        <w:bottom w:val="none" w:sz="0" w:space="0" w:color="auto"/>
        <w:right w:val="none" w:sz="0" w:space="0" w:color="auto"/>
      </w:divBdr>
      <w:divsChild>
        <w:div w:id="159009757">
          <w:marLeft w:val="547"/>
          <w:marRight w:val="0"/>
          <w:marTop w:val="130"/>
          <w:marBottom w:val="0"/>
          <w:divBdr>
            <w:top w:val="none" w:sz="0" w:space="0" w:color="auto"/>
            <w:left w:val="none" w:sz="0" w:space="0" w:color="auto"/>
            <w:bottom w:val="none" w:sz="0" w:space="0" w:color="auto"/>
            <w:right w:val="none" w:sz="0" w:space="0" w:color="auto"/>
          </w:divBdr>
        </w:div>
        <w:div w:id="2035156343">
          <w:marLeft w:val="1166"/>
          <w:marRight w:val="0"/>
          <w:marTop w:val="115"/>
          <w:marBottom w:val="0"/>
          <w:divBdr>
            <w:top w:val="none" w:sz="0" w:space="0" w:color="auto"/>
            <w:left w:val="none" w:sz="0" w:space="0" w:color="auto"/>
            <w:bottom w:val="none" w:sz="0" w:space="0" w:color="auto"/>
            <w:right w:val="none" w:sz="0" w:space="0" w:color="auto"/>
          </w:divBdr>
        </w:div>
        <w:div w:id="585652752">
          <w:marLeft w:val="1166"/>
          <w:marRight w:val="0"/>
          <w:marTop w:val="115"/>
          <w:marBottom w:val="0"/>
          <w:divBdr>
            <w:top w:val="none" w:sz="0" w:space="0" w:color="auto"/>
            <w:left w:val="none" w:sz="0" w:space="0" w:color="auto"/>
            <w:bottom w:val="none" w:sz="0" w:space="0" w:color="auto"/>
            <w:right w:val="none" w:sz="0" w:space="0" w:color="auto"/>
          </w:divBdr>
        </w:div>
        <w:div w:id="840388772">
          <w:marLeft w:val="1166"/>
          <w:marRight w:val="0"/>
          <w:marTop w:val="115"/>
          <w:marBottom w:val="0"/>
          <w:divBdr>
            <w:top w:val="none" w:sz="0" w:space="0" w:color="auto"/>
            <w:left w:val="none" w:sz="0" w:space="0" w:color="auto"/>
            <w:bottom w:val="none" w:sz="0" w:space="0" w:color="auto"/>
            <w:right w:val="none" w:sz="0" w:space="0" w:color="auto"/>
          </w:divBdr>
        </w:div>
        <w:div w:id="1356149448">
          <w:marLeft w:val="1166"/>
          <w:marRight w:val="0"/>
          <w:marTop w:val="115"/>
          <w:marBottom w:val="0"/>
          <w:divBdr>
            <w:top w:val="none" w:sz="0" w:space="0" w:color="auto"/>
            <w:left w:val="none" w:sz="0" w:space="0" w:color="auto"/>
            <w:bottom w:val="none" w:sz="0" w:space="0" w:color="auto"/>
            <w:right w:val="none" w:sz="0" w:space="0" w:color="auto"/>
          </w:divBdr>
        </w:div>
        <w:div w:id="1163424720">
          <w:marLeft w:val="1166"/>
          <w:marRight w:val="0"/>
          <w:marTop w:val="115"/>
          <w:marBottom w:val="0"/>
          <w:divBdr>
            <w:top w:val="none" w:sz="0" w:space="0" w:color="auto"/>
            <w:left w:val="none" w:sz="0" w:space="0" w:color="auto"/>
            <w:bottom w:val="none" w:sz="0" w:space="0" w:color="auto"/>
            <w:right w:val="none" w:sz="0" w:space="0" w:color="auto"/>
          </w:divBdr>
        </w:div>
        <w:div w:id="210045878">
          <w:marLeft w:val="1166"/>
          <w:marRight w:val="0"/>
          <w:marTop w:val="115"/>
          <w:marBottom w:val="0"/>
          <w:divBdr>
            <w:top w:val="none" w:sz="0" w:space="0" w:color="auto"/>
            <w:left w:val="none" w:sz="0" w:space="0" w:color="auto"/>
            <w:bottom w:val="none" w:sz="0" w:space="0" w:color="auto"/>
            <w:right w:val="none" w:sz="0" w:space="0" w:color="auto"/>
          </w:divBdr>
        </w:div>
      </w:divsChild>
    </w:div>
    <w:div w:id="1420711038">
      <w:bodyDiv w:val="1"/>
      <w:marLeft w:val="0"/>
      <w:marRight w:val="0"/>
      <w:marTop w:val="0"/>
      <w:marBottom w:val="0"/>
      <w:divBdr>
        <w:top w:val="none" w:sz="0" w:space="0" w:color="auto"/>
        <w:left w:val="none" w:sz="0" w:space="0" w:color="auto"/>
        <w:bottom w:val="none" w:sz="0" w:space="0" w:color="auto"/>
        <w:right w:val="none" w:sz="0" w:space="0" w:color="auto"/>
      </w:divBdr>
    </w:div>
    <w:div w:id="1577476125">
      <w:bodyDiv w:val="1"/>
      <w:marLeft w:val="150"/>
      <w:marRight w:val="150"/>
      <w:marTop w:val="150"/>
      <w:marBottom w:val="150"/>
      <w:divBdr>
        <w:top w:val="none" w:sz="0" w:space="0" w:color="auto"/>
        <w:left w:val="none" w:sz="0" w:space="0" w:color="auto"/>
        <w:bottom w:val="none" w:sz="0" w:space="0" w:color="auto"/>
        <w:right w:val="none" w:sz="0" w:space="0" w:color="auto"/>
      </w:divBdr>
      <w:divsChild>
        <w:div w:id="276958281">
          <w:marLeft w:val="0"/>
          <w:marRight w:val="0"/>
          <w:marTop w:val="0"/>
          <w:marBottom w:val="0"/>
          <w:divBdr>
            <w:top w:val="none" w:sz="0" w:space="0" w:color="auto"/>
            <w:left w:val="none" w:sz="0" w:space="0" w:color="auto"/>
            <w:bottom w:val="none" w:sz="0" w:space="0" w:color="auto"/>
            <w:right w:val="none" w:sz="0" w:space="0" w:color="auto"/>
          </w:divBdr>
          <w:divsChild>
            <w:div w:id="1302998233">
              <w:marLeft w:val="0"/>
              <w:marRight w:val="0"/>
              <w:marTop w:val="0"/>
              <w:marBottom w:val="0"/>
              <w:divBdr>
                <w:top w:val="none" w:sz="0" w:space="0" w:color="auto"/>
                <w:left w:val="none" w:sz="0" w:space="0" w:color="auto"/>
                <w:bottom w:val="none" w:sz="0" w:space="0" w:color="auto"/>
                <w:right w:val="none" w:sz="0" w:space="0" w:color="auto"/>
              </w:divBdr>
              <w:divsChild>
                <w:div w:id="864249979">
                  <w:marLeft w:val="0"/>
                  <w:marRight w:val="0"/>
                  <w:marTop w:val="0"/>
                  <w:marBottom w:val="0"/>
                  <w:divBdr>
                    <w:top w:val="none" w:sz="0" w:space="0" w:color="auto"/>
                    <w:left w:val="none" w:sz="0" w:space="0" w:color="auto"/>
                    <w:bottom w:val="none" w:sz="0" w:space="0" w:color="auto"/>
                    <w:right w:val="none" w:sz="0" w:space="0" w:color="auto"/>
                  </w:divBdr>
                  <w:divsChild>
                    <w:div w:id="1407146051">
                      <w:marLeft w:val="0"/>
                      <w:marRight w:val="0"/>
                      <w:marTop w:val="0"/>
                      <w:marBottom w:val="0"/>
                      <w:divBdr>
                        <w:top w:val="none" w:sz="0" w:space="0" w:color="auto"/>
                        <w:left w:val="none" w:sz="0" w:space="0" w:color="auto"/>
                        <w:bottom w:val="none" w:sz="0" w:space="0" w:color="auto"/>
                        <w:right w:val="none" w:sz="0" w:space="0" w:color="auto"/>
                      </w:divBdr>
                      <w:divsChild>
                        <w:div w:id="390732335">
                          <w:marLeft w:val="0"/>
                          <w:marRight w:val="0"/>
                          <w:marTop w:val="0"/>
                          <w:marBottom w:val="0"/>
                          <w:divBdr>
                            <w:top w:val="none" w:sz="0" w:space="0" w:color="auto"/>
                            <w:left w:val="none" w:sz="0" w:space="0" w:color="auto"/>
                            <w:bottom w:val="none" w:sz="0" w:space="0" w:color="auto"/>
                            <w:right w:val="none" w:sz="0" w:space="0" w:color="auto"/>
                          </w:divBdr>
                        </w:div>
                        <w:div w:id="42908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4503812">
      <w:bodyDiv w:val="1"/>
      <w:marLeft w:val="0"/>
      <w:marRight w:val="0"/>
      <w:marTop w:val="0"/>
      <w:marBottom w:val="0"/>
      <w:divBdr>
        <w:top w:val="none" w:sz="0" w:space="0" w:color="auto"/>
        <w:left w:val="none" w:sz="0" w:space="0" w:color="auto"/>
        <w:bottom w:val="none" w:sz="0" w:space="0" w:color="auto"/>
        <w:right w:val="none" w:sz="0" w:space="0" w:color="auto"/>
      </w:divBdr>
      <w:divsChild>
        <w:div w:id="1020427826">
          <w:marLeft w:val="547"/>
          <w:marRight w:val="0"/>
          <w:marTop w:val="144"/>
          <w:marBottom w:val="0"/>
          <w:divBdr>
            <w:top w:val="none" w:sz="0" w:space="0" w:color="auto"/>
            <w:left w:val="none" w:sz="0" w:space="0" w:color="auto"/>
            <w:bottom w:val="none" w:sz="0" w:space="0" w:color="auto"/>
            <w:right w:val="none" w:sz="0" w:space="0" w:color="auto"/>
          </w:divBdr>
        </w:div>
        <w:div w:id="26490446">
          <w:marLeft w:val="547"/>
          <w:marRight w:val="0"/>
          <w:marTop w:val="144"/>
          <w:marBottom w:val="0"/>
          <w:divBdr>
            <w:top w:val="none" w:sz="0" w:space="0" w:color="auto"/>
            <w:left w:val="none" w:sz="0" w:space="0" w:color="auto"/>
            <w:bottom w:val="none" w:sz="0" w:space="0" w:color="auto"/>
            <w:right w:val="none" w:sz="0" w:space="0" w:color="auto"/>
          </w:divBdr>
        </w:div>
        <w:div w:id="1713915775">
          <w:marLeft w:val="547"/>
          <w:marRight w:val="0"/>
          <w:marTop w:val="144"/>
          <w:marBottom w:val="0"/>
          <w:divBdr>
            <w:top w:val="none" w:sz="0" w:space="0" w:color="auto"/>
            <w:left w:val="none" w:sz="0" w:space="0" w:color="auto"/>
            <w:bottom w:val="none" w:sz="0" w:space="0" w:color="auto"/>
            <w:right w:val="none" w:sz="0" w:space="0" w:color="auto"/>
          </w:divBdr>
        </w:div>
      </w:divsChild>
    </w:div>
    <w:div w:id="1707559473">
      <w:bodyDiv w:val="1"/>
      <w:marLeft w:val="0"/>
      <w:marRight w:val="0"/>
      <w:marTop w:val="0"/>
      <w:marBottom w:val="0"/>
      <w:divBdr>
        <w:top w:val="none" w:sz="0" w:space="0" w:color="auto"/>
        <w:left w:val="none" w:sz="0" w:space="0" w:color="auto"/>
        <w:bottom w:val="none" w:sz="0" w:space="0" w:color="auto"/>
        <w:right w:val="none" w:sz="0" w:space="0" w:color="auto"/>
      </w:divBdr>
    </w:div>
    <w:div w:id="1734233443">
      <w:bodyDiv w:val="1"/>
      <w:marLeft w:val="0"/>
      <w:marRight w:val="0"/>
      <w:marTop w:val="0"/>
      <w:marBottom w:val="0"/>
      <w:divBdr>
        <w:top w:val="none" w:sz="0" w:space="0" w:color="auto"/>
        <w:left w:val="none" w:sz="0" w:space="0" w:color="auto"/>
        <w:bottom w:val="none" w:sz="0" w:space="0" w:color="auto"/>
        <w:right w:val="none" w:sz="0" w:space="0" w:color="auto"/>
      </w:divBdr>
      <w:divsChild>
        <w:div w:id="1243836907">
          <w:marLeft w:val="0"/>
          <w:marRight w:val="0"/>
          <w:marTop w:val="150"/>
          <w:marBottom w:val="0"/>
          <w:divBdr>
            <w:top w:val="none" w:sz="0" w:space="0" w:color="auto"/>
            <w:left w:val="none" w:sz="0" w:space="0" w:color="auto"/>
            <w:bottom w:val="none" w:sz="0" w:space="0" w:color="auto"/>
            <w:right w:val="none" w:sz="0" w:space="0" w:color="auto"/>
          </w:divBdr>
          <w:divsChild>
            <w:div w:id="1646424811">
              <w:marLeft w:val="0"/>
              <w:marRight w:val="0"/>
              <w:marTop w:val="0"/>
              <w:marBottom w:val="0"/>
              <w:divBdr>
                <w:top w:val="none" w:sz="0" w:space="0" w:color="auto"/>
                <w:left w:val="none" w:sz="0" w:space="0" w:color="auto"/>
                <w:bottom w:val="none" w:sz="0" w:space="0" w:color="auto"/>
                <w:right w:val="none" w:sz="0" w:space="0" w:color="auto"/>
              </w:divBdr>
              <w:divsChild>
                <w:div w:id="930820559">
                  <w:marLeft w:val="0"/>
                  <w:marRight w:val="0"/>
                  <w:marTop w:val="0"/>
                  <w:marBottom w:val="0"/>
                  <w:divBdr>
                    <w:top w:val="none" w:sz="0" w:space="0" w:color="auto"/>
                    <w:left w:val="none" w:sz="0" w:space="0" w:color="auto"/>
                    <w:bottom w:val="none" w:sz="0" w:space="0" w:color="auto"/>
                    <w:right w:val="none" w:sz="0" w:space="0" w:color="auto"/>
                  </w:divBdr>
                  <w:divsChild>
                    <w:div w:id="1798644203">
                      <w:marLeft w:val="0"/>
                      <w:marRight w:val="0"/>
                      <w:marTop w:val="168"/>
                      <w:marBottom w:val="0"/>
                      <w:divBdr>
                        <w:top w:val="none" w:sz="0" w:space="0" w:color="auto"/>
                        <w:left w:val="none" w:sz="0" w:space="0" w:color="auto"/>
                        <w:bottom w:val="none" w:sz="0" w:space="0" w:color="auto"/>
                        <w:right w:val="none" w:sz="0" w:space="0" w:color="auto"/>
                      </w:divBdr>
                      <w:divsChild>
                        <w:div w:id="92268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6352">
      <w:bodyDiv w:val="1"/>
      <w:marLeft w:val="0"/>
      <w:marRight w:val="0"/>
      <w:marTop w:val="0"/>
      <w:marBottom w:val="0"/>
      <w:divBdr>
        <w:top w:val="none" w:sz="0" w:space="0" w:color="auto"/>
        <w:left w:val="none" w:sz="0" w:space="0" w:color="auto"/>
        <w:bottom w:val="none" w:sz="0" w:space="0" w:color="auto"/>
        <w:right w:val="none" w:sz="0" w:space="0" w:color="auto"/>
      </w:divBdr>
    </w:div>
    <w:div w:id="1932421564">
      <w:bodyDiv w:val="1"/>
      <w:marLeft w:val="0"/>
      <w:marRight w:val="0"/>
      <w:marTop w:val="0"/>
      <w:marBottom w:val="0"/>
      <w:divBdr>
        <w:top w:val="none" w:sz="0" w:space="0" w:color="auto"/>
        <w:left w:val="none" w:sz="0" w:space="0" w:color="auto"/>
        <w:bottom w:val="none" w:sz="0" w:space="0" w:color="auto"/>
        <w:right w:val="none" w:sz="0" w:space="0" w:color="auto"/>
      </w:divBdr>
    </w:div>
    <w:div w:id="1939750572">
      <w:bodyDiv w:val="1"/>
      <w:marLeft w:val="0"/>
      <w:marRight w:val="0"/>
      <w:marTop w:val="0"/>
      <w:marBottom w:val="0"/>
      <w:divBdr>
        <w:top w:val="none" w:sz="0" w:space="0" w:color="auto"/>
        <w:left w:val="none" w:sz="0" w:space="0" w:color="auto"/>
        <w:bottom w:val="none" w:sz="0" w:space="0" w:color="auto"/>
        <w:right w:val="none" w:sz="0" w:space="0" w:color="auto"/>
      </w:divBdr>
    </w:div>
    <w:div w:id="1979142590">
      <w:bodyDiv w:val="1"/>
      <w:marLeft w:val="0"/>
      <w:marRight w:val="0"/>
      <w:marTop w:val="0"/>
      <w:marBottom w:val="0"/>
      <w:divBdr>
        <w:top w:val="none" w:sz="0" w:space="0" w:color="auto"/>
        <w:left w:val="none" w:sz="0" w:space="0" w:color="auto"/>
        <w:bottom w:val="none" w:sz="0" w:space="0" w:color="auto"/>
        <w:right w:val="none" w:sz="0" w:space="0" w:color="auto"/>
      </w:divBdr>
    </w:div>
    <w:div w:id="2024476703">
      <w:bodyDiv w:val="1"/>
      <w:marLeft w:val="0"/>
      <w:marRight w:val="0"/>
      <w:marTop w:val="0"/>
      <w:marBottom w:val="0"/>
      <w:divBdr>
        <w:top w:val="none" w:sz="0" w:space="0" w:color="auto"/>
        <w:left w:val="none" w:sz="0" w:space="0" w:color="auto"/>
        <w:bottom w:val="none" w:sz="0" w:space="0" w:color="auto"/>
        <w:right w:val="none" w:sz="0" w:space="0" w:color="auto"/>
      </w:divBdr>
      <w:divsChild>
        <w:div w:id="1158225049">
          <w:marLeft w:val="547"/>
          <w:marRight w:val="0"/>
          <w:marTop w:val="130"/>
          <w:marBottom w:val="0"/>
          <w:divBdr>
            <w:top w:val="none" w:sz="0" w:space="0" w:color="auto"/>
            <w:left w:val="none" w:sz="0" w:space="0" w:color="auto"/>
            <w:bottom w:val="none" w:sz="0" w:space="0" w:color="auto"/>
            <w:right w:val="none" w:sz="0" w:space="0" w:color="auto"/>
          </w:divBdr>
        </w:div>
        <w:div w:id="762456644">
          <w:marLeft w:val="1166"/>
          <w:marRight w:val="0"/>
          <w:marTop w:val="115"/>
          <w:marBottom w:val="0"/>
          <w:divBdr>
            <w:top w:val="none" w:sz="0" w:space="0" w:color="auto"/>
            <w:left w:val="none" w:sz="0" w:space="0" w:color="auto"/>
            <w:bottom w:val="none" w:sz="0" w:space="0" w:color="auto"/>
            <w:right w:val="none" w:sz="0" w:space="0" w:color="auto"/>
          </w:divBdr>
        </w:div>
        <w:div w:id="371348738">
          <w:marLeft w:val="1166"/>
          <w:marRight w:val="0"/>
          <w:marTop w:val="115"/>
          <w:marBottom w:val="0"/>
          <w:divBdr>
            <w:top w:val="none" w:sz="0" w:space="0" w:color="auto"/>
            <w:left w:val="none" w:sz="0" w:space="0" w:color="auto"/>
            <w:bottom w:val="none" w:sz="0" w:space="0" w:color="auto"/>
            <w:right w:val="none" w:sz="0" w:space="0" w:color="auto"/>
          </w:divBdr>
        </w:div>
        <w:div w:id="1060714386">
          <w:marLeft w:val="1166"/>
          <w:marRight w:val="0"/>
          <w:marTop w:val="115"/>
          <w:marBottom w:val="0"/>
          <w:divBdr>
            <w:top w:val="none" w:sz="0" w:space="0" w:color="auto"/>
            <w:left w:val="none" w:sz="0" w:space="0" w:color="auto"/>
            <w:bottom w:val="none" w:sz="0" w:space="0" w:color="auto"/>
            <w:right w:val="none" w:sz="0" w:space="0" w:color="auto"/>
          </w:divBdr>
        </w:div>
      </w:divsChild>
    </w:div>
    <w:div w:id="2051686409">
      <w:bodyDiv w:val="1"/>
      <w:marLeft w:val="0"/>
      <w:marRight w:val="0"/>
      <w:marTop w:val="0"/>
      <w:marBottom w:val="0"/>
      <w:divBdr>
        <w:top w:val="none" w:sz="0" w:space="0" w:color="auto"/>
        <w:left w:val="none" w:sz="0" w:space="0" w:color="auto"/>
        <w:bottom w:val="none" w:sz="0" w:space="0" w:color="auto"/>
        <w:right w:val="none" w:sz="0" w:space="0" w:color="auto"/>
      </w:divBdr>
      <w:divsChild>
        <w:div w:id="1050154005">
          <w:marLeft w:val="547"/>
          <w:marRight w:val="0"/>
          <w:marTop w:val="154"/>
          <w:marBottom w:val="0"/>
          <w:divBdr>
            <w:top w:val="none" w:sz="0" w:space="0" w:color="auto"/>
            <w:left w:val="none" w:sz="0" w:space="0" w:color="auto"/>
            <w:bottom w:val="none" w:sz="0" w:space="0" w:color="auto"/>
            <w:right w:val="none" w:sz="0" w:space="0" w:color="auto"/>
          </w:divBdr>
        </w:div>
      </w:divsChild>
    </w:div>
    <w:div w:id="2053188204">
      <w:bodyDiv w:val="1"/>
      <w:marLeft w:val="0"/>
      <w:marRight w:val="0"/>
      <w:marTop w:val="0"/>
      <w:marBottom w:val="0"/>
      <w:divBdr>
        <w:top w:val="none" w:sz="0" w:space="0" w:color="auto"/>
        <w:left w:val="none" w:sz="0" w:space="0" w:color="auto"/>
        <w:bottom w:val="none" w:sz="0" w:space="0" w:color="auto"/>
        <w:right w:val="none" w:sz="0" w:space="0" w:color="auto"/>
      </w:divBdr>
      <w:divsChild>
        <w:div w:id="1115103695">
          <w:marLeft w:val="547"/>
          <w:marRight w:val="0"/>
          <w:marTop w:val="130"/>
          <w:marBottom w:val="0"/>
          <w:divBdr>
            <w:top w:val="none" w:sz="0" w:space="0" w:color="auto"/>
            <w:left w:val="none" w:sz="0" w:space="0" w:color="auto"/>
            <w:bottom w:val="none" w:sz="0" w:space="0" w:color="auto"/>
            <w:right w:val="none" w:sz="0" w:space="0" w:color="auto"/>
          </w:divBdr>
        </w:div>
        <w:div w:id="546381462">
          <w:marLeft w:val="547"/>
          <w:marRight w:val="0"/>
          <w:marTop w:val="130"/>
          <w:marBottom w:val="0"/>
          <w:divBdr>
            <w:top w:val="none" w:sz="0" w:space="0" w:color="auto"/>
            <w:left w:val="none" w:sz="0" w:space="0" w:color="auto"/>
            <w:bottom w:val="none" w:sz="0" w:space="0" w:color="auto"/>
            <w:right w:val="none" w:sz="0" w:space="0" w:color="auto"/>
          </w:divBdr>
        </w:div>
        <w:div w:id="24646330">
          <w:marLeft w:val="547"/>
          <w:marRight w:val="0"/>
          <w:marTop w:val="130"/>
          <w:marBottom w:val="0"/>
          <w:divBdr>
            <w:top w:val="none" w:sz="0" w:space="0" w:color="auto"/>
            <w:left w:val="none" w:sz="0" w:space="0" w:color="auto"/>
            <w:bottom w:val="none" w:sz="0" w:space="0" w:color="auto"/>
            <w:right w:val="none" w:sz="0" w:space="0" w:color="auto"/>
          </w:divBdr>
        </w:div>
        <w:div w:id="1825732646">
          <w:marLeft w:val="547"/>
          <w:marRight w:val="0"/>
          <w:marTop w:val="13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5.xml"/><Relationship Id="rId26" Type="http://schemas.openxmlformats.org/officeDocument/2006/relationships/chart" Target="charts/chart12.xml"/><Relationship Id="rId39" Type="http://schemas.openxmlformats.org/officeDocument/2006/relationships/chart" Target="charts/chart24.xml"/><Relationship Id="rId21" Type="http://schemas.openxmlformats.org/officeDocument/2006/relationships/chart" Target="charts/chart7.xml"/><Relationship Id="rId34" Type="http://schemas.openxmlformats.org/officeDocument/2006/relationships/chart" Target="charts/chart19.xml"/><Relationship Id="rId42" Type="http://schemas.openxmlformats.org/officeDocument/2006/relationships/chart" Target="charts/chart27.xml"/><Relationship Id="rId47" Type="http://schemas.openxmlformats.org/officeDocument/2006/relationships/chart" Target="charts/chart32.xml"/><Relationship Id="rId50" Type="http://schemas.openxmlformats.org/officeDocument/2006/relationships/chart" Target="charts/chart35.xml"/><Relationship Id="rId55" Type="http://schemas.openxmlformats.org/officeDocument/2006/relationships/hyperlink" Target="http://www.cancerhelp.org.uk/type/bowel-cancer/about/risks/high-risk-groups-for-bowel-caner" TargetMode="External"/><Relationship Id="rId63" Type="http://schemas.openxmlformats.org/officeDocument/2006/relationships/hyperlink" Target="http://www.ic.nhs.uk/webfiles/Popgeog/PCO%20User%20Guide.pdf"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chart" Target="charts/chart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0.xml"/><Relationship Id="rId32" Type="http://schemas.openxmlformats.org/officeDocument/2006/relationships/chart" Target="charts/chart17.xml"/><Relationship Id="rId37" Type="http://schemas.openxmlformats.org/officeDocument/2006/relationships/chart" Target="charts/chart22.xml"/><Relationship Id="rId40" Type="http://schemas.openxmlformats.org/officeDocument/2006/relationships/chart" Target="charts/chart25.xml"/><Relationship Id="rId45" Type="http://schemas.openxmlformats.org/officeDocument/2006/relationships/chart" Target="charts/chart30.xml"/><Relationship Id="rId53" Type="http://schemas.openxmlformats.org/officeDocument/2006/relationships/chart" Target="charts/chart38.xml"/><Relationship Id="rId58" Type="http://schemas.openxmlformats.org/officeDocument/2006/relationships/hyperlink" Target="http://thorax.bmj.com/search?author1=D+N+Leitch&amp;sortspec=date&amp;submit=Submit" TargetMode="External"/><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9.xml"/><Relationship Id="rId28" Type="http://schemas.openxmlformats.org/officeDocument/2006/relationships/chart" Target="charts/chart13.xml"/><Relationship Id="rId36" Type="http://schemas.openxmlformats.org/officeDocument/2006/relationships/chart" Target="charts/chart21.xml"/><Relationship Id="rId49" Type="http://schemas.openxmlformats.org/officeDocument/2006/relationships/chart" Target="charts/chart34.xml"/><Relationship Id="rId57" Type="http://schemas.openxmlformats.org/officeDocument/2006/relationships/hyperlink" Target="http://thorax.bmj.com/search?author1=R+N+Harrison&amp;sortspec=date&amp;submit=Submit" TargetMode="External"/><Relationship Id="rId61" Type="http://schemas.openxmlformats.org/officeDocument/2006/relationships/hyperlink" Target="http://library.ncin.org.uk/equalities/100319atlases/Ethnicity/atlas.html?select=5LG&amp;indicator=i0" TargetMode="External"/><Relationship Id="rId10" Type="http://schemas.openxmlformats.org/officeDocument/2006/relationships/image" Target="media/image3.png"/><Relationship Id="rId19" Type="http://schemas.openxmlformats.org/officeDocument/2006/relationships/chart" Target="charts/chart6.xml"/><Relationship Id="rId31" Type="http://schemas.openxmlformats.org/officeDocument/2006/relationships/chart" Target="charts/chart16.xml"/><Relationship Id="rId44" Type="http://schemas.openxmlformats.org/officeDocument/2006/relationships/chart" Target="charts/chart29.xml"/><Relationship Id="rId52" Type="http://schemas.openxmlformats.org/officeDocument/2006/relationships/chart" Target="charts/chart37.xml"/><Relationship Id="rId60" Type="http://schemas.openxmlformats.org/officeDocument/2006/relationships/hyperlink" Target="http://library.ncin.org.uk/equalities/atlases_1_0/Colorectal/atlas.html?select=5LG&amp;indicator=i0" TargetMode="External"/><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emf"/><Relationship Id="rId22" Type="http://schemas.openxmlformats.org/officeDocument/2006/relationships/chart" Target="charts/chart8.xml"/><Relationship Id="rId27" Type="http://schemas.openxmlformats.org/officeDocument/2006/relationships/hyperlink" Target="http://info.cancerresearchuk.org/cancerstats/incidence/prevalence/ssLINK/news-survival" TargetMode="External"/><Relationship Id="rId30" Type="http://schemas.openxmlformats.org/officeDocument/2006/relationships/chart" Target="charts/chart15.xml"/><Relationship Id="rId35" Type="http://schemas.openxmlformats.org/officeDocument/2006/relationships/chart" Target="charts/chart20.xml"/><Relationship Id="rId43" Type="http://schemas.openxmlformats.org/officeDocument/2006/relationships/chart" Target="charts/chart28.xml"/><Relationship Id="rId48" Type="http://schemas.openxmlformats.org/officeDocument/2006/relationships/chart" Target="charts/chart33.xml"/><Relationship Id="rId56" Type="http://schemas.openxmlformats.org/officeDocument/2006/relationships/hyperlink" Target="http://thorax.bmj.com/search?author1=A+Imperatori&amp;sortspec=date&amp;submit=Submit" TargetMode="External"/><Relationship Id="rId64" Type="http://schemas.openxmlformats.org/officeDocument/2006/relationships/hyperlink" Target="http://www.ic.nhs.uk/statistics-and-data-collections/health-and-lifestyles/alcohol/statistics-on-alcohol-england-2009-%5Bns%5D" TargetMode="External"/><Relationship Id="rId8" Type="http://schemas.openxmlformats.org/officeDocument/2006/relationships/image" Target="media/image1.jpeg"/><Relationship Id="rId51" Type="http://schemas.openxmlformats.org/officeDocument/2006/relationships/chart" Target="charts/chart36.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image" Target="media/image6.jpeg"/><Relationship Id="rId25" Type="http://schemas.openxmlformats.org/officeDocument/2006/relationships/chart" Target="charts/chart11.xml"/><Relationship Id="rId33" Type="http://schemas.openxmlformats.org/officeDocument/2006/relationships/chart" Target="charts/chart18.xml"/><Relationship Id="rId38" Type="http://schemas.openxmlformats.org/officeDocument/2006/relationships/chart" Target="charts/chart23.xml"/><Relationship Id="rId46" Type="http://schemas.openxmlformats.org/officeDocument/2006/relationships/chart" Target="charts/chart31.xml"/><Relationship Id="rId59" Type="http://schemas.openxmlformats.org/officeDocument/2006/relationships/hyperlink" Target="https://www.cancertoolkit.co.uk" TargetMode="External"/><Relationship Id="rId67" Type="http://schemas.openxmlformats.org/officeDocument/2006/relationships/fontTable" Target="fontTable.xml"/><Relationship Id="rId20" Type="http://schemas.openxmlformats.org/officeDocument/2006/relationships/hyperlink" Target="http://www.sportengland.org/research/active_people_survey.aspx" TargetMode="External"/><Relationship Id="rId41" Type="http://schemas.openxmlformats.org/officeDocument/2006/relationships/chart" Target="charts/chart26.xml"/><Relationship Id="rId54" Type="http://schemas.openxmlformats.org/officeDocument/2006/relationships/chart" Target="charts/chart39.xml"/><Relationship Id="rId62" Type="http://schemas.openxmlformats.org/officeDocument/2006/relationships/hyperlink" Target="http://www.statistics.gov.uk/StatBase/Product.asp?vlnk=7720&amp;Pos=5&amp;ColRank=1&amp;Rank=160"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pctfsu01\c-users\dthomas\Dyfed\Work\Data\Obesity\Model%20Based%20Estimates\Model%20Based%20Estimates%20of%20Fruit%20and%20Vegetable%20consumption%20(adults)%20for%20PCOs%20in%20England,%202003-2005.xls"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wpctfsu01\c-users\dthomas\Dyfed\Work\Data\Cancer\SWL_Colorectal_Cancer.xls"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wpctfsu01\c-users\dthomas\Dyfed\Work\Data\Cancer\SWL_Colorectal_Cancer.xls"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file:///\\wpctfsu01\c-users\dthomas\Dyfed\Work\Data\Cancer\SWL_Colorectal_Cancer.xls"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file:///\\wpctfsu01\c-users\dthomas\Dyfed\Work\Projects\Cancer\Staging\Data\2003-2007%20Cancer%20Staging%20Incidence.xls"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oleObject" Target="file:///\\wpctfsu01\c-users\dthomas\Dyfed\Work\Projects\Cancer\Staging\Data\2003-2007%20Cancer%20Staging%20Incidence.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wpctfsu01\c-users\dthomas\Dyfed\Work\Projects\Cancer\Staging\Data\2003-2007%20Cancer%20Staging%20Incidence.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wpctfsu01\c-users\dthomas\Dyfed\Work\Projects\Cancer\Staging\Data\2003-2007%20Cancer%20Staging%20Incidence.xls" TargetMode="External"/></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oleObject" Target="file:///\\wpctfsu01\c-users\dthomas\Dyfed\Work\Data\Cancer\Survival%20Rates\1-year%20relative%20Survival%20Rates%20PCT%202002-06.xlsx" TargetMode="External"/></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16.xml"/><Relationship Id="rId1" Type="http://schemas.openxmlformats.org/officeDocument/2006/relationships/oleObject" Target="file:///\\wpctfsu01\c-users\dthomas\Dyfed\Work\Data\Cancer\Survival%20Rates\1-year%20relative%20Survival%20Rates%20Chapter4%20of%20TCR%20Annual%20Report%202007%20CANCER%20NETWORKS.xls" TargetMode="External"/></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17.xml"/><Relationship Id="rId1" Type="http://schemas.openxmlformats.org/officeDocument/2006/relationships/oleObject" Target="file:///\\wpctfsu01\c-users\dthomas\Dyfed\Work\Data\Cancer\Survival%20Rates\1-year%20relative%20Survival%20Rates%20Chapter4%20of%20TCR%20Annual%20Report%202007%20CANCER%20NETWORKS.xls"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pctfsu01\c-users\dthomas\Dyfed\Work\Data\Alcohol\Model%20Based%20Estimates%20of%20Binge%20Drinking%20(adults)%20for%20LAs%20in%20England%20(2003-2005).xls" TargetMode="External"/></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18.xml"/><Relationship Id="rId1" Type="http://schemas.openxmlformats.org/officeDocument/2006/relationships/oleObject" Target="file:///\\wpctfsu01\c-users\dthomas\Dyfed\Work\Data\Cancer\Survival%20Rates\5-Year%20Survival%20Rates%20PCT%201998-2002.xlsx" TargetMode="External"/></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19.xml"/><Relationship Id="rId1" Type="http://schemas.openxmlformats.org/officeDocument/2006/relationships/oleObject" Target="file:///\\wpctfsu01\c-users\dthomas\Dyfed\Work\Data\Cancer\Survival%20Rates\5-Year%20Survival%20Rates%20CANCER%20NETWORKS.xlsx" TargetMode="External"/></Relationships>
</file>

<file path=word/charts/_rels/chart22.xml.rels><?xml version="1.0" encoding="UTF-8" standalone="yes"?>
<Relationships xmlns="http://schemas.openxmlformats.org/package/2006/relationships"><Relationship Id="rId2" Type="http://schemas.openxmlformats.org/officeDocument/2006/relationships/chartUserShapes" Target="../drawings/drawing20.xml"/><Relationship Id="rId1" Type="http://schemas.openxmlformats.org/officeDocument/2006/relationships/oleObject" Target="file:///\\wpctfsu01\c-users\dthomas\Dyfed\Work\Data\Cancer\SWL_Colorectal_Cancer.xls" TargetMode="External"/></Relationships>
</file>

<file path=word/charts/_rels/chart23.xml.rels><?xml version="1.0" encoding="UTF-8" standalone="yes"?>
<Relationships xmlns="http://schemas.openxmlformats.org/package/2006/relationships"><Relationship Id="rId2" Type="http://schemas.openxmlformats.org/officeDocument/2006/relationships/chartUserShapes" Target="../drawings/drawing21.xml"/><Relationship Id="rId1" Type="http://schemas.openxmlformats.org/officeDocument/2006/relationships/oleObject" Target="file:///\\wpctfsu01\c-users\dthomas\Dyfed\Work\Data\Cancer\SWL_Colorectal_Cancer.xls" TargetMode="External"/></Relationships>
</file>

<file path=word/charts/_rels/chart24.xml.rels><?xml version="1.0" encoding="UTF-8" standalone="yes"?>
<Relationships xmlns="http://schemas.openxmlformats.org/package/2006/relationships"><Relationship Id="rId2" Type="http://schemas.openxmlformats.org/officeDocument/2006/relationships/chartUserShapes" Target="../drawings/drawing22.xml"/><Relationship Id="rId1" Type="http://schemas.openxmlformats.org/officeDocument/2006/relationships/oleObject" Target="file:///\\wpctfsu01\c-users\dthomas\Dyfed\Work\Data\Cancer\SWL_Colorectal_Cancer.xls" TargetMode="External"/></Relationships>
</file>

<file path=word/charts/_rels/chart25.xml.rels><?xml version="1.0" encoding="UTF-8" standalone="yes"?>
<Relationships xmlns="http://schemas.openxmlformats.org/package/2006/relationships"><Relationship Id="rId2" Type="http://schemas.openxmlformats.org/officeDocument/2006/relationships/chartUserShapes" Target="../drawings/drawing23.xml"/><Relationship Id="rId1" Type="http://schemas.openxmlformats.org/officeDocument/2006/relationships/oleObject" Target="file:///\\wpctfsu01\c-users\dthomas\Dyfed\Work\Data\Cancer\SWL_Colorectal_Cancer.xls" TargetMode="External"/></Relationships>
</file>

<file path=word/charts/_rels/chart26.xml.rels><?xml version="1.0" encoding="UTF-8" standalone="yes"?>
<Relationships xmlns="http://schemas.openxmlformats.org/package/2006/relationships"><Relationship Id="rId2" Type="http://schemas.openxmlformats.org/officeDocument/2006/relationships/chartUserShapes" Target="../drawings/drawing24.xml"/><Relationship Id="rId1" Type="http://schemas.openxmlformats.org/officeDocument/2006/relationships/oleObject" Target="file:///\\wpctfsu01\c-users\dthomas\Dyfed\Work\Data\Cancer\Practice%20Profiles%20CCT\Practice%20profile%20-%205K9%20-%20CROYDON%20PCT(1).xls" TargetMode="External"/></Relationships>
</file>

<file path=word/charts/_rels/chart27.xml.rels><?xml version="1.0" encoding="UTF-8" standalone="yes"?>
<Relationships xmlns="http://schemas.openxmlformats.org/package/2006/relationships"><Relationship Id="rId2" Type="http://schemas.openxmlformats.org/officeDocument/2006/relationships/chartUserShapes" Target="../drawings/drawing25.xml"/><Relationship Id="rId1" Type="http://schemas.openxmlformats.org/officeDocument/2006/relationships/oleObject" Target="file:///\\wpctfsu01\c-users\dthomas\Dyfed\Work\Data\Cancer\Practice%20Profiles%20CCT\Practice%20profile%20-%205A5%20-%20KINGSTON%20PCT.xls" TargetMode="External"/></Relationships>
</file>

<file path=word/charts/_rels/chart28.xml.rels><?xml version="1.0" encoding="UTF-8" standalone="yes"?>
<Relationships xmlns="http://schemas.openxmlformats.org/package/2006/relationships"><Relationship Id="rId2" Type="http://schemas.openxmlformats.org/officeDocument/2006/relationships/chartUserShapes" Target="../drawings/drawing26.xml"/><Relationship Id="rId1" Type="http://schemas.openxmlformats.org/officeDocument/2006/relationships/oleObject" Target="file:///\\wpctfsu01\c-users\dthomas\Dyfed\Work\Data\Cancer\Practice%20Profiles%20CCT\Practice%20profile%20-%205M6%20-%20RICHMOND%20AND%20TWICKENHAM%20PCT.xls" TargetMode="External"/></Relationships>
</file>

<file path=word/charts/_rels/chart29.xml.rels><?xml version="1.0" encoding="UTF-8" standalone="yes"?>
<Relationships xmlns="http://schemas.openxmlformats.org/package/2006/relationships"><Relationship Id="rId2" Type="http://schemas.openxmlformats.org/officeDocument/2006/relationships/chartUserShapes" Target="../drawings/drawing27.xml"/><Relationship Id="rId1" Type="http://schemas.openxmlformats.org/officeDocument/2006/relationships/oleObject" Target="file:///\\wpctfsu01\c-users\dthomas\Dyfed\Work\Data\Cancer\Practice%20Profiles%20CCT\Practice%20profile%20-%205M7%20-%20SUTTON%20AND%20MERTON%20PCT.xls"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pctfsu01\c-users\dthomas\Dyfed\Work\Data\Smoking\Model%20Based%20Estimates%20of%20Current%20Smoking%20(adults)%20for%20LAs%20in%20England%20(2003-2005).xls" TargetMode="External"/></Relationships>
</file>

<file path=word/charts/_rels/chart30.xml.rels><?xml version="1.0" encoding="UTF-8" standalone="yes"?>
<Relationships xmlns="http://schemas.openxmlformats.org/package/2006/relationships"><Relationship Id="rId2" Type="http://schemas.openxmlformats.org/officeDocument/2006/relationships/chartUserShapes" Target="../drawings/drawing28.xml"/><Relationship Id="rId1" Type="http://schemas.openxmlformats.org/officeDocument/2006/relationships/oleObject" Target="file:///\\wpctfsu01\c-users\dthomas\Dyfed\Work\Data\Cancer\Practice%20Profiles%20CCT\Practice%20profile%20-%205LG%20-%20WANDSWORTH%20PCT(1).xls" TargetMode="External"/></Relationships>
</file>

<file path=word/charts/_rels/chart31.xml.rels><?xml version="1.0" encoding="UTF-8" standalone="yes"?>
<Relationships xmlns="http://schemas.openxmlformats.org/package/2006/relationships"><Relationship Id="rId2" Type="http://schemas.openxmlformats.org/officeDocument/2006/relationships/chartUserShapes" Target="../drawings/drawing29.xml"/><Relationship Id="rId1" Type="http://schemas.openxmlformats.org/officeDocument/2006/relationships/oleObject" Target="file:///\\wpctfsu01\c-users\dthomas\Dyfed\Work\Data\Cancer\Emergency%20Admissions\Emergency%20Bed%20Days.xlsx" TargetMode="External"/></Relationships>
</file>

<file path=word/charts/_rels/chart32.xml.rels><?xml version="1.0" encoding="UTF-8" standalone="yes"?>
<Relationships xmlns="http://schemas.openxmlformats.org/package/2006/relationships"><Relationship Id="rId2" Type="http://schemas.openxmlformats.org/officeDocument/2006/relationships/chartUserShapes" Target="../drawings/drawing30.xml"/><Relationship Id="rId1" Type="http://schemas.openxmlformats.org/officeDocument/2006/relationships/oleObject" Target="file:///\\wpctfsu01\c-users\dthomas\Dyfed\Work\Data\Cancer\Practice%20Profiles%20CCT\Practice%20profile%20-%205K9%20-%20CROYDON%20PCT(1).xls" TargetMode="External"/></Relationships>
</file>

<file path=word/charts/_rels/chart33.xml.rels><?xml version="1.0" encoding="UTF-8" standalone="yes"?>
<Relationships xmlns="http://schemas.openxmlformats.org/package/2006/relationships"><Relationship Id="rId2" Type="http://schemas.openxmlformats.org/officeDocument/2006/relationships/chartUserShapes" Target="../drawings/drawing31.xml"/><Relationship Id="rId1" Type="http://schemas.openxmlformats.org/officeDocument/2006/relationships/oleObject" Target="file:///\\wpctfsu01\c-users\dthomas\Dyfed\Work\Data\Cancer\Practice%20Profiles%20CCT\Practice%20profile%20-%205A5%20-%20KINGSTON%20PCT.xls" TargetMode="External"/></Relationships>
</file>

<file path=word/charts/_rels/chart34.xml.rels><?xml version="1.0" encoding="UTF-8" standalone="yes"?>
<Relationships xmlns="http://schemas.openxmlformats.org/package/2006/relationships"><Relationship Id="rId2" Type="http://schemas.openxmlformats.org/officeDocument/2006/relationships/chartUserShapes" Target="../drawings/drawing32.xml"/><Relationship Id="rId1" Type="http://schemas.openxmlformats.org/officeDocument/2006/relationships/oleObject" Target="file:///\\wpctfsu01\c-users\dthomas\Dyfed\Work\Data\Cancer\Practice%20Profiles%20CCT\Practice%20profile%20-%205M6%20-%20RICHMOND%20AND%20TWICKENHAM%20PCT.xls" TargetMode="External"/></Relationships>
</file>

<file path=word/charts/_rels/chart35.xml.rels><?xml version="1.0" encoding="UTF-8" standalone="yes"?>
<Relationships xmlns="http://schemas.openxmlformats.org/package/2006/relationships"><Relationship Id="rId2" Type="http://schemas.openxmlformats.org/officeDocument/2006/relationships/chartUserShapes" Target="../drawings/drawing33.xml"/><Relationship Id="rId1" Type="http://schemas.openxmlformats.org/officeDocument/2006/relationships/oleObject" Target="file:///\\wpctfsu01\c-users\dthomas\Dyfed\Work\Data\Cancer\Practice%20Profiles%20CCT\Practice%20profile%20-%205M7%20-%20SUTTON%20AND%20MERTON%20PCT.xls" TargetMode="External"/></Relationships>
</file>

<file path=word/charts/_rels/chart36.xml.rels><?xml version="1.0" encoding="UTF-8" standalone="yes"?>
<Relationships xmlns="http://schemas.openxmlformats.org/package/2006/relationships"><Relationship Id="rId2" Type="http://schemas.openxmlformats.org/officeDocument/2006/relationships/chartUserShapes" Target="../drawings/drawing34.xml"/><Relationship Id="rId1" Type="http://schemas.openxmlformats.org/officeDocument/2006/relationships/oleObject" Target="file:///\\wpctfsu01\c-users\dthomas\Dyfed\Work\Data\Cancer\Practice%20Profiles%20CCT\Practice%20profile%20-%205LG%20-%20WANDSWORTH%20PCT(1).xls" TargetMode="External"/></Relationships>
</file>

<file path=word/charts/_rels/chart37.xml.rels><?xml version="1.0" encoding="UTF-8" standalone="yes"?>
<Relationships xmlns="http://schemas.openxmlformats.org/package/2006/relationships"><Relationship Id="rId2" Type="http://schemas.openxmlformats.org/officeDocument/2006/relationships/chartUserShapes" Target="../drawings/drawing35.xml"/><Relationship Id="rId1" Type="http://schemas.openxmlformats.org/officeDocument/2006/relationships/oleObject" Target="file:///\\wpctfsu01\c-users\dthomas\Dyfed\Work\Data\Cancer\2WW%20Referrals\Non-urgent%20referrals.xlsx" TargetMode="External"/></Relationships>
</file>

<file path=word/charts/_rels/chart38.xml.rels><?xml version="1.0" encoding="UTF-8" standalone="yes"?>
<Relationships xmlns="http://schemas.openxmlformats.org/package/2006/relationships"><Relationship Id="rId2" Type="http://schemas.openxmlformats.org/officeDocument/2006/relationships/chartUserShapes" Target="../drawings/drawing36.xml"/><Relationship Id="rId1" Type="http://schemas.openxmlformats.org/officeDocument/2006/relationships/oleObject" Target="file:///\\wpctfsu01\c-users\dthomas\Dyfed\Work\Data\Cancer\2WW%20Referrals\Hit%20Rate%202WW.xlsx" TargetMode="External"/></Relationships>
</file>

<file path=word/charts/_rels/chart39.xml.rels><?xml version="1.0" encoding="UTF-8" standalone="yes"?>
<Relationships xmlns="http://schemas.openxmlformats.org/package/2006/relationships"><Relationship Id="rId2" Type="http://schemas.openxmlformats.org/officeDocument/2006/relationships/oleObject" Target="file:///C:\Documents%20and%20Settings\apasha\Local%20Settings\Temporary%20Internet%20Files\Content.Outlook\3AAN5S9Q\PC%20Audit%20pathway%20intervals%202.xlsx"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pctfsu01\c-users\dthomas\Dyfed\Work\Data\Cancer\Deprivation\Incidence%20By%20Deprivation.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pctfsu01\c-users\dthomas\Dyfed\Work\Data\Population\GLA\2009\gla-popproj-2009-round-londonplan-sya-borough.xls"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wpctfsu01\c-users\dthomas\Dyfed\Work\Projects\Cancer\SWLCN\Needs%20Assessment\Data\RiskFactors\Ethnicity.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wpctfsu01\c-users\dthomas\Dyfed\Work\Projects\Cancer\SWLCN\Needs%20Assessment\Data\Physical_Activity.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wpctfsu01\c-users\dthomas\Dyfed\Work\Data\Cancer\Screening\Bowel\Uptake%20June%202009_0.xls"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wpctfsu01\c-users\dthomas\Dyfed\Work\Data\Cancer\SWL_Colorectal_Cancer.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0441247002398173"/>
          <c:y val="5.0925925925926145E-2"/>
          <c:w val="0.86920863309353813"/>
          <c:h val="0.79372703412073564"/>
        </c:manualLayout>
      </c:layout>
      <c:barChart>
        <c:barDir val="col"/>
        <c:grouping val="clustered"/>
        <c:ser>
          <c:idx val="0"/>
          <c:order val="0"/>
          <c:spPr>
            <a:solidFill>
              <a:prstClr val="white">
                <a:lumMod val="75000"/>
              </a:prstClr>
            </a:solidFill>
            <a:ln>
              <a:solidFill>
                <a:schemeClr val="tx1"/>
              </a:solidFill>
            </a:ln>
          </c:spPr>
          <c:errBars>
            <c:errBarType val="both"/>
            <c:errValType val="cust"/>
            <c:plus>
              <c:numRef>
                <c:f>(London!$F$23,London!$F$30,London!$F$32,London!$F$34,London!$F$40,London!$J$7,London!$F$7)</c:f>
                <c:numCache>
                  <c:formatCode>General</c:formatCode>
                  <c:ptCount val="7"/>
                  <c:pt idx="0">
                    <c:v>2.2852400000000017</c:v>
                  </c:pt>
                  <c:pt idx="1">
                    <c:v>2.1024499999999717</c:v>
                  </c:pt>
                  <c:pt idx="2">
                    <c:v>3.5726999999999967</c:v>
                  </c:pt>
                  <c:pt idx="3">
                    <c:v>3.2748399999999975</c:v>
                  </c:pt>
                  <c:pt idx="4">
                    <c:v>3.4883999999999986</c:v>
                  </c:pt>
                  <c:pt idx="5">
                    <c:v>2.1702540000000035</c:v>
                  </c:pt>
                  <c:pt idx="6">
                    <c:v>0.7062919999999977</c:v>
                  </c:pt>
                </c:numCache>
              </c:numRef>
            </c:plus>
            <c:minus>
              <c:numRef>
                <c:f>(London!$G$23,London!$G$30,London!$G$32,London!$G$34,London!$G$40,London!$K$7,London!$G$7)</c:f>
                <c:numCache>
                  <c:formatCode>General</c:formatCode>
                  <c:ptCount val="7"/>
                  <c:pt idx="0">
                    <c:v>2.1736199999999997</c:v>
                  </c:pt>
                  <c:pt idx="1">
                    <c:v>2.0218499999999748</c:v>
                  </c:pt>
                  <c:pt idx="2">
                    <c:v>3.3552599999999622</c:v>
                  </c:pt>
                  <c:pt idx="3">
                    <c:v>3.1173900000000052</c:v>
                  </c:pt>
                  <c:pt idx="4">
                    <c:v>3.352219999999972</c:v>
                  </c:pt>
                  <c:pt idx="5">
                    <c:v>2.170255999999974</c:v>
                  </c:pt>
                  <c:pt idx="6">
                    <c:v>0.70629800000000065</c:v>
                  </c:pt>
                </c:numCache>
              </c:numRef>
            </c:minus>
          </c:errBars>
          <c:cat>
            <c:strRef>
              <c:f>(London!$B$23,London!$B$30,London!$B$32,London!$B$34,London!$B$40,London!$I$6,London!$E$5)</c:f>
              <c:strCache>
                <c:ptCount val="7"/>
                <c:pt idx="0">
                  <c:v>Croydon</c:v>
                </c:pt>
                <c:pt idx="1">
                  <c:v>Sutton &amp; Merton</c:v>
                </c:pt>
                <c:pt idx="2">
                  <c:v>Wandsworth</c:v>
                </c:pt>
                <c:pt idx="3">
                  <c:v>Kingston</c:v>
                </c:pt>
                <c:pt idx="4">
                  <c:v>Richmond &amp; Twickenham</c:v>
                </c:pt>
                <c:pt idx="5">
                  <c:v>London</c:v>
                </c:pt>
                <c:pt idx="6">
                  <c:v>England</c:v>
                </c:pt>
              </c:strCache>
            </c:strRef>
          </c:cat>
          <c:val>
            <c:numRef>
              <c:f>(London!$E$23,London!$E$30,London!$E$32,London!$E$34,London!$E$40,London!$L$6,London!$H$6)</c:f>
              <c:numCache>
                <c:formatCode>#.0</c:formatCode>
                <c:ptCount val="7"/>
                <c:pt idx="0">
                  <c:v>27.849419999999803</c:v>
                </c:pt>
                <c:pt idx="1">
                  <c:v>30.41377</c:v>
                </c:pt>
                <c:pt idx="2">
                  <c:v>31.06955</c:v>
                </c:pt>
                <c:pt idx="3">
                  <c:v>33.394710000000003</c:v>
                </c:pt>
                <c:pt idx="4">
                  <c:v>37.062130000000444</c:v>
                </c:pt>
                <c:pt idx="5" formatCode="0.0">
                  <c:v>29.719245999999988</c:v>
                </c:pt>
                <c:pt idx="6" formatCode="0.0">
                  <c:v>26.271498000000001</c:v>
                </c:pt>
              </c:numCache>
            </c:numRef>
          </c:val>
        </c:ser>
        <c:axId val="123930880"/>
        <c:axId val="132133248"/>
      </c:barChart>
      <c:catAx>
        <c:axId val="123930880"/>
        <c:scaling>
          <c:orientation val="minMax"/>
        </c:scaling>
        <c:axPos val="b"/>
        <c:numFmt formatCode="General" sourceLinked="1"/>
        <c:tickLblPos val="nextTo"/>
        <c:txPr>
          <a:bodyPr/>
          <a:lstStyle/>
          <a:p>
            <a:pPr>
              <a:defRPr sz="600"/>
            </a:pPr>
            <a:endParaRPr lang="en-US"/>
          </a:p>
        </c:txPr>
        <c:crossAx val="132133248"/>
        <c:crosses val="autoZero"/>
        <c:auto val="1"/>
        <c:lblAlgn val="ctr"/>
        <c:lblOffset val="100"/>
      </c:catAx>
      <c:valAx>
        <c:axId val="132133248"/>
        <c:scaling>
          <c:orientation val="minMax"/>
        </c:scaling>
        <c:axPos val="l"/>
        <c:majorGridlines/>
        <c:numFmt formatCode="#.0" sourceLinked="1"/>
        <c:tickLblPos val="nextTo"/>
        <c:txPr>
          <a:bodyPr/>
          <a:lstStyle/>
          <a:p>
            <a:pPr>
              <a:defRPr sz="600"/>
            </a:pPr>
            <a:endParaRPr lang="en-US"/>
          </a:p>
        </c:txPr>
        <c:crossAx val="123930880"/>
        <c:crosses val="autoZero"/>
        <c:crossBetween val="between"/>
      </c:valAx>
    </c:plotArea>
    <c:plotVisOnly val="1"/>
    <c:dispBlanksAs val="gap"/>
  </c:chart>
  <c:spPr>
    <a:ln>
      <a:solidFill>
        <a:schemeClr val="bg1"/>
      </a:solidFill>
    </a:ln>
  </c:spPr>
  <c:externalData r:id="rId1"/>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4609168611644158"/>
          <c:y val="3.233498384649678E-2"/>
          <c:w val="0.84277948787990065"/>
          <c:h val="0.77581974128233955"/>
        </c:manualLayout>
      </c:layout>
      <c:barChart>
        <c:barDir val="col"/>
        <c:grouping val="clustered"/>
        <c:ser>
          <c:idx val="0"/>
          <c:order val="0"/>
          <c:tx>
            <c:v>Male</c:v>
          </c:tx>
          <c:spPr>
            <a:solidFill>
              <a:schemeClr val="bg1">
                <a:lumMod val="75000"/>
              </a:schemeClr>
            </a:solidFill>
            <a:ln>
              <a:solidFill>
                <a:schemeClr val="tx1"/>
              </a:solidFill>
            </a:ln>
          </c:spPr>
          <c:errBars>
            <c:errBarType val="both"/>
            <c:errValType val="cust"/>
            <c:plus>
              <c:numRef>
                <c:f>'All Incidence CRC 2004-06'!$H$21:$H$27</c:f>
                <c:numCache>
                  <c:formatCode>General</c:formatCode>
                  <c:ptCount val="7"/>
                  <c:pt idx="0">
                    <c:v>9.3400000000000034</c:v>
                  </c:pt>
                  <c:pt idx="1">
                    <c:v>8.1700000000000017</c:v>
                  </c:pt>
                  <c:pt idx="2">
                    <c:v>6.1200000000000045</c:v>
                  </c:pt>
                  <c:pt idx="3">
                    <c:v>8.94</c:v>
                  </c:pt>
                  <c:pt idx="4">
                    <c:v>6.5499999999999972</c:v>
                  </c:pt>
                  <c:pt idx="5">
                    <c:v>1.3900000000000021</c:v>
                  </c:pt>
                  <c:pt idx="6">
                    <c:v>0.5</c:v>
                  </c:pt>
                </c:numCache>
              </c:numRef>
            </c:plus>
            <c:minus>
              <c:numRef>
                <c:f>'All Incidence CRC 2004-06'!$G$21:$G$27</c:f>
                <c:numCache>
                  <c:formatCode>General</c:formatCode>
                  <c:ptCount val="7"/>
                  <c:pt idx="0">
                    <c:v>9.3300000000000018</c:v>
                  </c:pt>
                  <c:pt idx="1">
                    <c:v>8.1700000000000017</c:v>
                  </c:pt>
                  <c:pt idx="2">
                    <c:v>6.1299999999999955</c:v>
                  </c:pt>
                  <c:pt idx="3">
                    <c:v>8.9500000000000028</c:v>
                  </c:pt>
                  <c:pt idx="4">
                    <c:v>6.5600000000000005</c:v>
                  </c:pt>
                  <c:pt idx="5">
                    <c:v>1.3800000000000041</c:v>
                  </c:pt>
                  <c:pt idx="6">
                    <c:v>0.5</c:v>
                  </c:pt>
                </c:numCache>
              </c:numRef>
            </c:minus>
          </c:errBars>
          <c:cat>
            <c:strRef>
              <c:f>'All Incidence CRC 2004-06'!$B$21:$B$27</c:f>
              <c:strCache>
                <c:ptCount val="7"/>
                <c:pt idx="0">
                  <c:v>Kingston PCT</c:v>
                </c:pt>
                <c:pt idx="1">
                  <c:v>Wandsworth Teaching PCT</c:v>
                </c:pt>
                <c:pt idx="2">
                  <c:v>Sutton and Merton PCT</c:v>
                </c:pt>
                <c:pt idx="3">
                  <c:v>Richmond and Twickenham PCT</c:v>
                </c:pt>
                <c:pt idx="4">
                  <c:v>Croydon PCT</c:v>
                </c:pt>
                <c:pt idx="5">
                  <c:v>London SHA</c:v>
                </c:pt>
                <c:pt idx="6">
                  <c:v>ENGLAND</c:v>
                </c:pt>
              </c:strCache>
            </c:strRef>
          </c:cat>
          <c:val>
            <c:numRef>
              <c:f>'All Incidence CRC 2004-06'!$D$21:$D$27</c:f>
              <c:numCache>
                <c:formatCode>0.00</c:formatCode>
                <c:ptCount val="7"/>
                <c:pt idx="0">
                  <c:v>48.43</c:v>
                </c:pt>
                <c:pt idx="1">
                  <c:v>50.55</c:v>
                </c:pt>
                <c:pt idx="2">
                  <c:v>52.220000000000013</c:v>
                </c:pt>
                <c:pt idx="3">
                  <c:v>54.64</c:v>
                </c:pt>
                <c:pt idx="4">
                  <c:v>54.809999999999995</c:v>
                </c:pt>
                <c:pt idx="5">
                  <c:v>48.99</c:v>
                </c:pt>
                <c:pt idx="6">
                  <c:v>56.55</c:v>
                </c:pt>
              </c:numCache>
            </c:numRef>
          </c:val>
        </c:ser>
        <c:ser>
          <c:idx val="1"/>
          <c:order val="1"/>
          <c:tx>
            <c:v>Female</c:v>
          </c:tx>
          <c:spPr>
            <a:solidFill>
              <a:schemeClr val="bg1">
                <a:lumMod val="50000"/>
              </a:schemeClr>
            </a:solidFill>
            <a:ln>
              <a:solidFill>
                <a:prstClr val="black"/>
              </a:solidFill>
            </a:ln>
          </c:spPr>
          <c:errBars>
            <c:errBarType val="both"/>
            <c:errValType val="cust"/>
            <c:plus>
              <c:numRef>
                <c:f>'All Incidence CRC 2004-06'!$O$21:$O$27</c:f>
                <c:numCache>
                  <c:formatCode>General</c:formatCode>
                  <c:ptCount val="7"/>
                  <c:pt idx="0">
                    <c:v>7.9600000000000009</c:v>
                  </c:pt>
                  <c:pt idx="1">
                    <c:v>6.5200000000000005</c:v>
                  </c:pt>
                  <c:pt idx="2">
                    <c:v>4.6499999999999986</c:v>
                  </c:pt>
                  <c:pt idx="3">
                    <c:v>7.3499999999999943</c:v>
                  </c:pt>
                  <c:pt idx="4">
                    <c:v>4.4600000000000009</c:v>
                  </c:pt>
                  <c:pt idx="5">
                    <c:v>1.0499999999999718</c:v>
                  </c:pt>
                  <c:pt idx="6">
                    <c:v>0.37000000000000488</c:v>
                  </c:pt>
                </c:numCache>
              </c:numRef>
            </c:plus>
            <c:minus>
              <c:numRef>
                <c:f>'All Incidence CRC 2004-06'!$N$21:$N$27</c:f>
                <c:numCache>
                  <c:formatCode>General</c:formatCode>
                  <c:ptCount val="7"/>
                  <c:pt idx="0">
                    <c:v>7.9699999999999989</c:v>
                  </c:pt>
                  <c:pt idx="1">
                    <c:v>6.509999999999998</c:v>
                  </c:pt>
                  <c:pt idx="2">
                    <c:v>4.6599999999999975</c:v>
                  </c:pt>
                  <c:pt idx="3">
                    <c:v>7.3500000000000005</c:v>
                  </c:pt>
                  <c:pt idx="4">
                    <c:v>4.4499999999999993</c:v>
                  </c:pt>
                  <c:pt idx="5">
                    <c:v>1.0400000000000063</c:v>
                  </c:pt>
                  <c:pt idx="6">
                    <c:v>0.38000000000000256</c:v>
                  </c:pt>
                </c:numCache>
              </c:numRef>
            </c:minus>
          </c:errBars>
          <c:cat>
            <c:strRef>
              <c:f>'All Incidence CRC 2004-06'!$B$21:$B$27</c:f>
              <c:strCache>
                <c:ptCount val="7"/>
                <c:pt idx="0">
                  <c:v>Kingston PCT</c:v>
                </c:pt>
                <c:pt idx="1">
                  <c:v>Wandsworth Teaching PCT</c:v>
                </c:pt>
                <c:pt idx="2">
                  <c:v>Sutton and Merton PCT</c:v>
                </c:pt>
                <c:pt idx="3">
                  <c:v>Richmond and Twickenham PCT</c:v>
                </c:pt>
                <c:pt idx="4">
                  <c:v>Croydon PCT</c:v>
                </c:pt>
                <c:pt idx="5">
                  <c:v>London SHA</c:v>
                </c:pt>
                <c:pt idx="6">
                  <c:v>ENGLAND</c:v>
                </c:pt>
              </c:strCache>
            </c:strRef>
          </c:cat>
          <c:val>
            <c:numRef>
              <c:f>'All Incidence CRC 2004-06'!$K$21:$K$27</c:f>
              <c:numCache>
                <c:formatCode>0.00</c:formatCode>
                <c:ptCount val="7"/>
                <c:pt idx="0">
                  <c:v>41.43</c:v>
                </c:pt>
                <c:pt idx="1">
                  <c:v>38.910000000000004</c:v>
                </c:pt>
                <c:pt idx="2">
                  <c:v>37.309999999999995</c:v>
                </c:pt>
                <c:pt idx="3">
                  <c:v>42.339999999999996</c:v>
                </c:pt>
                <c:pt idx="4">
                  <c:v>30.650000000000031</c:v>
                </c:pt>
                <c:pt idx="5">
                  <c:v>33.590000000000003</c:v>
                </c:pt>
                <c:pt idx="6">
                  <c:v>36.550000000000004</c:v>
                </c:pt>
              </c:numCache>
            </c:numRef>
          </c:val>
        </c:ser>
        <c:ser>
          <c:idx val="2"/>
          <c:order val="2"/>
          <c:tx>
            <c:v>Persons</c:v>
          </c:tx>
          <c:spPr>
            <a:solidFill>
              <a:schemeClr val="tx1">
                <a:lumMod val="65000"/>
                <a:lumOff val="35000"/>
              </a:schemeClr>
            </a:solidFill>
            <a:ln>
              <a:solidFill>
                <a:prstClr val="black"/>
              </a:solidFill>
            </a:ln>
          </c:spPr>
          <c:errBars>
            <c:errBarType val="both"/>
            <c:errValType val="cust"/>
            <c:plus>
              <c:numRef>
                <c:f>'All Incidence CRC 2004-06'!$V$21:$V$27</c:f>
                <c:numCache>
                  <c:formatCode>General</c:formatCode>
                  <c:ptCount val="7"/>
                  <c:pt idx="0">
                    <c:v>6.009999999999998</c:v>
                  </c:pt>
                  <c:pt idx="1">
                    <c:v>5.1000000000000005</c:v>
                  </c:pt>
                  <c:pt idx="2">
                    <c:v>3.75</c:v>
                  </c:pt>
                  <c:pt idx="3">
                    <c:v>5.7100000000000009</c:v>
                  </c:pt>
                  <c:pt idx="4">
                    <c:v>3.8599999999999977</c:v>
                  </c:pt>
                  <c:pt idx="5">
                    <c:v>0.85000000000000164</c:v>
                  </c:pt>
                  <c:pt idx="6">
                    <c:v>0.31000000000000238</c:v>
                  </c:pt>
                </c:numCache>
              </c:numRef>
            </c:plus>
            <c:minus>
              <c:numRef>
                <c:f>'All Incidence CRC 2004-06'!$U$21:$U$27</c:f>
                <c:numCache>
                  <c:formatCode>General</c:formatCode>
                  <c:ptCount val="7"/>
                  <c:pt idx="0">
                    <c:v>6.0100000000000051</c:v>
                  </c:pt>
                  <c:pt idx="1">
                    <c:v>5.1099999999999985</c:v>
                  </c:pt>
                  <c:pt idx="2">
                    <c:v>3.75</c:v>
                  </c:pt>
                  <c:pt idx="3">
                    <c:v>5.6999999999999957</c:v>
                  </c:pt>
                  <c:pt idx="4">
                    <c:v>3.8699999999999974</c:v>
                  </c:pt>
                  <c:pt idx="5">
                    <c:v>0.84000000000000363</c:v>
                  </c:pt>
                  <c:pt idx="6">
                    <c:v>0.30000000000000032</c:v>
                  </c:pt>
                </c:numCache>
              </c:numRef>
            </c:minus>
          </c:errBars>
          <c:cat>
            <c:strRef>
              <c:f>'All Incidence CRC 2004-06'!$B$21:$B$27</c:f>
              <c:strCache>
                <c:ptCount val="7"/>
                <c:pt idx="0">
                  <c:v>Kingston PCT</c:v>
                </c:pt>
                <c:pt idx="1">
                  <c:v>Wandsworth Teaching PCT</c:v>
                </c:pt>
                <c:pt idx="2">
                  <c:v>Sutton and Merton PCT</c:v>
                </c:pt>
                <c:pt idx="3">
                  <c:v>Richmond and Twickenham PCT</c:v>
                </c:pt>
                <c:pt idx="4">
                  <c:v>Croydon PCT</c:v>
                </c:pt>
                <c:pt idx="5">
                  <c:v>London SHA</c:v>
                </c:pt>
                <c:pt idx="6">
                  <c:v>ENGLAND</c:v>
                </c:pt>
              </c:strCache>
            </c:strRef>
          </c:cat>
          <c:val>
            <c:numRef>
              <c:f>'All Incidence CRC 2004-06'!$R$21:$R$27</c:f>
              <c:numCache>
                <c:formatCode>0.00</c:formatCode>
                <c:ptCount val="7"/>
                <c:pt idx="0">
                  <c:v>44.24</c:v>
                </c:pt>
                <c:pt idx="1">
                  <c:v>43.99</c:v>
                </c:pt>
                <c:pt idx="2">
                  <c:v>44.04</c:v>
                </c:pt>
                <c:pt idx="3">
                  <c:v>47.97</c:v>
                </c:pt>
                <c:pt idx="4">
                  <c:v>41.8</c:v>
                </c:pt>
                <c:pt idx="5">
                  <c:v>40.53</c:v>
                </c:pt>
                <c:pt idx="6">
                  <c:v>45.55</c:v>
                </c:pt>
              </c:numCache>
            </c:numRef>
          </c:val>
        </c:ser>
        <c:axId val="164989952"/>
        <c:axId val="164991744"/>
      </c:barChart>
      <c:catAx>
        <c:axId val="164989952"/>
        <c:scaling>
          <c:orientation val="minMax"/>
        </c:scaling>
        <c:axPos val="b"/>
        <c:numFmt formatCode="General" sourceLinked="1"/>
        <c:tickLblPos val="nextTo"/>
        <c:txPr>
          <a:bodyPr/>
          <a:lstStyle/>
          <a:p>
            <a:pPr>
              <a:defRPr sz="600"/>
            </a:pPr>
            <a:endParaRPr lang="en-US"/>
          </a:p>
        </c:txPr>
        <c:crossAx val="164991744"/>
        <c:crosses val="autoZero"/>
        <c:auto val="1"/>
        <c:lblAlgn val="ctr"/>
        <c:lblOffset val="100"/>
      </c:catAx>
      <c:valAx>
        <c:axId val="164991744"/>
        <c:scaling>
          <c:orientation val="minMax"/>
        </c:scaling>
        <c:axPos val="l"/>
        <c:majorGridlines/>
        <c:numFmt formatCode="0.00" sourceLinked="1"/>
        <c:tickLblPos val="nextTo"/>
        <c:txPr>
          <a:bodyPr/>
          <a:lstStyle/>
          <a:p>
            <a:pPr>
              <a:defRPr sz="600"/>
            </a:pPr>
            <a:endParaRPr lang="en-US"/>
          </a:p>
        </c:txPr>
        <c:crossAx val="164989952"/>
        <c:crosses val="autoZero"/>
        <c:crossBetween val="between"/>
      </c:valAx>
    </c:plotArea>
    <c:legend>
      <c:legendPos val="r"/>
      <c:layout>
        <c:manualLayout>
          <c:xMode val="edge"/>
          <c:yMode val="edge"/>
          <c:x val="0.17339578332251671"/>
          <c:y val="3.3653742649257481E-2"/>
          <c:w val="0.30515608587656012"/>
          <c:h val="8.5183959599986703E-2"/>
        </c:manualLayout>
      </c:layout>
      <c:txPr>
        <a:bodyPr/>
        <a:lstStyle/>
        <a:p>
          <a:pPr>
            <a:defRPr sz="700"/>
          </a:pPr>
          <a:endParaRPr lang="en-US"/>
        </a:p>
      </c:txPr>
    </c:legend>
    <c:plotVisOnly val="1"/>
    <c:dispBlanksAs val="gap"/>
  </c:chart>
  <c:spPr>
    <a:ln>
      <a:solidFill>
        <a:schemeClr val="bg1"/>
      </a:solidFill>
    </a:ln>
  </c:spPr>
  <c:externalData r:id="rId1"/>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0405598472623875"/>
          <c:y val="3.9171966382595291E-2"/>
          <c:w val="0.87520020593836623"/>
          <c:h val="0.89090427266877992"/>
        </c:manualLayout>
      </c:layout>
      <c:lineChart>
        <c:grouping val="standard"/>
        <c:ser>
          <c:idx val="0"/>
          <c:order val="0"/>
          <c:tx>
            <c:strRef>
              <c:f>'All Incidence CRC 1993-2006'!$B$21</c:f>
              <c:strCache>
                <c:ptCount val="1"/>
                <c:pt idx="0">
                  <c:v>Croydon</c:v>
                </c:pt>
              </c:strCache>
            </c:strRef>
          </c:tx>
          <c:spPr>
            <a:ln w="12700">
              <a:solidFill>
                <a:schemeClr val="accent2">
                  <a:lumMod val="75000"/>
                </a:schemeClr>
              </a:solidFill>
            </a:ln>
          </c:spPr>
          <c:marker>
            <c:symbol val="diamond"/>
            <c:size val="4"/>
            <c:spPr>
              <a:solidFill>
                <a:schemeClr val="accent2">
                  <a:lumMod val="75000"/>
                </a:schemeClr>
              </a:solidFill>
              <a:ln>
                <a:solidFill>
                  <a:schemeClr val="accent2">
                    <a:lumMod val="75000"/>
                  </a:schemeClr>
                </a:solidFill>
              </a:ln>
            </c:spPr>
          </c:marker>
          <c:cat>
            <c:strRef>
              <c:f>'All Incidence CRC 1993-2006'!$F$19:$Q$19</c:f>
              <c:strCache>
                <c:ptCount val="12"/>
                <c:pt idx="0">
                  <c:v>1993-95</c:v>
                </c:pt>
                <c:pt idx="1">
                  <c:v>1994-96</c:v>
                </c:pt>
                <c:pt idx="2">
                  <c:v>1995-97</c:v>
                </c:pt>
                <c:pt idx="3">
                  <c:v>1996-98</c:v>
                </c:pt>
                <c:pt idx="4">
                  <c:v>1997-99</c:v>
                </c:pt>
                <c:pt idx="5">
                  <c:v>1998-00</c:v>
                </c:pt>
                <c:pt idx="6">
                  <c:v>1999-01</c:v>
                </c:pt>
                <c:pt idx="7">
                  <c:v>2000-02</c:v>
                </c:pt>
                <c:pt idx="8">
                  <c:v>2001-03</c:v>
                </c:pt>
                <c:pt idx="9">
                  <c:v>2002-04</c:v>
                </c:pt>
                <c:pt idx="10">
                  <c:v>2003-05</c:v>
                </c:pt>
                <c:pt idx="11">
                  <c:v>2004-06</c:v>
                </c:pt>
              </c:strCache>
            </c:strRef>
          </c:cat>
          <c:val>
            <c:numRef>
              <c:f>'All Incidence CRC 1993-2006'!$F$22:$Q$22</c:f>
              <c:numCache>
                <c:formatCode>0.00</c:formatCode>
                <c:ptCount val="12"/>
                <c:pt idx="0">
                  <c:v>46.77</c:v>
                </c:pt>
                <c:pt idx="1">
                  <c:v>47.300000000000004</c:v>
                </c:pt>
                <c:pt idx="2">
                  <c:v>52.633333333333333</c:v>
                </c:pt>
                <c:pt idx="3">
                  <c:v>55.48</c:v>
                </c:pt>
                <c:pt idx="4">
                  <c:v>56.526666666666038</c:v>
                </c:pt>
                <c:pt idx="5">
                  <c:v>54.176666666665994</c:v>
                </c:pt>
                <c:pt idx="6">
                  <c:v>48.25</c:v>
                </c:pt>
                <c:pt idx="7">
                  <c:v>44.800000000000004</c:v>
                </c:pt>
                <c:pt idx="8">
                  <c:v>43.093333333333362</c:v>
                </c:pt>
                <c:pt idx="9">
                  <c:v>46.87</c:v>
                </c:pt>
                <c:pt idx="10">
                  <c:v>52.553333333333335</c:v>
                </c:pt>
                <c:pt idx="11">
                  <c:v>54.806666666665848</c:v>
                </c:pt>
              </c:numCache>
            </c:numRef>
          </c:val>
        </c:ser>
        <c:ser>
          <c:idx val="1"/>
          <c:order val="1"/>
          <c:tx>
            <c:strRef>
              <c:f>'All Incidence CRC 1993-2006'!$B$23</c:f>
              <c:strCache>
                <c:ptCount val="1"/>
                <c:pt idx="0">
                  <c:v>Kingston</c:v>
                </c:pt>
              </c:strCache>
            </c:strRef>
          </c:tx>
          <c:spPr>
            <a:ln w="12700">
              <a:solidFill>
                <a:schemeClr val="accent4">
                  <a:lumMod val="75000"/>
                </a:schemeClr>
              </a:solidFill>
              <a:prstDash val="sysDash"/>
            </a:ln>
          </c:spPr>
          <c:marker>
            <c:symbol val="circle"/>
            <c:size val="4"/>
            <c:spPr>
              <a:solidFill>
                <a:schemeClr val="accent4">
                  <a:lumMod val="75000"/>
                </a:schemeClr>
              </a:solidFill>
              <a:ln>
                <a:solidFill>
                  <a:schemeClr val="accent4">
                    <a:lumMod val="75000"/>
                  </a:schemeClr>
                </a:solidFill>
              </a:ln>
            </c:spPr>
          </c:marker>
          <c:cat>
            <c:strRef>
              <c:f>'All Incidence CRC 1993-2006'!$F$19:$Q$19</c:f>
              <c:strCache>
                <c:ptCount val="12"/>
                <c:pt idx="0">
                  <c:v>1993-95</c:v>
                </c:pt>
                <c:pt idx="1">
                  <c:v>1994-96</c:v>
                </c:pt>
                <c:pt idx="2">
                  <c:v>1995-97</c:v>
                </c:pt>
                <c:pt idx="3">
                  <c:v>1996-98</c:v>
                </c:pt>
                <c:pt idx="4">
                  <c:v>1997-99</c:v>
                </c:pt>
                <c:pt idx="5">
                  <c:v>1998-00</c:v>
                </c:pt>
                <c:pt idx="6">
                  <c:v>1999-01</c:v>
                </c:pt>
                <c:pt idx="7">
                  <c:v>2000-02</c:v>
                </c:pt>
                <c:pt idx="8">
                  <c:v>2001-03</c:v>
                </c:pt>
                <c:pt idx="9">
                  <c:v>2002-04</c:v>
                </c:pt>
                <c:pt idx="10">
                  <c:v>2003-05</c:v>
                </c:pt>
                <c:pt idx="11">
                  <c:v>2004-06</c:v>
                </c:pt>
              </c:strCache>
            </c:strRef>
          </c:cat>
          <c:val>
            <c:numRef>
              <c:f>'All Incidence CRC 1993-2006'!$F$24:$Q$24</c:f>
              <c:numCache>
                <c:formatCode>0.00</c:formatCode>
                <c:ptCount val="12"/>
                <c:pt idx="0">
                  <c:v>48.516666666665891</c:v>
                </c:pt>
                <c:pt idx="1">
                  <c:v>48.99</c:v>
                </c:pt>
                <c:pt idx="2">
                  <c:v>57.793333333333663</c:v>
                </c:pt>
                <c:pt idx="3">
                  <c:v>59.603333333333332</c:v>
                </c:pt>
                <c:pt idx="4">
                  <c:v>61.143333333333338</c:v>
                </c:pt>
                <c:pt idx="5">
                  <c:v>65.989999999999995</c:v>
                </c:pt>
                <c:pt idx="6">
                  <c:v>68.603333333332529</c:v>
                </c:pt>
                <c:pt idx="7">
                  <c:v>64.553333333332958</c:v>
                </c:pt>
                <c:pt idx="8">
                  <c:v>60.186666666665928</c:v>
                </c:pt>
                <c:pt idx="9">
                  <c:v>53.326666666665957</c:v>
                </c:pt>
                <c:pt idx="10">
                  <c:v>55.196666666666097</c:v>
                </c:pt>
                <c:pt idx="11">
                  <c:v>48.43</c:v>
                </c:pt>
              </c:numCache>
            </c:numRef>
          </c:val>
        </c:ser>
        <c:ser>
          <c:idx val="4"/>
          <c:order val="2"/>
          <c:tx>
            <c:strRef>
              <c:f>'All Incidence CRC 1993-2006'!$B$25</c:f>
              <c:strCache>
                <c:ptCount val="1"/>
                <c:pt idx="0">
                  <c:v>Wandsworth Teaching</c:v>
                </c:pt>
              </c:strCache>
            </c:strRef>
          </c:tx>
          <c:spPr>
            <a:ln w="12700">
              <a:solidFill>
                <a:schemeClr val="tx2"/>
              </a:solidFill>
              <a:prstDash val="lgDashDotDot"/>
            </a:ln>
          </c:spPr>
          <c:marker>
            <c:symbol val="triangle"/>
            <c:size val="4"/>
            <c:spPr>
              <a:solidFill>
                <a:srgbClr val="1F497D"/>
              </a:solidFill>
              <a:ln>
                <a:solidFill>
                  <a:schemeClr val="tx2"/>
                </a:solidFill>
              </a:ln>
            </c:spPr>
          </c:marker>
          <c:cat>
            <c:strRef>
              <c:f>'All Incidence CRC 1993-2006'!$F$19:$Q$19</c:f>
              <c:strCache>
                <c:ptCount val="12"/>
                <c:pt idx="0">
                  <c:v>1993-95</c:v>
                </c:pt>
                <c:pt idx="1">
                  <c:v>1994-96</c:v>
                </c:pt>
                <c:pt idx="2">
                  <c:v>1995-97</c:v>
                </c:pt>
                <c:pt idx="3">
                  <c:v>1996-98</c:v>
                </c:pt>
                <c:pt idx="4">
                  <c:v>1997-99</c:v>
                </c:pt>
                <c:pt idx="5">
                  <c:v>1998-00</c:v>
                </c:pt>
                <c:pt idx="6">
                  <c:v>1999-01</c:v>
                </c:pt>
                <c:pt idx="7">
                  <c:v>2000-02</c:v>
                </c:pt>
                <c:pt idx="8">
                  <c:v>2001-03</c:v>
                </c:pt>
                <c:pt idx="9">
                  <c:v>2002-04</c:v>
                </c:pt>
                <c:pt idx="10">
                  <c:v>2003-05</c:v>
                </c:pt>
                <c:pt idx="11">
                  <c:v>2004-06</c:v>
                </c:pt>
              </c:strCache>
            </c:strRef>
          </c:cat>
          <c:val>
            <c:numRef>
              <c:f>'All Incidence CRC 1993-2006'!$F$26:$Q$26</c:f>
              <c:numCache>
                <c:formatCode>0.00</c:formatCode>
                <c:ptCount val="12"/>
                <c:pt idx="0">
                  <c:v>43.956666666665804</c:v>
                </c:pt>
                <c:pt idx="1">
                  <c:v>45.756666666665943</c:v>
                </c:pt>
                <c:pt idx="2">
                  <c:v>55.833333333333336</c:v>
                </c:pt>
                <c:pt idx="3">
                  <c:v>57.106666666665994</c:v>
                </c:pt>
                <c:pt idx="4">
                  <c:v>60.879999999999995</c:v>
                </c:pt>
                <c:pt idx="5">
                  <c:v>52.800000000000004</c:v>
                </c:pt>
                <c:pt idx="6">
                  <c:v>50.776666666666038</c:v>
                </c:pt>
                <c:pt idx="7">
                  <c:v>52.970000000000006</c:v>
                </c:pt>
                <c:pt idx="8">
                  <c:v>54.943333333333328</c:v>
                </c:pt>
                <c:pt idx="9">
                  <c:v>52.143333333333338</c:v>
                </c:pt>
                <c:pt idx="10">
                  <c:v>49.25333333333333</c:v>
                </c:pt>
                <c:pt idx="11">
                  <c:v>50.55</c:v>
                </c:pt>
              </c:numCache>
            </c:numRef>
          </c:val>
        </c:ser>
        <c:ser>
          <c:idx val="2"/>
          <c:order val="3"/>
          <c:tx>
            <c:strRef>
              <c:f>'All Incidence CRC 1993-2006'!$B$27</c:f>
              <c:strCache>
                <c:ptCount val="1"/>
                <c:pt idx="0">
                  <c:v>Richmond &amp; Twickenham</c:v>
                </c:pt>
              </c:strCache>
            </c:strRef>
          </c:tx>
          <c:spPr>
            <a:ln w="12700">
              <a:solidFill>
                <a:schemeClr val="accent5"/>
              </a:solidFill>
              <a:prstDash val="dash"/>
            </a:ln>
          </c:spPr>
          <c:marker>
            <c:symbol val="x"/>
            <c:size val="4"/>
            <c:spPr>
              <a:ln>
                <a:solidFill>
                  <a:schemeClr val="accent5"/>
                </a:solidFill>
              </a:ln>
            </c:spPr>
          </c:marker>
          <c:cat>
            <c:strRef>
              <c:f>'All Incidence CRC 1993-2006'!$F$19:$Q$19</c:f>
              <c:strCache>
                <c:ptCount val="12"/>
                <c:pt idx="0">
                  <c:v>1993-95</c:v>
                </c:pt>
                <c:pt idx="1">
                  <c:v>1994-96</c:v>
                </c:pt>
                <c:pt idx="2">
                  <c:v>1995-97</c:v>
                </c:pt>
                <c:pt idx="3">
                  <c:v>1996-98</c:v>
                </c:pt>
                <c:pt idx="4">
                  <c:v>1997-99</c:v>
                </c:pt>
                <c:pt idx="5">
                  <c:v>1998-00</c:v>
                </c:pt>
                <c:pt idx="6">
                  <c:v>1999-01</c:v>
                </c:pt>
                <c:pt idx="7">
                  <c:v>2000-02</c:v>
                </c:pt>
                <c:pt idx="8">
                  <c:v>2001-03</c:v>
                </c:pt>
                <c:pt idx="9">
                  <c:v>2002-04</c:v>
                </c:pt>
                <c:pt idx="10">
                  <c:v>2003-05</c:v>
                </c:pt>
                <c:pt idx="11">
                  <c:v>2004-06</c:v>
                </c:pt>
              </c:strCache>
            </c:strRef>
          </c:cat>
          <c:val>
            <c:numRef>
              <c:f>'All Incidence CRC 1993-2006'!$F$28:$Q$28</c:f>
              <c:numCache>
                <c:formatCode>0.00</c:formatCode>
                <c:ptCount val="12"/>
                <c:pt idx="0">
                  <c:v>51.533333333333331</c:v>
                </c:pt>
                <c:pt idx="1">
                  <c:v>47.423333333333332</c:v>
                </c:pt>
                <c:pt idx="2">
                  <c:v>55.413333333333334</c:v>
                </c:pt>
                <c:pt idx="3">
                  <c:v>54.336666666665892</c:v>
                </c:pt>
                <c:pt idx="4">
                  <c:v>52.683333333333337</c:v>
                </c:pt>
                <c:pt idx="5">
                  <c:v>45.290000000000013</c:v>
                </c:pt>
                <c:pt idx="6">
                  <c:v>44.220000000000013</c:v>
                </c:pt>
                <c:pt idx="7">
                  <c:v>48.996666666665995</c:v>
                </c:pt>
                <c:pt idx="8">
                  <c:v>50.446666666665877</c:v>
                </c:pt>
                <c:pt idx="9">
                  <c:v>50.830000000000005</c:v>
                </c:pt>
                <c:pt idx="10">
                  <c:v>49.456666666665804</c:v>
                </c:pt>
                <c:pt idx="11">
                  <c:v>54.633333333333333</c:v>
                </c:pt>
              </c:numCache>
            </c:numRef>
          </c:val>
        </c:ser>
        <c:ser>
          <c:idx val="3"/>
          <c:order val="4"/>
          <c:tx>
            <c:strRef>
              <c:f>'All Incidence CRC 1993-2006'!$B$29</c:f>
              <c:strCache>
                <c:ptCount val="1"/>
                <c:pt idx="0">
                  <c:v>Sutton &amp; Merton</c:v>
                </c:pt>
              </c:strCache>
            </c:strRef>
          </c:tx>
          <c:spPr>
            <a:ln w="12700">
              <a:solidFill>
                <a:schemeClr val="accent6">
                  <a:lumMod val="75000"/>
                </a:schemeClr>
              </a:solidFill>
              <a:prstDash val="sysDot"/>
            </a:ln>
          </c:spPr>
          <c:marker>
            <c:symbol val="star"/>
            <c:size val="4"/>
            <c:spPr>
              <a:ln>
                <a:solidFill>
                  <a:schemeClr val="accent6">
                    <a:lumMod val="75000"/>
                  </a:schemeClr>
                </a:solidFill>
              </a:ln>
            </c:spPr>
          </c:marker>
          <c:cat>
            <c:strRef>
              <c:f>'All Incidence CRC 1993-2006'!$F$19:$Q$19</c:f>
              <c:strCache>
                <c:ptCount val="12"/>
                <c:pt idx="0">
                  <c:v>1993-95</c:v>
                </c:pt>
                <c:pt idx="1">
                  <c:v>1994-96</c:v>
                </c:pt>
                <c:pt idx="2">
                  <c:v>1995-97</c:v>
                </c:pt>
                <c:pt idx="3">
                  <c:v>1996-98</c:v>
                </c:pt>
                <c:pt idx="4">
                  <c:v>1997-99</c:v>
                </c:pt>
                <c:pt idx="5">
                  <c:v>1998-00</c:v>
                </c:pt>
                <c:pt idx="6">
                  <c:v>1999-01</c:v>
                </c:pt>
                <c:pt idx="7">
                  <c:v>2000-02</c:v>
                </c:pt>
                <c:pt idx="8">
                  <c:v>2001-03</c:v>
                </c:pt>
                <c:pt idx="9">
                  <c:v>2002-04</c:v>
                </c:pt>
                <c:pt idx="10">
                  <c:v>2003-05</c:v>
                </c:pt>
                <c:pt idx="11">
                  <c:v>2004-06</c:v>
                </c:pt>
              </c:strCache>
            </c:strRef>
          </c:cat>
          <c:val>
            <c:numRef>
              <c:f>'All Incidence CRC 1993-2006'!$F$30:$Q$30</c:f>
              <c:numCache>
                <c:formatCode>0.00</c:formatCode>
                <c:ptCount val="12"/>
                <c:pt idx="0">
                  <c:v>56.173333333333339</c:v>
                </c:pt>
                <c:pt idx="1">
                  <c:v>48.68</c:v>
                </c:pt>
                <c:pt idx="2">
                  <c:v>51.13000000000001</c:v>
                </c:pt>
                <c:pt idx="3">
                  <c:v>53.616666666665928</c:v>
                </c:pt>
                <c:pt idx="4">
                  <c:v>56.373333333333335</c:v>
                </c:pt>
                <c:pt idx="5">
                  <c:v>52.316666666665789</c:v>
                </c:pt>
                <c:pt idx="6">
                  <c:v>51.153333333333336</c:v>
                </c:pt>
                <c:pt idx="7">
                  <c:v>49.073333333333331</c:v>
                </c:pt>
                <c:pt idx="8">
                  <c:v>53.236666666666054</c:v>
                </c:pt>
                <c:pt idx="9">
                  <c:v>50.230000000000011</c:v>
                </c:pt>
                <c:pt idx="10">
                  <c:v>53.20000000000001</c:v>
                </c:pt>
                <c:pt idx="11">
                  <c:v>52.216666666665994</c:v>
                </c:pt>
              </c:numCache>
            </c:numRef>
          </c:val>
        </c:ser>
        <c:ser>
          <c:idx val="5"/>
          <c:order val="5"/>
          <c:tx>
            <c:strRef>
              <c:f>'All Incidence CRC 1993-2006'!$B$31</c:f>
              <c:strCache>
                <c:ptCount val="1"/>
                <c:pt idx="0">
                  <c:v>London SHA</c:v>
                </c:pt>
              </c:strCache>
            </c:strRef>
          </c:tx>
          <c:spPr>
            <a:ln w="12700">
              <a:solidFill>
                <a:srgbClr val="FF0000"/>
              </a:solidFill>
            </a:ln>
          </c:spPr>
          <c:marker>
            <c:symbol val="plus"/>
            <c:size val="5"/>
            <c:spPr>
              <a:ln>
                <a:solidFill>
                  <a:srgbClr val="FF0000"/>
                </a:solidFill>
              </a:ln>
            </c:spPr>
          </c:marker>
          <c:cat>
            <c:strRef>
              <c:f>'All Incidence CRC 1993-2006'!$F$19:$Q$19</c:f>
              <c:strCache>
                <c:ptCount val="12"/>
                <c:pt idx="0">
                  <c:v>1993-95</c:v>
                </c:pt>
                <c:pt idx="1">
                  <c:v>1994-96</c:v>
                </c:pt>
                <c:pt idx="2">
                  <c:v>1995-97</c:v>
                </c:pt>
                <c:pt idx="3">
                  <c:v>1996-98</c:v>
                </c:pt>
                <c:pt idx="4">
                  <c:v>1997-99</c:v>
                </c:pt>
                <c:pt idx="5">
                  <c:v>1998-00</c:v>
                </c:pt>
                <c:pt idx="6">
                  <c:v>1999-01</c:v>
                </c:pt>
                <c:pt idx="7">
                  <c:v>2000-02</c:v>
                </c:pt>
                <c:pt idx="8">
                  <c:v>2001-03</c:v>
                </c:pt>
                <c:pt idx="9">
                  <c:v>2002-04</c:v>
                </c:pt>
                <c:pt idx="10">
                  <c:v>2003-05</c:v>
                </c:pt>
                <c:pt idx="11">
                  <c:v>2004-06</c:v>
                </c:pt>
              </c:strCache>
            </c:strRef>
          </c:cat>
          <c:val>
            <c:numRef>
              <c:f>'All Incidence CRC 1993-2006'!$F$32:$Q$32</c:f>
              <c:numCache>
                <c:formatCode>0.00</c:formatCode>
                <c:ptCount val="12"/>
                <c:pt idx="0">
                  <c:v>45.516666666665891</c:v>
                </c:pt>
                <c:pt idx="1">
                  <c:v>45.640000000000008</c:v>
                </c:pt>
                <c:pt idx="2">
                  <c:v>47.736666666666068</c:v>
                </c:pt>
                <c:pt idx="3">
                  <c:v>50.163333333333362</c:v>
                </c:pt>
                <c:pt idx="4">
                  <c:v>50.623333333333363</c:v>
                </c:pt>
                <c:pt idx="5">
                  <c:v>50.353333333333325</c:v>
                </c:pt>
                <c:pt idx="6">
                  <c:v>49.98</c:v>
                </c:pt>
                <c:pt idx="7">
                  <c:v>49.703333333333333</c:v>
                </c:pt>
                <c:pt idx="8">
                  <c:v>49.183333333333337</c:v>
                </c:pt>
                <c:pt idx="9">
                  <c:v>48.113333333333337</c:v>
                </c:pt>
                <c:pt idx="10">
                  <c:v>48.813333333333325</c:v>
                </c:pt>
                <c:pt idx="11">
                  <c:v>48.99</c:v>
                </c:pt>
              </c:numCache>
            </c:numRef>
          </c:val>
        </c:ser>
        <c:ser>
          <c:idx val="6"/>
          <c:order val="6"/>
          <c:tx>
            <c:strRef>
              <c:f>'All Incidence CRC 1993-2006'!$B$33</c:f>
              <c:strCache>
                <c:ptCount val="1"/>
                <c:pt idx="0">
                  <c:v>ENGLAND</c:v>
                </c:pt>
              </c:strCache>
            </c:strRef>
          </c:tx>
          <c:spPr>
            <a:ln w="12700">
              <a:solidFill>
                <a:srgbClr val="663300"/>
              </a:solidFill>
              <a:prstDash val="lgDashDot"/>
            </a:ln>
          </c:spPr>
          <c:marker>
            <c:symbol val="square"/>
            <c:size val="5"/>
            <c:spPr>
              <a:solidFill>
                <a:srgbClr val="663300"/>
              </a:solidFill>
              <a:ln>
                <a:solidFill>
                  <a:srgbClr val="663300"/>
                </a:solidFill>
              </a:ln>
            </c:spPr>
          </c:marker>
          <c:cat>
            <c:strRef>
              <c:f>'All Incidence CRC 1993-2006'!$F$19:$Q$19</c:f>
              <c:strCache>
                <c:ptCount val="12"/>
                <c:pt idx="0">
                  <c:v>1993-95</c:v>
                </c:pt>
                <c:pt idx="1">
                  <c:v>1994-96</c:v>
                </c:pt>
                <c:pt idx="2">
                  <c:v>1995-97</c:v>
                </c:pt>
                <c:pt idx="3">
                  <c:v>1996-98</c:v>
                </c:pt>
                <c:pt idx="4">
                  <c:v>1997-99</c:v>
                </c:pt>
                <c:pt idx="5">
                  <c:v>1998-00</c:v>
                </c:pt>
                <c:pt idx="6">
                  <c:v>1999-01</c:v>
                </c:pt>
                <c:pt idx="7">
                  <c:v>2000-02</c:v>
                </c:pt>
                <c:pt idx="8">
                  <c:v>2001-03</c:v>
                </c:pt>
                <c:pt idx="9">
                  <c:v>2002-04</c:v>
                </c:pt>
                <c:pt idx="10">
                  <c:v>2003-05</c:v>
                </c:pt>
                <c:pt idx="11">
                  <c:v>2004-06</c:v>
                </c:pt>
              </c:strCache>
            </c:strRef>
          </c:cat>
          <c:val>
            <c:numRef>
              <c:f>'All Incidence CRC 1993-2006'!$F$34:$Q$34</c:f>
              <c:numCache>
                <c:formatCode>0.00</c:formatCode>
                <c:ptCount val="12"/>
                <c:pt idx="0">
                  <c:v>54.543333333333329</c:v>
                </c:pt>
                <c:pt idx="1">
                  <c:v>54.986666666665847</c:v>
                </c:pt>
                <c:pt idx="2">
                  <c:v>55.956666666665804</c:v>
                </c:pt>
                <c:pt idx="3">
                  <c:v>57.103333333333332</c:v>
                </c:pt>
                <c:pt idx="4">
                  <c:v>57.636666666666017</c:v>
                </c:pt>
                <c:pt idx="5">
                  <c:v>57.889999999999993</c:v>
                </c:pt>
                <c:pt idx="6">
                  <c:v>57.20000000000001</c:v>
                </c:pt>
                <c:pt idx="7">
                  <c:v>56.156666666665899</c:v>
                </c:pt>
                <c:pt idx="8">
                  <c:v>55.326666666665957</c:v>
                </c:pt>
                <c:pt idx="9">
                  <c:v>55.643333333333338</c:v>
                </c:pt>
                <c:pt idx="10">
                  <c:v>56.25</c:v>
                </c:pt>
                <c:pt idx="11">
                  <c:v>56.543333333333329</c:v>
                </c:pt>
              </c:numCache>
            </c:numRef>
          </c:val>
        </c:ser>
        <c:marker val="1"/>
        <c:axId val="172086016"/>
        <c:axId val="172087936"/>
      </c:lineChart>
      <c:catAx>
        <c:axId val="172086016"/>
        <c:scaling>
          <c:orientation val="minMax"/>
        </c:scaling>
        <c:axPos val="b"/>
        <c:numFmt formatCode="General" sourceLinked="1"/>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72087936"/>
        <c:crosses val="autoZero"/>
        <c:auto val="1"/>
        <c:lblAlgn val="ctr"/>
        <c:lblOffset val="100"/>
      </c:catAx>
      <c:valAx>
        <c:axId val="172087936"/>
        <c:scaling>
          <c:orientation val="minMax"/>
          <c:max val="70"/>
          <c:min val="40"/>
        </c:scaling>
        <c:axPos val="l"/>
        <c:majorGridlines/>
        <c:numFmt formatCode="0.00" sourceLinked="1"/>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72086016"/>
        <c:crosses val="autoZero"/>
        <c:crossBetween val="between"/>
      </c:valAx>
    </c:plotArea>
    <c:legend>
      <c:legendPos val="r"/>
      <c:layout>
        <c:manualLayout>
          <c:xMode val="edge"/>
          <c:yMode val="edge"/>
          <c:x val="0.10618126811259163"/>
          <c:y val="2.6798888506021391E-2"/>
          <c:w val="0.28731787162968919"/>
          <c:h val="0.40176952409250727"/>
        </c:manualLayout>
      </c:layout>
      <c:txPr>
        <a:bodyPr/>
        <a:lstStyle/>
        <a:p>
          <a:pPr>
            <a:defRPr sz="550" b="0" i="0" u="none" strike="noStrike" baseline="0">
              <a:solidFill>
                <a:srgbClr val="000000"/>
              </a:solidFill>
              <a:latin typeface="Calibri"/>
              <a:ea typeface="Calibri"/>
              <a:cs typeface="Calibri"/>
            </a:defRPr>
          </a:pPr>
          <a:endParaRPr lang="en-US"/>
        </a:p>
      </c:txPr>
    </c:legend>
    <c:plotVisOnly val="1"/>
    <c:dispBlanksAs val="gap"/>
  </c:chart>
  <c:spPr>
    <a:ln>
      <a:solidFill>
        <a:schemeClr val="bg1"/>
      </a:solidFill>
    </a:ln>
  </c:spPr>
  <c:txPr>
    <a:bodyPr/>
    <a:lstStyle/>
    <a:p>
      <a:pPr>
        <a:defRPr sz="1000" b="0" i="0" u="none" strike="noStrike" baseline="0">
          <a:solidFill>
            <a:srgbClr val="000000"/>
          </a:solidFill>
          <a:latin typeface="Calibri"/>
          <a:ea typeface="Calibri"/>
          <a:cs typeface="Calibri"/>
        </a:defRPr>
      </a:pPr>
      <a:endParaRPr lang="en-US"/>
    </a:p>
  </c:txPr>
  <c:externalData r:id="rId1"/>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9.7997258895247144E-2"/>
          <c:y val="3.9171966382595291E-2"/>
          <c:w val="0.88125888762232996"/>
          <c:h val="0.8462288766084054"/>
        </c:manualLayout>
      </c:layout>
      <c:lineChart>
        <c:grouping val="standard"/>
        <c:ser>
          <c:idx val="0"/>
          <c:order val="0"/>
          <c:tx>
            <c:strRef>
              <c:f>'All Incidence CRC 1993-2006'!$B$21</c:f>
              <c:strCache>
                <c:ptCount val="1"/>
                <c:pt idx="0">
                  <c:v>Croydon</c:v>
                </c:pt>
              </c:strCache>
            </c:strRef>
          </c:tx>
          <c:spPr>
            <a:ln w="12700">
              <a:solidFill>
                <a:schemeClr val="accent2">
                  <a:lumMod val="75000"/>
                </a:schemeClr>
              </a:solidFill>
            </a:ln>
          </c:spPr>
          <c:marker>
            <c:symbol val="diamond"/>
            <c:size val="4"/>
            <c:spPr>
              <a:solidFill>
                <a:schemeClr val="accent2">
                  <a:lumMod val="75000"/>
                </a:schemeClr>
              </a:solidFill>
              <a:ln>
                <a:solidFill>
                  <a:schemeClr val="accent2">
                    <a:lumMod val="75000"/>
                  </a:schemeClr>
                </a:solidFill>
              </a:ln>
            </c:spPr>
          </c:marker>
          <c:cat>
            <c:strRef>
              <c:f>'All Incidence CRC 1993-2006'!$U$19:$AF$19</c:f>
              <c:strCache>
                <c:ptCount val="12"/>
                <c:pt idx="0">
                  <c:v>1993-95</c:v>
                </c:pt>
                <c:pt idx="1">
                  <c:v>1994-96</c:v>
                </c:pt>
                <c:pt idx="2">
                  <c:v>1995-97</c:v>
                </c:pt>
                <c:pt idx="3">
                  <c:v>1996-98</c:v>
                </c:pt>
                <c:pt idx="4">
                  <c:v>1997-99</c:v>
                </c:pt>
                <c:pt idx="5">
                  <c:v>1998-00</c:v>
                </c:pt>
                <c:pt idx="6">
                  <c:v>1999-01</c:v>
                </c:pt>
                <c:pt idx="7">
                  <c:v>2000-02</c:v>
                </c:pt>
                <c:pt idx="8">
                  <c:v>2001-03</c:v>
                </c:pt>
                <c:pt idx="9">
                  <c:v>2002-04</c:v>
                </c:pt>
                <c:pt idx="10">
                  <c:v>2003-05</c:v>
                </c:pt>
                <c:pt idx="11">
                  <c:v>2004-06</c:v>
                </c:pt>
              </c:strCache>
            </c:strRef>
          </c:cat>
          <c:val>
            <c:numRef>
              <c:f>'All Incidence CRC 1993-2006'!$U$22:$AF$22</c:f>
              <c:numCache>
                <c:formatCode>0.00</c:formatCode>
                <c:ptCount val="12"/>
                <c:pt idx="0">
                  <c:v>35.593333333333362</c:v>
                </c:pt>
                <c:pt idx="1">
                  <c:v>37.153333333333336</c:v>
                </c:pt>
                <c:pt idx="2">
                  <c:v>39.300000000000004</c:v>
                </c:pt>
                <c:pt idx="3">
                  <c:v>39.466666666665994</c:v>
                </c:pt>
                <c:pt idx="4">
                  <c:v>38.086666666665892</c:v>
                </c:pt>
                <c:pt idx="5">
                  <c:v>38.9</c:v>
                </c:pt>
                <c:pt idx="6">
                  <c:v>36.51</c:v>
                </c:pt>
                <c:pt idx="7">
                  <c:v>36.306666666665848</c:v>
                </c:pt>
                <c:pt idx="8">
                  <c:v>33.853333333333325</c:v>
                </c:pt>
                <c:pt idx="9">
                  <c:v>33.78</c:v>
                </c:pt>
                <c:pt idx="10">
                  <c:v>31.483333333332844</c:v>
                </c:pt>
                <c:pt idx="11">
                  <c:v>30.653333333333073</c:v>
                </c:pt>
              </c:numCache>
            </c:numRef>
          </c:val>
        </c:ser>
        <c:ser>
          <c:idx val="1"/>
          <c:order val="1"/>
          <c:tx>
            <c:strRef>
              <c:f>'All Incidence CRC 1993-2006'!$B$23</c:f>
              <c:strCache>
                <c:ptCount val="1"/>
                <c:pt idx="0">
                  <c:v>Kingston</c:v>
                </c:pt>
              </c:strCache>
            </c:strRef>
          </c:tx>
          <c:spPr>
            <a:ln w="12700">
              <a:solidFill>
                <a:schemeClr val="accent4">
                  <a:lumMod val="75000"/>
                </a:schemeClr>
              </a:solidFill>
              <a:prstDash val="sysDash"/>
            </a:ln>
          </c:spPr>
          <c:marker>
            <c:symbol val="circle"/>
            <c:size val="4"/>
            <c:spPr>
              <a:solidFill>
                <a:schemeClr val="accent4">
                  <a:lumMod val="75000"/>
                </a:schemeClr>
              </a:solidFill>
              <a:ln>
                <a:solidFill>
                  <a:schemeClr val="accent4">
                    <a:lumMod val="75000"/>
                  </a:schemeClr>
                </a:solidFill>
              </a:ln>
            </c:spPr>
          </c:marker>
          <c:cat>
            <c:strRef>
              <c:f>'All Incidence CRC 1993-2006'!$U$19:$AF$19</c:f>
              <c:strCache>
                <c:ptCount val="12"/>
                <c:pt idx="0">
                  <c:v>1993-95</c:v>
                </c:pt>
                <c:pt idx="1">
                  <c:v>1994-96</c:v>
                </c:pt>
                <c:pt idx="2">
                  <c:v>1995-97</c:v>
                </c:pt>
                <c:pt idx="3">
                  <c:v>1996-98</c:v>
                </c:pt>
                <c:pt idx="4">
                  <c:v>1997-99</c:v>
                </c:pt>
                <c:pt idx="5">
                  <c:v>1998-00</c:v>
                </c:pt>
                <c:pt idx="6">
                  <c:v>1999-01</c:v>
                </c:pt>
                <c:pt idx="7">
                  <c:v>2000-02</c:v>
                </c:pt>
                <c:pt idx="8">
                  <c:v>2001-03</c:v>
                </c:pt>
                <c:pt idx="9">
                  <c:v>2002-04</c:v>
                </c:pt>
                <c:pt idx="10">
                  <c:v>2003-05</c:v>
                </c:pt>
                <c:pt idx="11">
                  <c:v>2004-06</c:v>
                </c:pt>
              </c:strCache>
            </c:strRef>
          </c:cat>
          <c:val>
            <c:numRef>
              <c:f>'All Incidence CRC 1993-2006'!$U$24:$AF$24</c:f>
              <c:numCache>
                <c:formatCode>0.00</c:formatCode>
                <c:ptCount val="12"/>
                <c:pt idx="0">
                  <c:v>41.916666666665847</c:v>
                </c:pt>
                <c:pt idx="1">
                  <c:v>35.120000000000012</c:v>
                </c:pt>
                <c:pt idx="2">
                  <c:v>36.943333333333335</c:v>
                </c:pt>
                <c:pt idx="3">
                  <c:v>38.206666666666038</c:v>
                </c:pt>
                <c:pt idx="4">
                  <c:v>36.620000000000012</c:v>
                </c:pt>
                <c:pt idx="5">
                  <c:v>36.606666666665994</c:v>
                </c:pt>
                <c:pt idx="6">
                  <c:v>37.57666666666595</c:v>
                </c:pt>
                <c:pt idx="7">
                  <c:v>39.963333333333331</c:v>
                </c:pt>
                <c:pt idx="8">
                  <c:v>37.853333333333325</c:v>
                </c:pt>
                <c:pt idx="9">
                  <c:v>39.793333333333663</c:v>
                </c:pt>
                <c:pt idx="10">
                  <c:v>40.406666666665899</c:v>
                </c:pt>
                <c:pt idx="11">
                  <c:v>41.426666666665994</c:v>
                </c:pt>
              </c:numCache>
            </c:numRef>
          </c:val>
        </c:ser>
        <c:ser>
          <c:idx val="2"/>
          <c:order val="2"/>
          <c:tx>
            <c:strRef>
              <c:f>'All Incidence CRC 1993-2006'!$B$25</c:f>
              <c:strCache>
                <c:ptCount val="1"/>
                <c:pt idx="0">
                  <c:v>Wandsworth Teaching</c:v>
                </c:pt>
              </c:strCache>
            </c:strRef>
          </c:tx>
          <c:spPr>
            <a:ln w="12700">
              <a:solidFill>
                <a:srgbClr val="002060"/>
              </a:solidFill>
              <a:prstDash val="lgDashDotDot"/>
            </a:ln>
          </c:spPr>
          <c:marker>
            <c:symbol val="triangle"/>
            <c:size val="4"/>
            <c:spPr>
              <a:solidFill>
                <a:srgbClr val="002060"/>
              </a:solidFill>
              <a:ln>
                <a:solidFill>
                  <a:srgbClr val="002060"/>
                </a:solidFill>
              </a:ln>
            </c:spPr>
          </c:marker>
          <c:cat>
            <c:strRef>
              <c:f>'All Incidence CRC 1993-2006'!$U$19:$AF$19</c:f>
              <c:strCache>
                <c:ptCount val="12"/>
                <c:pt idx="0">
                  <c:v>1993-95</c:v>
                </c:pt>
                <c:pt idx="1">
                  <c:v>1994-96</c:v>
                </c:pt>
                <c:pt idx="2">
                  <c:v>1995-97</c:v>
                </c:pt>
                <c:pt idx="3">
                  <c:v>1996-98</c:v>
                </c:pt>
                <c:pt idx="4">
                  <c:v>1997-99</c:v>
                </c:pt>
                <c:pt idx="5">
                  <c:v>1998-00</c:v>
                </c:pt>
                <c:pt idx="6">
                  <c:v>1999-01</c:v>
                </c:pt>
                <c:pt idx="7">
                  <c:v>2000-02</c:v>
                </c:pt>
                <c:pt idx="8">
                  <c:v>2001-03</c:v>
                </c:pt>
                <c:pt idx="9">
                  <c:v>2002-04</c:v>
                </c:pt>
                <c:pt idx="10">
                  <c:v>2003-05</c:v>
                </c:pt>
                <c:pt idx="11">
                  <c:v>2004-06</c:v>
                </c:pt>
              </c:strCache>
            </c:strRef>
          </c:cat>
          <c:val>
            <c:numRef>
              <c:f>'All Incidence CRC 1993-2006'!$U$26:$AF$26</c:f>
              <c:numCache>
                <c:formatCode>0.00</c:formatCode>
                <c:ptCount val="12"/>
                <c:pt idx="0">
                  <c:v>37.99</c:v>
                </c:pt>
                <c:pt idx="1">
                  <c:v>38.676666666665994</c:v>
                </c:pt>
                <c:pt idx="2">
                  <c:v>35.046666666665907</c:v>
                </c:pt>
                <c:pt idx="3">
                  <c:v>33.676666666665994</c:v>
                </c:pt>
                <c:pt idx="4">
                  <c:v>28.633333333333098</c:v>
                </c:pt>
                <c:pt idx="5">
                  <c:v>32.006666666665943</c:v>
                </c:pt>
                <c:pt idx="6">
                  <c:v>31.023333333332964</c:v>
                </c:pt>
                <c:pt idx="7">
                  <c:v>33.473333333333336</c:v>
                </c:pt>
                <c:pt idx="8">
                  <c:v>29.419999999999987</c:v>
                </c:pt>
                <c:pt idx="9">
                  <c:v>32.860000000000007</c:v>
                </c:pt>
                <c:pt idx="10">
                  <c:v>37.233333333333363</c:v>
                </c:pt>
                <c:pt idx="11">
                  <c:v>38.913333333333334</c:v>
                </c:pt>
              </c:numCache>
            </c:numRef>
          </c:val>
        </c:ser>
        <c:ser>
          <c:idx val="3"/>
          <c:order val="3"/>
          <c:tx>
            <c:strRef>
              <c:f>'All Incidence CRC 1993-2006'!$B$27</c:f>
              <c:strCache>
                <c:ptCount val="1"/>
                <c:pt idx="0">
                  <c:v>Richmond &amp; Twickenham</c:v>
                </c:pt>
              </c:strCache>
            </c:strRef>
          </c:tx>
          <c:spPr>
            <a:ln w="12700">
              <a:solidFill>
                <a:schemeClr val="accent5"/>
              </a:solidFill>
              <a:prstDash val="dash"/>
            </a:ln>
          </c:spPr>
          <c:marker>
            <c:symbol val="x"/>
            <c:size val="4"/>
            <c:spPr>
              <a:ln>
                <a:solidFill>
                  <a:schemeClr val="accent5"/>
                </a:solidFill>
              </a:ln>
            </c:spPr>
          </c:marker>
          <c:cat>
            <c:strRef>
              <c:f>'All Incidence CRC 1993-2006'!$U$19:$AF$19</c:f>
              <c:strCache>
                <c:ptCount val="12"/>
                <c:pt idx="0">
                  <c:v>1993-95</c:v>
                </c:pt>
                <c:pt idx="1">
                  <c:v>1994-96</c:v>
                </c:pt>
                <c:pt idx="2">
                  <c:v>1995-97</c:v>
                </c:pt>
                <c:pt idx="3">
                  <c:v>1996-98</c:v>
                </c:pt>
                <c:pt idx="4">
                  <c:v>1997-99</c:v>
                </c:pt>
                <c:pt idx="5">
                  <c:v>1998-00</c:v>
                </c:pt>
                <c:pt idx="6">
                  <c:v>1999-01</c:v>
                </c:pt>
                <c:pt idx="7">
                  <c:v>2000-02</c:v>
                </c:pt>
                <c:pt idx="8">
                  <c:v>2001-03</c:v>
                </c:pt>
                <c:pt idx="9">
                  <c:v>2002-04</c:v>
                </c:pt>
                <c:pt idx="10">
                  <c:v>2003-05</c:v>
                </c:pt>
                <c:pt idx="11">
                  <c:v>2004-06</c:v>
                </c:pt>
              </c:strCache>
            </c:strRef>
          </c:cat>
          <c:val>
            <c:numRef>
              <c:f>'All Incidence CRC 1993-2006'!$U$28:$AF$28</c:f>
              <c:numCache>
                <c:formatCode>0.00</c:formatCode>
                <c:ptCount val="12"/>
                <c:pt idx="0">
                  <c:v>36.290000000000013</c:v>
                </c:pt>
                <c:pt idx="1">
                  <c:v>40.590000000000003</c:v>
                </c:pt>
                <c:pt idx="2">
                  <c:v>39.943333333333328</c:v>
                </c:pt>
                <c:pt idx="3">
                  <c:v>38.726666666666141</c:v>
                </c:pt>
                <c:pt idx="4">
                  <c:v>36.156666666665899</c:v>
                </c:pt>
                <c:pt idx="5">
                  <c:v>39.373333333333335</c:v>
                </c:pt>
                <c:pt idx="6">
                  <c:v>38.063333333333333</c:v>
                </c:pt>
                <c:pt idx="7">
                  <c:v>39.286666666665994</c:v>
                </c:pt>
                <c:pt idx="8">
                  <c:v>39.32666666666595</c:v>
                </c:pt>
                <c:pt idx="9">
                  <c:v>42.78</c:v>
                </c:pt>
                <c:pt idx="10">
                  <c:v>41.196666666666097</c:v>
                </c:pt>
                <c:pt idx="11">
                  <c:v>42.34</c:v>
                </c:pt>
              </c:numCache>
            </c:numRef>
          </c:val>
        </c:ser>
        <c:ser>
          <c:idx val="4"/>
          <c:order val="4"/>
          <c:tx>
            <c:strRef>
              <c:f>'All Incidence CRC 1993-2006'!$B$29</c:f>
              <c:strCache>
                <c:ptCount val="1"/>
                <c:pt idx="0">
                  <c:v>Sutton &amp; Merton</c:v>
                </c:pt>
              </c:strCache>
            </c:strRef>
          </c:tx>
          <c:spPr>
            <a:ln w="12700">
              <a:solidFill>
                <a:schemeClr val="accent6">
                  <a:lumMod val="75000"/>
                </a:schemeClr>
              </a:solidFill>
              <a:prstDash val="sysDot"/>
            </a:ln>
          </c:spPr>
          <c:marker>
            <c:symbol val="star"/>
            <c:size val="4"/>
            <c:spPr>
              <a:ln>
                <a:solidFill>
                  <a:schemeClr val="accent6">
                    <a:lumMod val="75000"/>
                  </a:schemeClr>
                </a:solidFill>
              </a:ln>
            </c:spPr>
          </c:marker>
          <c:cat>
            <c:strRef>
              <c:f>'All Incidence CRC 1993-2006'!$U$19:$AF$19</c:f>
              <c:strCache>
                <c:ptCount val="12"/>
                <c:pt idx="0">
                  <c:v>1993-95</c:v>
                </c:pt>
                <c:pt idx="1">
                  <c:v>1994-96</c:v>
                </c:pt>
                <c:pt idx="2">
                  <c:v>1995-97</c:v>
                </c:pt>
                <c:pt idx="3">
                  <c:v>1996-98</c:v>
                </c:pt>
                <c:pt idx="4">
                  <c:v>1997-99</c:v>
                </c:pt>
                <c:pt idx="5">
                  <c:v>1998-00</c:v>
                </c:pt>
                <c:pt idx="6">
                  <c:v>1999-01</c:v>
                </c:pt>
                <c:pt idx="7">
                  <c:v>2000-02</c:v>
                </c:pt>
                <c:pt idx="8">
                  <c:v>2001-03</c:v>
                </c:pt>
                <c:pt idx="9">
                  <c:v>2002-04</c:v>
                </c:pt>
                <c:pt idx="10">
                  <c:v>2003-05</c:v>
                </c:pt>
                <c:pt idx="11">
                  <c:v>2004-06</c:v>
                </c:pt>
              </c:strCache>
            </c:strRef>
          </c:cat>
          <c:val>
            <c:numRef>
              <c:f>'All Incidence CRC 1993-2006'!$U$30:$AF$30</c:f>
              <c:numCache>
                <c:formatCode>0.00</c:formatCode>
                <c:ptCount val="12"/>
                <c:pt idx="0">
                  <c:v>38.74</c:v>
                </c:pt>
                <c:pt idx="1">
                  <c:v>38.620000000000012</c:v>
                </c:pt>
                <c:pt idx="2">
                  <c:v>38.913333333333334</c:v>
                </c:pt>
                <c:pt idx="3">
                  <c:v>42.933333333333337</c:v>
                </c:pt>
                <c:pt idx="4">
                  <c:v>40.633333333333333</c:v>
                </c:pt>
                <c:pt idx="5">
                  <c:v>38.223333333333613</c:v>
                </c:pt>
                <c:pt idx="6">
                  <c:v>34.120000000000012</c:v>
                </c:pt>
                <c:pt idx="7">
                  <c:v>36.806666666665848</c:v>
                </c:pt>
                <c:pt idx="8">
                  <c:v>38.54</c:v>
                </c:pt>
                <c:pt idx="9">
                  <c:v>39.953333333333326</c:v>
                </c:pt>
                <c:pt idx="10">
                  <c:v>37.830000000000005</c:v>
                </c:pt>
                <c:pt idx="11">
                  <c:v>37.306666666665848</c:v>
                </c:pt>
              </c:numCache>
            </c:numRef>
          </c:val>
        </c:ser>
        <c:ser>
          <c:idx val="5"/>
          <c:order val="5"/>
          <c:tx>
            <c:strRef>
              <c:f>'All Incidence CRC 1993-2006'!$B$31</c:f>
              <c:strCache>
                <c:ptCount val="1"/>
                <c:pt idx="0">
                  <c:v>London SHA</c:v>
                </c:pt>
              </c:strCache>
            </c:strRef>
          </c:tx>
          <c:spPr>
            <a:ln w="12700">
              <a:solidFill>
                <a:srgbClr val="FF0000"/>
              </a:solidFill>
            </a:ln>
          </c:spPr>
          <c:marker>
            <c:symbol val="plus"/>
            <c:size val="5"/>
            <c:spPr>
              <a:ln>
                <a:solidFill>
                  <a:srgbClr val="FF0000"/>
                </a:solidFill>
              </a:ln>
            </c:spPr>
          </c:marker>
          <c:cat>
            <c:strRef>
              <c:f>'All Incidence CRC 1993-2006'!$U$19:$AF$19</c:f>
              <c:strCache>
                <c:ptCount val="12"/>
                <c:pt idx="0">
                  <c:v>1993-95</c:v>
                </c:pt>
                <c:pt idx="1">
                  <c:v>1994-96</c:v>
                </c:pt>
                <c:pt idx="2">
                  <c:v>1995-97</c:v>
                </c:pt>
                <c:pt idx="3">
                  <c:v>1996-98</c:v>
                </c:pt>
                <c:pt idx="4">
                  <c:v>1997-99</c:v>
                </c:pt>
                <c:pt idx="5">
                  <c:v>1998-00</c:v>
                </c:pt>
                <c:pt idx="6">
                  <c:v>1999-01</c:v>
                </c:pt>
                <c:pt idx="7">
                  <c:v>2000-02</c:v>
                </c:pt>
                <c:pt idx="8">
                  <c:v>2001-03</c:v>
                </c:pt>
                <c:pt idx="9">
                  <c:v>2002-04</c:v>
                </c:pt>
                <c:pt idx="10">
                  <c:v>2003-05</c:v>
                </c:pt>
                <c:pt idx="11">
                  <c:v>2004-06</c:v>
                </c:pt>
              </c:strCache>
            </c:strRef>
          </c:cat>
          <c:val>
            <c:numRef>
              <c:f>'All Incidence CRC 1993-2006'!$U$32:$AF$32</c:f>
              <c:numCache>
                <c:formatCode>0.00</c:formatCode>
                <c:ptCount val="12"/>
                <c:pt idx="0">
                  <c:v>32.856666666665774</c:v>
                </c:pt>
                <c:pt idx="1">
                  <c:v>32.82666666666595</c:v>
                </c:pt>
                <c:pt idx="2">
                  <c:v>33.54</c:v>
                </c:pt>
                <c:pt idx="3">
                  <c:v>34.506666666665936</c:v>
                </c:pt>
                <c:pt idx="4">
                  <c:v>34.716666666665994</c:v>
                </c:pt>
                <c:pt idx="5">
                  <c:v>35.066666666666009</c:v>
                </c:pt>
                <c:pt idx="6">
                  <c:v>33.94</c:v>
                </c:pt>
                <c:pt idx="7">
                  <c:v>33.926666666665994</c:v>
                </c:pt>
                <c:pt idx="8">
                  <c:v>33.1</c:v>
                </c:pt>
                <c:pt idx="9">
                  <c:v>33.53</c:v>
                </c:pt>
                <c:pt idx="10">
                  <c:v>33.53</c:v>
                </c:pt>
                <c:pt idx="11">
                  <c:v>33.593333333333362</c:v>
                </c:pt>
              </c:numCache>
            </c:numRef>
          </c:val>
        </c:ser>
        <c:ser>
          <c:idx val="6"/>
          <c:order val="6"/>
          <c:tx>
            <c:strRef>
              <c:f>'All Incidence CRC 1993-2006'!$B$33</c:f>
              <c:strCache>
                <c:ptCount val="1"/>
                <c:pt idx="0">
                  <c:v>ENGLAND</c:v>
                </c:pt>
              </c:strCache>
            </c:strRef>
          </c:tx>
          <c:spPr>
            <a:ln w="12700">
              <a:solidFill>
                <a:srgbClr val="663300"/>
              </a:solidFill>
              <a:prstDash val="lgDashDot"/>
            </a:ln>
          </c:spPr>
          <c:marker>
            <c:symbol val="square"/>
            <c:size val="5"/>
            <c:spPr>
              <a:solidFill>
                <a:srgbClr val="663300"/>
              </a:solidFill>
              <a:ln>
                <a:solidFill>
                  <a:srgbClr val="663300"/>
                </a:solidFill>
              </a:ln>
            </c:spPr>
          </c:marker>
          <c:cat>
            <c:strRef>
              <c:f>'All Incidence CRC 1993-2006'!$U$19:$AF$19</c:f>
              <c:strCache>
                <c:ptCount val="12"/>
                <c:pt idx="0">
                  <c:v>1993-95</c:v>
                </c:pt>
                <c:pt idx="1">
                  <c:v>1994-96</c:v>
                </c:pt>
                <c:pt idx="2">
                  <c:v>1995-97</c:v>
                </c:pt>
                <c:pt idx="3">
                  <c:v>1996-98</c:v>
                </c:pt>
                <c:pt idx="4">
                  <c:v>1997-99</c:v>
                </c:pt>
                <c:pt idx="5">
                  <c:v>1998-00</c:v>
                </c:pt>
                <c:pt idx="6">
                  <c:v>1999-01</c:v>
                </c:pt>
                <c:pt idx="7">
                  <c:v>2000-02</c:v>
                </c:pt>
                <c:pt idx="8">
                  <c:v>2001-03</c:v>
                </c:pt>
                <c:pt idx="9">
                  <c:v>2002-04</c:v>
                </c:pt>
                <c:pt idx="10">
                  <c:v>2003-05</c:v>
                </c:pt>
                <c:pt idx="11">
                  <c:v>2004-06</c:v>
                </c:pt>
              </c:strCache>
            </c:strRef>
          </c:cat>
          <c:val>
            <c:numRef>
              <c:f>'All Incidence CRC 1993-2006'!$U$34:$AF$34</c:f>
              <c:numCache>
                <c:formatCode>0.00</c:formatCode>
                <c:ptCount val="12"/>
                <c:pt idx="0">
                  <c:v>36.273333333333333</c:v>
                </c:pt>
                <c:pt idx="1">
                  <c:v>36.573333333333331</c:v>
                </c:pt>
                <c:pt idx="2">
                  <c:v>36.766666666666104</c:v>
                </c:pt>
                <c:pt idx="3">
                  <c:v>37.553333333333335</c:v>
                </c:pt>
                <c:pt idx="4">
                  <c:v>37.82666666666595</c:v>
                </c:pt>
                <c:pt idx="5">
                  <c:v>37.853333333333325</c:v>
                </c:pt>
                <c:pt idx="6">
                  <c:v>37.220000000000013</c:v>
                </c:pt>
                <c:pt idx="7">
                  <c:v>36.286666666665994</c:v>
                </c:pt>
                <c:pt idx="8">
                  <c:v>35.676666666665994</c:v>
                </c:pt>
                <c:pt idx="9">
                  <c:v>35.703333333333333</c:v>
                </c:pt>
                <c:pt idx="10">
                  <c:v>36.146666666665951</c:v>
                </c:pt>
                <c:pt idx="11">
                  <c:v>36.546666666665914</c:v>
                </c:pt>
              </c:numCache>
            </c:numRef>
          </c:val>
        </c:ser>
        <c:marker val="1"/>
        <c:axId val="172136704"/>
        <c:axId val="172188032"/>
      </c:lineChart>
      <c:catAx>
        <c:axId val="172136704"/>
        <c:scaling>
          <c:orientation val="minMax"/>
        </c:scaling>
        <c:axPos val="b"/>
        <c:numFmt formatCode="General" sourceLinked="1"/>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72188032"/>
        <c:crosses val="autoZero"/>
        <c:auto val="1"/>
        <c:lblAlgn val="ctr"/>
        <c:lblOffset val="100"/>
      </c:catAx>
      <c:valAx>
        <c:axId val="172188032"/>
        <c:scaling>
          <c:orientation val="minMax"/>
          <c:min val="25"/>
        </c:scaling>
        <c:axPos val="l"/>
        <c:majorGridlines/>
        <c:numFmt formatCode="0.00" sourceLinked="1"/>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72136704"/>
        <c:crosses val="autoZero"/>
        <c:crossBetween val="between"/>
      </c:valAx>
    </c:plotArea>
    <c:legend>
      <c:legendPos val="r"/>
      <c:layout>
        <c:manualLayout>
          <c:xMode val="edge"/>
          <c:yMode val="edge"/>
          <c:x val="8.555484618477012E-2"/>
          <c:y val="4.2752946790742083E-2"/>
          <c:w val="0.82214438060107364"/>
          <c:h val="0.12490116917203532"/>
        </c:manualLayout>
      </c:layout>
      <c:txPr>
        <a:bodyPr/>
        <a:lstStyle/>
        <a:p>
          <a:pPr>
            <a:defRPr sz="550" b="0" i="0" u="none" strike="noStrike" baseline="0">
              <a:solidFill>
                <a:srgbClr val="000000"/>
              </a:solidFill>
              <a:latin typeface="Calibri"/>
              <a:ea typeface="Calibri"/>
              <a:cs typeface="Calibri"/>
            </a:defRPr>
          </a:pPr>
          <a:endParaRPr lang="en-US"/>
        </a:p>
      </c:txPr>
    </c:legend>
    <c:plotVisOnly val="1"/>
    <c:dispBlanksAs val="gap"/>
  </c:chart>
  <c:spPr>
    <a:ln>
      <a:solidFill>
        <a:sysClr val="window" lastClr="FFFFFF"/>
      </a:solidFill>
    </a:ln>
  </c:spPr>
  <c:txPr>
    <a:bodyPr/>
    <a:lstStyle/>
    <a:p>
      <a:pPr>
        <a:defRPr sz="1000" b="0" i="0" u="none" strike="noStrike" baseline="0">
          <a:solidFill>
            <a:srgbClr val="000000"/>
          </a:solidFill>
          <a:latin typeface="Calibri"/>
          <a:ea typeface="Calibri"/>
          <a:cs typeface="Calibri"/>
        </a:defRPr>
      </a:pPr>
      <a:endParaRPr lang="en-US"/>
    </a:p>
  </c:txPr>
  <c:externalData r:id="rId1"/>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style val="1"/>
  <c:chart>
    <c:plotArea>
      <c:layout>
        <c:manualLayout>
          <c:layoutTarget val="inner"/>
          <c:xMode val="edge"/>
          <c:yMode val="edge"/>
          <c:x val="0.1278825995807128"/>
          <c:y val="3.4229828850855751E-2"/>
          <c:w val="0.85534591194969223"/>
          <c:h val="0.85574572127140114"/>
        </c:manualLayout>
      </c:layout>
      <c:barChart>
        <c:barDir val="col"/>
        <c:grouping val="clustered"/>
        <c:ser>
          <c:idx val="0"/>
          <c:order val="0"/>
          <c:tx>
            <c:strRef>
              <c:f>Colorectal!$A$50</c:f>
              <c:strCache>
                <c:ptCount val="1"/>
                <c:pt idx="0">
                  <c:v>Croydon</c:v>
                </c:pt>
              </c:strCache>
            </c:strRef>
          </c:tx>
          <c:cat>
            <c:strRef>
              <c:f>Colorectal!$B$49:$F$49</c:f>
              <c:strCache>
                <c:ptCount val="5"/>
                <c:pt idx="0">
                  <c:v>1</c:v>
                </c:pt>
                <c:pt idx="1">
                  <c:v>2</c:v>
                </c:pt>
                <c:pt idx="2">
                  <c:v>3</c:v>
                </c:pt>
                <c:pt idx="3">
                  <c:v>4</c:v>
                </c:pt>
                <c:pt idx="4">
                  <c:v>NK</c:v>
                </c:pt>
              </c:strCache>
            </c:strRef>
          </c:cat>
          <c:val>
            <c:numRef>
              <c:f>Colorectal!$B$50:$F$50</c:f>
              <c:numCache>
                <c:formatCode>0.00%</c:formatCode>
                <c:ptCount val="5"/>
                <c:pt idx="0">
                  <c:v>0.11713665943601025</c:v>
                </c:pt>
                <c:pt idx="1">
                  <c:v>0.13665943600867678</c:v>
                </c:pt>
                <c:pt idx="2">
                  <c:v>0.11713665943601025</c:v>
                </c:pt>
                <c:pt idx="3">
                  <c:v>0.1431670281995662</c:v>
                </c:pt>
                <c:pt idx="4">
                  <c:v>0.48590021691974467</c:v>
                </c:pt>
              </c:numCache>
            </c:numRef>
          </c:val>
        </c:ser>
        <c:ser>
          <c:idx val="1"/>
          <c:order val="1"/>
          <c:tx>
            <c:strRef>
              <c:f>Colorectal!$A$51</c:f>
              <c:strCache>
                <c:ptCount val="1"/>
                <c:pt idx="0">
                  <c:v>Kingston</c:v>
                </c:pt>
              </c:strCache>
            </c:strRef>
          </c:tx>
          <c:val>
            <c:numRef>
              <c:f>Colorectal!$B$51:$F$51</c:f>
              <c:numCache>
                <c:formatCode>0.00%</c:formatCode>
                <c:ptCount val="5"/>
                <c:pt idx="0">
                  <c:v>0.18041237113402342</c:v>
                </c:pt>
                <c:pt idx="1">
                  <c:v>0.23711340206185574</c:v>
                </c:pt>
                <c:pt idx="2">
                  <c:v>0.1752577319587629</c:v>
                </c:pt>
                <c:pt idx="3">
                  <c:v>0.1752577319587629</c:v>
                </c:pt>
                <c:pt idx="4">
                  <c:v>0.23195876288659936</c:v>
                </c:pt>
              </c:numCache>
            </c:numRef>
          </c:val>
        </c:ser>
        <c:ser>
          <c:idx val="2"/>
          <c:order val="2"/>
          <c:tx>
            <c:strRef>
              <c:f>Colorectal!$A$52</c:f>
              <c:strCache>
                <c:ptCount val="1"/>
                <c:pt idx="0">
                  <c:v>Richmond &amp; Twickenham</c:v>
                </c:pt>
              </c:strCache>
            </c:strRef>
          </c:tx>
          <c:spPr>
            <a:solidFill>
              <a:schemeClr val="tx1"/>
            </a:solidFill>
          </c:spPr>
          <c:val>
            <c:numRef>
              <c:f>Colorectal!$B$52:$F$52</c:f>
              <c:numCache>
                <c:formatCode>0.00%</c:formatCode>
                <c:ptCount val="5"/>
                <c:pt idx="0">
                  <c:v>0.11740890688259108</c:v>
                </c:pt>
                <c:pt idx="1">
                  <c:v>0.23076923076923347</c:v>
                </c:pt>
                <c:pt idx="2">
                  <c:v>0.17408906882591094</c:v>
                </c:pt>
                <c:pt idx="3">
                  <c:v>0.25101214574898784</c:v>
                </c:pt>
                <c:pt idx="4">
                  <c:v>0.22672064777327935</c:v>
                </c:pt>
              </c:numCache>
            </c:numRef>
          </c:val>
        </c:ser>
        <c:ser>
          <c:idx val="3"/>
          <c:order val="3"/>
          <c:tx>
            <c:strRef>
              <c:f>Colorectal!$A$53</c:f>
              <c:strCache>
                <c:ptCount val="1"/>
                <c:pt idx="0">
                  <c:v>Sutton &amp; Merton</c:v>
                </c:pt>
              </c:strCache>
            </c:strRef>
          </c:tx>
          <c:spPr>
            <a:solidFill>
              <a:schemeClr val="bg1"/>
            </a:solidFill>
            <a:ln>
              <a:solidFill>
                <a:schemeClr val="tx1"/>
              </a:solidFill>
            </a:ln>
          </c:spPr>
          <c:val>
            <c:numRef>
              <c:f>Colorectal!$B$53:$F$53</c:f>
              <c:numCache>
                <c:formatCode>0.00%</c:formatCode>
                <c:ptCount val="5"/>
                <c:pt idx="0">
                  <c:v>0.15702479338843134</c:v>
                </c:pt>
                <c:pt idx="1">
                  <c:v>0.16942148760330591</c:v>
                </c:pt>
                <c:pt idx="2">
                  <c:v>0.15702479338843134</c:v>
                </c:pt>
                <c:pt idx="3">
                  <c:v>0.22520661157024793</c:v>
                </c:pt>
                <c:pt idx="4">
                  <c:v>0.29132231404959075</c:v>
                </c:pt>
              </c:numCache>
            </c:numRef>
          </c:val>
        </c:ser>
        <c:ser>
          <c:idx val="5"/>
          <c:order val="4"/>
          <c:tx>
            <c:strRef>
              <c:f>Colorectal!$A$55</c:f>
              <c:strCache>
                <c:ptCount val="1"/>
                <c:pt idx="0">
                  <c:v>Wandsworth</c:v>
                </c:pt>
              </c:strCache>
            </c:strRef>
          </c:tx>
          <c:spPr>
            <a:solidFill>
              <a:schemeClr val="tx1">
                <a:lumMod val="50000"/>
                <a:lumOff val="50000"/>
              </a:schemeClr>
            </a:solidFill>
          </c:spPr>
          <c:val>
            <c:numRef>
              <c:f>Colorectal!$B$55:$F$55</c:f>
              <c:numCache>
                <c:formatCode>0.00%</c:formatCode>
                <c:ptCount val="5"/>
                <c:pt idx="0">
                  <c:v>0.17472118959108027</c:v>
                </c:pt>
                <c:pt idx="1">
                  <c:v>0.22676579925650558</c:v>
                </c:pt>
                <c:pt idx="2">
                  <c:v>0.21189591078066924</c:v>
                </c:pt>
                <c:pt idx="3">
                  <c:v>0.18587360594795538</c:v>
                </c:pt>
                <c:pt idx="4">
                  <c:v>0.20074349442379424</c:v>
                </c:pt>
              </c:numCache>
            </c:numRef>
          </c:val>
        </c:ser>
        <c:axId val="172197376"/>
        <c:axId val="172198912"/>
      </c:barChart>
      <c:catAx>
        <c:axId val="172197376"/>
        <c:scaling>
          <c:orientation val="minMax"/>
        </c:scaling>
        <c:axPos val="b"/>
        <c:numFmt formatCode="General" sourceLinked="1"/>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72198912"/>
        <c:crosses val="autoZero"/>
        <c:auto val="1"/>
        <c:lblAlgn val="ctr"/>
        <c:lblOffset val="100"/>
      </c:catAx>
      <c:valAx>
        <c:axId val="172198912"/>
        <c:scaling>
          <c:orientation val="minMax"/>
        </c:scaling>
        <c:axPos val="l"/>
        <c:majorGridlines/>
        <c:numFmt formatCode="0.0%" sourceLinked="0"/>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72197376"/>
        <c:crosses val="autoZero"/>
        <c:crossBetween val="between"/>
      </c:valAx>
    </c:plotArea>
    <c:legend>
      <c:legendPos val="r"/>
      <c:layout>
        <c:manualLayout>
          <c:xMode val="edge"/>
          <c:yMode val="edge"/>
          <c:x val="0.11759434565061502"/>
          <c:y val="2.8558881501679994E-2"/>
          <c:w val="0.84359038453526647"/>
          <c:h val="0.15084530776065444"/>
        </c:manualLayout>
      </c:layout>
      <c:txPr>
        <a:bodyPr/>
        <a:lstStyle/>
        <a:p>
          <a:pPr>
            <a:defRPr sz="600" b="0" i="0" u="none" strike="noStrike" baseline="0">
              <a:solidFill>
                <a:srgbClr val="000000"/>
              </a:solidFill>
              <a:latin typeface="Calibri"/>
              <a:ea typeface="Calibri"/>
              <a:cs typeface="Calibri"/>
            </a:defRPr>
          </a:pPr>
          <a:endParaRPr lang="en-US"/>
        </a:p>
      </c:txPr>
    </c:legend>
    <c:plotVisOnly val="1"/>
    <c:dispBlanksAs val="gap"/>
  </c:chart>
  <c:spPr>
    <a:ln>
      <a:solidFill>
        <a:schemeClr val="bg1"/>
      </a:solidFill>
    </a:ln>
  </c:spPr>
  <c:txPr>
    <a:bodyPr/>
    <a:lstStyle/>
    <a:p>
      <a:pPr>
        <a:defRPr sz="1000" b="0" i="0" u="none" strike="noStrike" baseline="0">
          <a:solidFill>
            <a:srgbClr val="000000"/>
          </a:solidFill>
          <a:latin typeface="Calibri"/>
          <a:ea typeface="Calibri"/>
          <a:cs typeface="Calibri"/>
        </a:defRPr>
      </a:pPr>
      <a:endParaRPr lang="en-US"/>
    </a:p>
  </c:txPr>
  <c:externalData r:id="rId1"/>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style val="1"/>
  <c:chart>
    <c:plotArea>
      <c:layout>
        <c:manualLayout>
          <c:layoutTarget val="inner"/>
          <c:xMode val="edge"/>
          <c:yMode val="edge"/>
          <c:x val="0.12551440329218141"/>
          <c:y val="3.4313725490196081E-2"/>
          <c:w val="0.85802469135803316"/>
          <c:h val="0.85539215686274506"/>
        </c:manualLayout>
      </c:layout>
      <c:barChart>
        <c:barDir val="col"/>
        <c:grouping val="clustered"/>
        <c:ser>
          <c:idx val="0"/>
          <c:order val="0"/>
          <c:tx>
            <c:strRef>
              <c:f>Colorectal!$A$50</c:f>
              <c:strCache>
                <c:ptCount val="1"/>
                <c:pt idx="0">
                  <c:v>Croydon</c:v>
                </c:pt>
              </c:strCache>
            </c:strRef>
          </c:tx>
          <c:cat>
            <c:strRef>
              <c:f>Colorectal!$G$49:$K$49</c:f>
              <c:strCache>
                <c:ptCount val="5"/>
                <c:pt idx="0">
                  <c:v>1</c:v>
                </c:pt>
                <c:pt idx="1">
                  <c:v>2</c:v>
                </c:pt>
                <c:pt idx="2">
                  <c:v>3</c:v>
                </c:pt>
                <c:pt idx="3">
                  <c:v>4</c:v>
                </c:pt>
                <c:pt idx="4">
                  <c:v>NK</c:v>
                </c:pt>
              </c:strCache>
            </c:strRef>
          </c:cat>
          <c:val>
            <c:numRef>
              <c:f>Colorectal!$G$50:$K$50</c:f>
              <c:numCache>
                <c:formatCode>0.00%</c:formatCode>
                <c:ptCount val="5"/>
                <c:pt idx="0">
                  <c:v>0.1091954022988517</c:v>
                </c:pt>
                <c:pt idx="1">
                  <c:v>0.11781609195402298</c:v>
                </c:pt>
                <c:pt idx="2">
                  <c:v>0.1091954022988517</c:v>
                </c:pt>
                <c:pt idx="3">
                  <c:v>0.17241379310344992</c:v>
                </c:pt>
                <c:pt idx="4">
                  <c:v>0.49137931034483356</c:v>
                </c:pt>
              </c:numCache>
            </c:numRef>
          </c:val>
        </c:ser>
        <c:ser>
          <c:idx val="1"/>
          <c:order val="1"/>
          <c:tx>
            <c:strRef>
              <c:f>Colorectal!$A$51</c:f>
              <c:strCache>
                <c:ptCount val="1"/>
                <c:pt idx="0">
                  <c:v>Kingston</c:v>
                </c:pt>
              </c:strCache>
            </c:strRef>
          </c:tx>
          <c:val>
            <c:numRef>
              <c:f>Colorectal!$G$51:$K$51</c:f>
              <c:numCache>
                <c:formatCode>0.00%</c:formatCode>
                <c:ptCount val="5"/>
                <c:pt idx="0">
                  <c:v>0.15311004784689258</c:v>
                </c:pt>
                <c:pt idx="1">
                  <c:v>0.21052631578947528</c:v>
                </c:pt>
                <c:pt idx="2">
                  <c:v>0.21531100478468901</c:v>
                </c:pt>
                <c:pt idx="3">
                  <c:v>0.18660287081339721</c:v>
                </c:pt>
                <c:pt idx="4">
                  <c:v>0.23444976076555024</c:v>
                </c:pt>
              </c:numCache>
            </c:numRef>
          </c:val>
        </c:ser>
        <c:ser>
          <c:idx val="2"/>
          <c:order val="2"/>
          <c:tx>
            <c:strRef>
              <c:f>Colorectal!$A$52</c:f>
              <c:strCache>
                <c:ptCount val="1"/>
                <c:pt idx="0">
                  <c:v>Richmond &amp; Twickenham</c:v>
                </c:pt>
              </c:strCache>
            </c:strRef>
          </c:tx>
          <c:spPr>
            <a:solidFill>
              <a:schemeClr val="tx1"/>
            </a:solidFill>
          </c:spPr>
          <c:val>
            <c:numRef>
              <c:f>Colorectal!$G$52:$K$52</c:f>
              <c:numCache>
                <c:formatCode>0.00%</c:formatCode>
                <c:ptCount val="5"/>
                <c:pt idx="0">
                  <c:v>0.19512195121951004</c:v>
                </c:pt>
                <c:pt idx="1">
                  <c:v>0.19512195121951004</c:v>
                </c:pt>
                <c:pt idx="2">
                  <c:v>0.21544715447154725</c:v>
                </c:pt>
                <c:pt idx="3">
                  <c:v>0.21951219512195363</c:v>
                </c:pt>
                <c:pt idx="4">
                  <c:v>0.17479674796748157</c:v>
                </c:pt>
              </c:numCache>
            </c:numRef>
          </c:val>
        </c:ser>
        <c:ser>
          <c:idx val="3"/>
          <c:order val="3"/>
          <c:tx>
            <c:strRef>
              <c:f>Colorectal!$A$53</c:f>
              <c:strCache>
                <c:ptCount val="1"/>
                <c:pt idx="0">
                  <c:v>Sutton &amp; Merton</c:v>
                </c:pt>
              </c:strCache>
            </c:strRef>
          </c:tx>
          <c:spPr>
            <a:solidFill>
              <a:schemeClr val="bg1"/>
            </a:solidFill>
            <a:ln>
              <a:solidFill>
                <a:schemeClr val="tx1"/>
              </a:solidFill>
            </a:ln>
          </c:spPr>
          <c:val>
            <c:numRef>
              <c:f>Colorectal!$G$53:$K$53</c:f>
              <c:numCache>
                <c:formatCode>0.00%</c:formatCode>
                <c:ptCount val="5"/>
                <c:pt idx="0">
                  <c:v>0.12526096033402923</c:v>
                </c:pt>
                <c:pt idx="1">
                  <c:v>0.17954070981211045</c:v>
                </c:pt>
                <c:pt idx="2">
                  <c:v>0.14613778705636926</c:v>
                </c:pt>
                <c:pt idx="3">
                  <c:v>0.2108559498956159</c:v>
                </c:pt>
                <c:pt idx="4">
                  <c:v>0.33820459290188376</c:v>
                </c:pt>
              </c:numCache>
            </c:numRef>
          </c:val>
        </c:ser>
        <c:ser>
          <c:idx val="5"/>
          <c:order val="4"/>
          <c:tx>
            <c:strRef>
              <c:f>Colorectal!$A$55</c:f>
              <c:strCache>
                <c:ptCount val="1"/>
                <c:pt idx="0">
                  <c:v>Wandsworth</c:v>
                </c:pt>
              </c:strCache>
            </c:strRef>
          </c:tx>
          <c:spPr>
            <a:solidFill>
              <a:schemeClr val="tx1">
                <a:lumMod val="50000"/>
                <a:lumOff val="50000"/>
              </a:schemeClr>
            </a:solidFill>
          </c:spPr>
          <c:val>
            <c:numRef>
              <c:f>Colorectal!$G$55:$K$55</c:f>
              <c:numCache>
                <c:formatCode>0.00%</c:formatCode>
                <c:ptCount val="5"/>
                <c:pt idx="0">
                  <c:v>0.18110236220472442</c:v>
                </c:pt>
                <c:pt idx="1">
                  <c:v>0.15748031496063133</c:v>
                </c:pt>
                <c:pt idx="2">
                  <c:v>0.15748031496063133</c:v>
                </c:pt>
                <c:pt idx="3">
                  <c:v>0.24803149606299554</c:v>
                </c:pt>
                <c:pt idx="4">
                  <c:v>0.25590551181102361</c:v>
                </c:pt>
              </c:numCache>
            </c:numRef>
          </c:val>
        </c:ser>
        <c:axId val="172246528"/>
        <c:axId val="172248064"/>
      </c:barChart>
      <c:catAx>
        <c:axId val="172246528"/>
        <c:scaling>
          <c:orientation val="minMax"/>
        </c:scaling>
        <c:axPos val="b"/>
        <c:numFmt formatCode="General" sourceLinked="1"/>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72248064"/>
        <c:crosses val="autoZero"/>
        <c:auto val="1"/>
        <c:lblAlgn val="ctr"/>
        <c:lblOffset val="100"/>
      </c:catAx>
      <c:valAx>
        <c:axId val="172248064"/>
        <c:scaling>
          <c:orientation val="minMax"/>
        </c:scaling>
        <c:axPos val="l"/>
        <c:majorGridlines/>
        <c:numFmt formatCode="0.0%" sourceLinked="0"/>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72246528"/>
        <c:crosses val="autoZero"/>
        <c:crossBetween val="between"/>
      </c:valAx>
    </c:plotArea>
    <c:legend>
      <c:legendPos val="r"/>
      <c:layout>
        <c:manualLayout>
          <c:xMode val="edge"/>
          <c:yMode val="edge"/>
          <c:x val="0.12623959042156771"/>
          <c:y val="3.5134836086665656E-2"/>
          <c:w val="0.74756013523000986"/>
          <c:h val="0.14541660233647513"/>
        </c:manualLayout>
      </c:layout>
      <c:txPr>
        <a:bodyPr/>
        <a:lstStyle/>
        <a:p>
          <a:pPr>
            <a:defRPr sz="600" b="0" i="0" u="none" strike="noStrike" baseline="0">
              <a:solidFill>
                <a:srgbClr val="000000"/>
              </a:solidFill>
              <a:latin typeface="Calibri"/>
              <a:ea typeface="Calibri"/>
              <a:cs typeface="Calibri"/>
            </a:defRPr>
          </a:pPr>
          <a:endParaRPr lang="en-US"/>
        </a:p>
      </c:txPr>
    </c:legend>
    <c:plotVisOnly val="1"/>
    <c:dispBlanksAs val="gap"/>
  </c:chart>
  <c:spPr>
    <a:ln>
      <a:solidFill>
        <a:sysClr val="window" lastClr="FFFFFF"/>
      </a:solidFill>
    </a:ln>
  </c:spPr>
  <c:txPr>
    <a:bodyPr/>
    <a:lstStyle/>
    <a:p>
      <a:pPr>
        <a:defRPr sz="1000" b="0" i="0" u="none" strike="noStrike" baseline="0">
          <a:solidFill>
            <a:srgbClr val="000000"/>
          </a:solidFill>
          <a:latin typeface="Calibri"/>
          <a:ea typeface="Calibri"/>
          <a:cs typeface="Calibri"/>
        </a:defRPr>
      </a:pPr>
      <a:endParaRPr lang="en-US"/>
    </a:p>
  </c:txPr>
  <c:externalData r:id="rId1"/>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style val="1"/>
  <c:chart>
    <c:plotArea>
      <c:layout>
        <c:manualLayout>
          <c:layoutTarget val="inner"/>
          <c:xMode val="edge"/>
          <c:yMode val="edge"/>
          <c:x val="0.1278825995807128"/>
          <c:y val="3.4398034398034377E-2"/>
          <c:w val="0.85115303983228507"/>
          <c:h val="0.855036855036855"/>
        </c:manualLayout>
      </c:layout>
      <c:barChart>
        <c:barDir val="col"/>
        <c:grouping val="clustered"/>
        <c:ser>
          <c:idx val="0"/>
          <c:order val="0"/>
          <c:tx>
            <c:strRef>
              <c:f>Colorectal!$A$9</c:f>
              <c:strCache>
                <c:ptCount val="1"/>
                <c:pt idx="0">
                  <c:v>SWLCN</c:v>
                </c:pt>
              </c:strCache>
            </c:strRef>
          </c:tx>
          <c:cat>
            <c:strRef>
              <c:f>Colorectal!$B$8:$F$8</c:f>
              <c:strCache>
                <c:ptCount val="5"/>
                <c:pt idx="0">
                  <c:v>1</c:v>
                </c:pt>
                <c:pt idx="1">
                  <c:v>2</c:v>
                </c:pt>
                <c:pt idx="2">
                  <c:v>3</c:v>
                </c:pt>
                <c:pt idx="3">
                  <c:v>4</c:v>
                </c:pt>
                <c:pt idx="4">
                  <c:v>NK</c:v>
                </c:pt>
              </c:strCache>
            </c:strRef>
          </c:cat>
          <c:val>
            <c:numRef>
              <c:f>Colorectal!$B$9:$F$9</c:f>
              <c:numCache>
                <c:formatCode>0.00%</c:formatCode>
                <c:ptCount val="5"/>
                <c:pt idx="0">
                  <c:v>0.16441658630665384</c:v>
                </c:pt>
                <c:pt idx="1">
                  <c:v>0.18032786885245924</c:v>
                </c:pt>
                <c:pt idx="2">
                  <c:v>0.16634522661523626</c:v>
                </c:pt>
                <c:pt idx="3">
                  <c:v>0.19334619093539337</c:v>
                </c:pt>
                <c:pt idx="4">
                  <c:v>0.29556412729026715</c:v>
                </c:pt>
              </c:numCache>
            </c:numRef>
          </c:val>
        </c:ser>
        <c:ser>
          <c:idx val="1"/>
          <c:order val="1"/>
          <c:tx>
            <c:strRef>
              <c:f>Colorectal!$A$10</c:f>
              <c:strCache>
                <c:ptCount val="1"/>
                <c:pt idx="0">
                  <c:v>London SHA</c:v>
                </c:pt>
              </c:strCache>
            </c:strRef>
          </c:tx>
          <c:val>
            <c:numRef>
              <c:f>Colorectal!$B$10:$F$10</c:f>
              <c:numCache>
                <c:formatCode>0.00%</c:formatCode>
                <c:ptCount val="5"/>
                <c:pt idx="0">
                  <c:v>0.17645645645645988</c:v>
                </c:pt>
                <c:pt idx="1">
                  <c:v>0.15171171171171174</c:v>
                </c:pt>
                <c:pt idx="2">
                  <c:v>0.15759759759760153</c:v>
                </c:pt>
                <c:pt idx="3">
                  <c:v>0.23075075075075072</c:v>
                </c:pt>
                <c:pt idx="4">
                  <c:v>0.28348348348348767</c:v>
                </c:pt>
              </c:numCache>
            </c:numRef>
          </c:val>
        </c:ser>
        <c:ser>
          <c:idx val="2"/>
          <c:order val="2"/>
          <c:tx>
            <c:strRef>
              <c:f>Colorectal!$A$11</c:f>
              <c:strCache>
                <c:ptCount val="1"/>
                <c:pt idx="0">
                  <c:v>South East England</c:v>
                </c:pt>
              </c:strCache>
            </c:strRef>
          </c:tx>
          <c:spPr>
            <a:solidFill>
              <a:prstClr val="black"/>
            </a:solidFill>
          </c:spPr>
          <c:val>
            <c:numRef>
              <c:f>Colorectal!$B$11:$F$11</c:f>
              <c:numCache>
                <c:formatCode>0.00%</c:formatCode>
                <c:ptCount val="5"/>
                <c:pt idx="0">
                  <c:v>0.21802287366898887</c:v>
                </c:pt>
                <c:pt idx="1">
                  <c:v>0.14256605757854621</c:v>
                </c:pt>
                <c:pt idx="2">
                  <c:v>0.17411594583935849</c:v>
                </c:pt>
                <c:pt idx="3">
                  <c:v>0.2222295254370974</c:v>
                </c:pt>
                <c:pt idx="4">
                  <c:v>0.243065597476011</c:v>
                </c:pt>
              </c:numCache>
            </c:numRef>
          </c:val>
        </c:ser>
        <c:axId val="172429312"/>
        <c:axId val="172430848"/>
      </c:barChart>
      <c:catAx>
        <c:axId val="172429312"/>
        <c:scaling>
          <c:orientation val="minMax"/>
        </c:scaling>
        <c:axPos val="b"/>
        <c:numFmt formatCode="General" sourceLinked="1"/>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72430848"/>
        <c:crosses val="autoZero"/>
        <c:auto val="1"/>
        <c:lblAlgn val="ctr"/>
        <c:lblOffset val="100"/>
      </c:catAx>
      <c:valAx>
        <c:axId val="172430848"/>
        <c:scaling>
          <c:orientation val="minMax"/>
        </c:scaling>
        <c:axPos val="l"/>
        <c:majorGridlines/>
        <c:numFmt formatCode="0.0%" sourceLinked="0"/>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72429312"/>
        <c:crosses val="autoZero"/>
        <c:crossBetween val="between"/>
      </c:valAx>
    </c:plotArea>
    <c:legend>
      <c:legendPos val="r"/>
      <c:layout>
        <c:manualLayout>
          <c:xMode val="edge"/>
          <c:yMode val="edge"/>
          <c:x val="0.15822688830563067"/>
          <c:y val="4.7504111126158384E-2"/>
          <c:w val="0.35672378031398144"/>
          <c:h val="0.24239550280095584"/>
        </c:manualLayout>
      </c:layout>
      <c:txPr>
        <a:bodyPr/>
        <a:lstStyle/>
        <a:p>
          <a:pPr>
            <a:defRPr sz="600" b="0" i="0" u="none" strike="noStrike" baseline="0">
              <a:solidFill>
                <a:srgbClr val="000000"/>
              </a:solidFill>
              <a:latin typeface="Calibri"/>
              <a:ea typeface="Calibri"/>
              <a:cs typeface="Calibri"/>
            </a:defRPr>
          </a:pPr>
          <a:endParaRPr lang="en-US"/>
        </a:p>
      </c:txPr>
    </c:legend>
    <c:plotVisOnly val="1"/>
    <c:dispBlanksAs val="gap"/>
  </c:chart>
  <c:spPr>
    <a:ln>
      <a:solidFill>
        <a:sysClr val="window" lastClr="FFFFFF"/>
      </a:solidFill>
    </a:ln>
  </c:spPr>
  <c:txPr>
    <a:bodyPr/>
    <a:lstStyle/>
    <a:p>
      <a:pPr>
        <a:defRPr sz="1000" b="0" i="0" u="none" strike="noStrike" baseline="0">
          <a:solidFill>
            <a:srgbClr val="000000"/>
          </a:solidFill>
          <a:latin typeface="Calibri"/>
          <a:ea typeface="Calibri"/>
          <a:cs typeface="Calibri"/>
        </a:defRPr>
      </a:pPr>
      <a:endParaRPr lang="en-U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style val="1"/>
  <c:chart>
    <c:plotArea>
      <c:layout>
        <c:manualLayout>
          <c:layoutTarget val="inner"/>
          <c:xMode val="edge"/>
          <c:yMode val="edge"/>
          <c:x val="0.12783505154639496"/>
          <c:y val="3.4398034398034377E-2"/>
          <c:w val="0.85154639175257729"/>
          <c:h val="0.855036855036855"/>
        </c:manualLayout>
      </c:layout>
      <c:barChart>
        <c:barDir val="col"/>
        <c:grouping val="clustered"/>
        <c:ser>
          <c:idx val="0"/>
          <c:order val="0"/>
          <c:tx>
            <c:strRef>
              <c:f>Colorectal!$A$9</c:f>
              <c:strCache>
                <c:ptCount val="1"/>
                <c:pt idx="0">
                  <c:v>SWLCN</c:v>
                </c:pt>
              </c:strCache>
            </c:strRef>
          </c:tx>
          <c:cat>
            <c:strRef>
              <c:f>Colorectal!$B$8:$F$8</c:f>
              <c:strCache>
                <c:ptCount val="5"/>
                <c:pt idx="0">
                  <c:v>1</c:v>
                </c:pt>
                <c:pt idx="1">
                  <c:v>2</c:v>
                </c:pt>
                <c:pt idx="2">
                  <c:v>3</c:v>
                </c:pt>
                <c:pt idx="3">
                  <c:v>4</c:v>
                </c:pt>
                <c:pt idx="4">
                  <c:v>NK</c:v>
                </c:pt>
              </c:strCache>
            </c:strRef>
          </c:cat>
          <c:val>
            <c:numRef>
              <c:f>Colorectal!$G$9:$K$9</c:f>
              <c:numCache>
                <c:formatCode>0.00%</c:formatCode>
                <c:ptCount val="5"/>
                <c:pt idx="0">
                  <c:v>0.17047817047817049</c:v>
                </c:pt>
                <c:pt idx="1">
                  <c:v>0.16216216216216428</c:v>
                </c:pt>
                <c:pt idx="2">
                  <c:v>0.16372141372141374</c:v>
                </c:pt>
                <c:pt idx="3">
                  <c:v>0.20270270270270271</c:v>
                </c:pt>
                <c:pt idx="4">
                  <c:v>0.30093555093555091</c:v>
                </c:pt>
              </c:numCache>
            </c:numRef>
          </c:val>
        </c:ser>
        <c:ser>
          <c:idx val="1"/>
          <c:order val="1"/>
          <c:tx>
            <c:strRef>
              <c:f>Colorectal!$A$10</c:f>
              <c:strCache>
                <c:ptCount val="1"/>
                <c:pt idx="0">
                  <c:v>London SHA</c:v>
                </c:pt>
              </c:strCache>
            </c:strRef>
          </c:tx>
          <c:val>
            <c:numRef>
              <c:f>Colorectal!$G$10:$K$10</c:f>
              <c:numCache>
                <c:formatCode>0.00%</c:formatCode>
                <c:ptCount val="5"/>
                <c:pt idx="0">
                  <c:v>0.16869077805952218</c:v>
                </c:pt>
                <c:pt idx="1">
                  <c:v>0.14853863606032641</c:v>
                </c:pt>
                <c:pt idx="2">
                  <c:v>0.14987321500066728</c:v>
                </c:pt>
                <c:pt idx="3">
                  <c:v>0.21980515147470991</c:v>
                </c:pt>
                <c:pt idx="4">
                  <c:v>0.31309221940477788</c:v>
                </c:pt>
              </c:numCache>
            </c:numRef>
          </c:val>
        </c:ser>
        <c:ser>
          <c:idx val="2"/>
          <c:order val="2"/>
          <c:tx>
            <c:strRef>
              <c:f>Colorectal!$A$11</c:f>
              <c:strCache>
                <c:ptCount val="1"/>
                <c:pt idx="0">
                  <c:v>South East England</c:v>
                </c:pt>
              </c:strCache>
            </c:strRef>
          </c:tx>
          <c:spPr>
            <a:solidFill>
              <a:prstClr val="black"/>
            </a:solidFill>
          </c:spPr>
          <c:val>
            <c:numRef>
              <c:f>Colorectal!$G$11:$K$11</c:f>
              <c:numCache>
                <c:formatCode>0.00%</c:formatCode>
                <c:ptCount val="5"/>
                <c:pt idx="0">
                  <c:v>0.21213201226031789</c:v>
                </c:pt>
                <c:pt idx="1">
                  <c:v>0.14862071423479917</c:v>
                </c:pt>
                <c:pt idx="2">
                  <c:v>0.16822296671181125</c:v>
                </c:pt>
                <c:pt idx="3">
                  <c:v>0.20935205645448721</c:v>
                </c:pt>
                <c:pt idx="4">
                  <c:v>0.26167225033858427</c:v>
                </c:pt>
              </c:numCache>
            </c:numRef>
          </c:val>
        </c:ser>
        <c:axId val="172452096"/>
        <c:axId val="172457984"/>
      </c:barChart>
      <c:catAx>
        <c:axId val="172452096"/>
        <c:scaling>
          <c:orientation val="minMax"/>
        </c:scaling>
        <c:axPos val="b"/>
        <c:numFmt formatCode="General" sourceLinked="1"/>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72457984"/>
        <c:crosses val="autoZero"/>
        <c:auto val="1"/>
        <c:lblAlgn val="ctr"/>
        <c:lblOffset val="100"/>
      </c:catAx>
      <c:valAx>
        <c:axId val="172457984"/>
        <c:scaling>
          <c:orientation val="minMax"/>
        </c:scaling>
        <c:axPos val="l"/>
        <c:majorGridlines/>
        <c:numFmt formatCode="0.0%" sourceLinked="0"/>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72452096"/>
        <c:crosses val="autoZero"/>
        <c:crossBetween val="between"/>
      </c:valAx>
    </c:plotArea>
    <c:legend>
      <c:legendPos val="r"/>
      <c:layout>
        <c:manualLayout>
          <c:xMode val="edge"/>
          <c:yMode val="edge"/>
          <c:x val="0.15822691235760494"/>
          <c:y val="4.7504111126158384E-2"/>
          <c:w val="0.24686116297318506"/>
          <c:h val="0.17771905047495834"/>
        </c:manualLayout>
      </c:layout>
      <c:txPr>
        <a:bodyPr/>
        <a:lstStyle/>
        <a:p>
          <a:pPr>
            <a:defRPr sz="600" b="0" i="0" u="none" strike="noStrike" baseline="0">
              <a:solidFill>
                <a:srgbClr val="000000"/>
              </a:solidFill>
              <a:latin typeface="Calibri"/>
              <a:ea typeface="Calibri"/>
              <a:cs typeface="Calibri"/>
            </a:defRPr>
          </a:pPr>
          <a:endParaRPr lang="en-US"/>
        </a:p>
      </c:txPr>
    </c:legend>
    <c:plotVisOnly val="1"/>
    <c:dispBlanksAs val="gap"/>
  </c:chart>
  <c:spPr>
    <a:ln>
      <a:solidFill>
        <a:sysClr val="window" lastClr="FFFFFF"/>
      </a:solidFill>
    </a:ln>
  </c:spPr>
  <c:txPr>
    <a:bodyPr/>
    <a:lstStyle/>
    <a:p>
      <a:pPr>
        <a:defRPr sz="1000" b="0" i="0" u="none" strike="noStrike" baseline="0">
          <a:solidFill>
            <a:srgbClr val="000000"/>
          </a:solidFill>
          <a:latin typeface="Calibri"/>
          <a:ea typeface="Calibri"/>
          <a:cs typeface="Calibri"/>
        </a:defRPr>
      </a:pPr>
      <a:endParaRPr lang="en-US"/>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1533587095846112"/>
          <c:y val="5.0941469090707486E-2"/>
          <c:w val="0.85412255500708023"/>
          <c:h val="0.82758628234117804"/>
        </c:manualLayout>
      </c:layout>
      <c:barChart>
        <c:barDir val="col"/>
        <c:grouping val="clustered"/>
        <c:ser>
          <c:idx val="0"/>
          <c:order val="0"/>
          <c:spPr>
            <a:solidFill>
              <a:sysClr val="window" lastClr="FFFFFF">
                <a:lumMod val="65000"/>
              </a:sysClr>
            </a:solidFill>
            <a:ln>
              <a:solidFill>
                <a:prstClr val="black"/>
              </a:solidFill>
            </a:ln>
          </c:spPr>
          <c:errBars>
            <c:errBarType val="both"/>
            <c:errValType val="cust"/>
            <c:plus>
              <c:numRef>
                <c:f>'One Year'!$F$39:$F$43</c:f>
                <c:numCache>
                  <c:formatCode>General</c:formatCode>
                  <c:ptCount val="5"/>
                  <c:pt idx="0">
                    <c:v>3.2999999999999972</c:v>
                  </c:pt>
                  <c:pt idx="1">
                    <c:v>4.4000000000000083</c:v>
                  </c:pt>
                  <c:pt idx="2">
                    <c:v>4.5</c:v>
                  </c:pt>
                  <c:pt idx="3">
                    <c:v>5.1000000000000085</c:v>
                  </c:pt>
                  <c:pt idx="4">
                    <c:v>3.7000000000000042</c:v>
                  </c:pt>
                </c:numCache>
              </c:numRef>
            </c:plus>
            <c:minus>
              <c:numRef>
                <c:f>'One Year'!$E$39:$E$43</c:f>
                <c:numCache>
                  <c:formatCode>General</c:formatCode>
                  <c:ptCount val="5"/>
                  <c:pt idx="0">
                    <c:v>3.3000000000000114</c:v>
                  </c:pt>
                  <c:pt idx="1">
                    <c:v>4.4000000000000083</c:v>
                  </c:pt>
                  <c:pt idx="2">
                    <c:v>4.5999999999999943</c:v>
                  </c:pt>
                  <c:pt idx="3">
                    <c:v>5.2000000000000028</c:v>
                  </c:pt>
                  <c:pt idx="4">
                    <c:v>3.5999999999999943</c:v>
                  </c:pt>
                </c:numCache>
              </c:numRef>
            </c:minus>
          </c:errBars>
          <c:cat>
            <c:strRef>
              <c:f>'One Year'!$A$39:$A$43</c:f>
              <c:strCache>
                <c:ptCount val="5"/>
                <c:pt idx="0">
                  <c:v>Sutton &amp; Merton</c:v>
                </c:pt>
                <c:pt idx="1">
                  <c:v>Wandsworth</c:v>
                </c:pt>
                <c:pt idx="2">
                  <c:v>Richmond &amp; Twickenham</c:v>
                </c:pt>
                <c:pt idx="3">
                  <c:v>Kingston</c:v>
                </c:pt>
                <c:pt idx="4">
                  <c:v>Croydon</c:v>
                </c:pt>
              </c:strCache>
            </c:strRef>
          </c:cat>
          <c:val>
            <c:numRef>
              <c:f>'One Year'!$B$39:$B$43</c:f>
              <c:numCache>
                <c:formatCode>General</c:formatCode>
                <c:ptCount val="5"/>
                <c:pt idx="0">
                  <c:v>71.400000000000006</c:v>
                </c:pt>
                <c:pt idx="1">
                  <c:v>72.5</c:v>
                </c:pt>
                <c:pt idx="2">
                  <c:v>73.3</c:v>
                </c:pt>
                <c:pt idx="3">
                  <c:v>73.8</c:v>
                </c:pt>
                <c:pt idx="4">
                  <c:v>74.5</c:v>
                </c:pt>
              </c:numCache>
            </c:numRef>
          </c:val>
        </c:ser>
        <c:axId val="172490112"/>
        <c:axId val="174711936"/>
      </c:barChart>
      <c:catAx>
        <c:axId val="172490112"/>
        <c:scaling>
          <c:orientation val="minMax"/>
        </c:scaling>
        <c:axPos val="b"/>
        <c:tickLblPos val="nextTo"/>
        <c:txPr>
          <a:bodyPr/>
          <a:lstStyle/>
          <a:p>
            <a:pPr>
              <a:defRPr sz="600"/>
            </a:pPr>
            <a:endParaRPr lang="en-US"/>
          </a:p>
        </c:txPr>
        <c:crossAx val="174711936"/>
        <c:crosses val="autoZero"/>
        <c:auto val="1"/>
        <c:lblAlgn val="ctr"/>
        <c:lblOffset val="100"/>
      </c:catAx>
      <c:valAx>
        <c:axId val="174711936"/>
        <c:scaling>
          <c:orientation val="minMax"/>
        </c:scaling>
        <c:axPos val="l"/>
        <c:majorGridlines/>
        <c:numFmt formatCode="General" sourceLinked="1"/>
        <c:tickLblPos val="nextTo"/>
        <c:txPr>
          <a:bodyPr/>
          <a:lstStyle/>
          <a:p>
            <a:pPr>
              <a:defRPr sz="600"/>
            </a:pPr>
            <a:endParaRPr lang="en-US"/>
          </a:p>
        </c:txPr>
        <c:crossAx val="172490112"/>
        <c:crosses val="autoZero"/>
        <c:crossBetween val="between"/>
      </c:valAx>
    </c:plotArea>
    <c:plotVisOnly val="1"/>
    <c:dispBlanksAs val="gap"/>
  </c:chart>
  <c:spPr>
    <a:ln>
      <a:solidFill>
        <a:schemeClr val="bg1"/>
      </a:solidFill>
    </a:ln>
  </c:spPr>
  <c:externalData r:id="rId1"/>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3550723901448047"/>
          <c:y val="4.418913307478356E-2"/>
          <c:w val="0.84083684700702732"/>
          <c:h val="0.60454483488071464"/>
        </c:manualLayout>
      </c:layout>
      <c:barChart>
        <c:barDir val="col"/>
        <c:grouping val="clustered"/>
        <c:ser>
          <c:idx val="0"/>
          <c:order val="0"/>
          <c:spPr>
            <a:solidFill>
              <a:schemeClr val="bg1">
                <a:lumMod val="65000"/>
              </a:schemeClr>
            </a:solidFill>
            <a:ln>
              <a:solidFill>
                <a:schemeClr val="tx1"/>
              </a:solidFill>
            </a:ln>
          </c:spPr>
          <c:errBars>
            <c:errBarType val="both"/>
            <c:errValType val="cust"/>
            <c:plus>
              <c:numRef>
                <c:f>'Colorectal and Pancreas'!$J$11:$J$26</c:f>
                <c:numCache>
                  <c:formatCode>General</c:formatCode>
                  <c:ptCount val="16"/>
                  <c:pt idx="0">
                    <c:v>2.4078374004945005</c:v>
                  </c:pt>
                  <c:pt idx="1">
                    <c:v>2.5508439102888358</c:v>
                  </c:pt>
                  <c:pt idx="2">
                    <c:v>1.9937134157433007</c:v>
                  </c:pt>
                  <c:pt idx="3">
                    <c:v>2.3248422750641584</c:v>
                  </c:pt>
                  <c:pt idx="4">
                    <c:v>2.260200977125109</c:v>
                  </c:pt>
                  <c:pt idx="5">
                    <c:v>1.2192599880528974</c:v>
                  </c:pt>
                  <c:pt idx="6">
                    <c:v>2.4794828421140087</c:v>
                  </c:pt>
                  <c:pt idx="7">
                    <c:v>2.3189669838793767</c:v>
                  </c:pt>
                  <c:pt idx="8">
                    <c:v>2.1447279606045404</c:v>
                  </c:pt>
                  <c:pt idx="9">
                    <c:v>1.6990041011503081</c:v>
                  </c:pt>
                  <c:pt idx="10">
                    <c:v>1.1044337367162251</c:v>
                  </c:pt>
                  <c:pt idx="11">
                    <c:v>0.35706294270519834</c:v>
                  </c:pt>
                  <c:pt idx="12">
                    <c:v>0.19000000000000003</c:v>
                  </c:pt>
                  <c:pt idx="13">
                    <c:v>0.68000000000000682</c:v>
                  </c:pt>
                  <c:pt idx="14">
                    <c:v>0.56999999999999362</c:v>
                  </c:pt>
                  <c:pt idx="15">
                    <c:v>0.42000000000000182</c:v>
                  </c:pt>
                </c:numCache>
              </c:numRef>
            </c:plus>
            <c:minus>
              <c:numRef>
                <c:f>'Colorectal and Pancreas'!$I$11:$I$26</c:f>
                <c:numCache>
                  <c:formatCode>General</c:formatCode>
                  <c:ptCount val="16"/>
                  <c:pt idx="0">
                    <c:v>2.4078374004945005</c:v>
                  </c:pt>
                  <c:pt idx="1">
                    <c:v>2.5508439102888358</c:v>
                  </c:pt>
                  <c:pt idx="2">
                    <c:v>1.9937134157434002</c:v>
                  </c:pt>
                  <c:pt idx="3">
                    <c:v>2.3248422750640967</c:v>
                  </c:pt>
                  <c:pt idx="4">
                    <c:v>2.2602009771251952</c:v>
                  </c:pt>
                  <c:pt idx="5">
                    <c:v>1.2192599880528974</c:v>
                  </c:pt>
                  <c:pt idx="6">
                    <c:v>2.4794828421140949</c:v>
                  </c:pt>
                  <c:pt idx="7">
                    <c:v>2.3189669838793967</c:v>
                  </c:pt>
                  <c:pt idx="8">
                    <c:v>2.1447279606045404</c:v>
                  </c:pt>
                  <c:pt idx="9">
                    <c:v>1.6990041011502941</c:v>
                  </c:pt>
                  <c:pt idx="10">
                    <c:v>1.1044337367162251</c:v>
                  </c:pt>
                  <c:pt idx="11">
                    <c:v>0.35706294270509886</c:v>
                  </c:pt>
                  <c:pt idx="12">
                    <c:v>0.19000000000000003</c:v>
                  </c:pt>
                  <c:pt idx="13">
                    <c:v>0.66999999999999871</c:v>
                  </c:pt>
                  <c:pt idx="14">
                    <c:v>0.57000000000000761</c:v>
                  </c:pt>
                  <c:pt idx="15">
                    <c:v>0.42000000000000182</c:v>
                  </c:pt>
                </c:numCache>
              </c:numRef>
            </c:minus>
          </c:errBars>
          <c:cat>
            <c:strRef>
              <c:f>'Colorectal and Pancreas'!$B$11:$B$26</c:f>
              <c:strCache>
                <c:ptCount val="16"/>
                <c:pt idx="0">
                  <c:v>North London CN</c:v>
                </c:pt>
                <c:pt idx="1">
                  <c:v>North East London CN</c:v>
                </c:pt>
                <c:pt idx="2">
                  <c:v>Kent &amp; Medway CN</c:v>
                </c:pt>
                <c:pt idx="3">
                  <c:v>North West London CN</c:v>
                </c:pt>
                <c:pt idx="4">
                  <c:v>Sussex CN</c:v>
                </c:pt>
                <c:pt idx="5">
                  <c:v>South East Coast SHA</c:v>
                </c:pt>
                <c:pt idx="6">
                  <c:v>Surrey, West Sussex &amp; Hampshire CN</c:v>
                </c:pt>
                <c:pt idx="7">
                  <c:v>South East London CN</c:v>
                </c:pt>
                <c:pt idx="8">
                  <c:v>South West London CN</c:v>
                </c:pt>
                <c:pt idx="9">
                  <c:v>Central South Coast CN</c:v>
                </c:pt>
                <c:pt idx="10">
                  <c:v>London SHA</c:v>
                </c:pt>
                <c:pt idx="11">
                  <c:v>England</c:v>
                </c:pt>
                <c:pt idx="12">
                  <c:v>UK England</c:v>
                </c:pt>
                <c:pt idx="13">
                  <c:v>Finland</c:v>
                </c:pt>
                <c:pt idx="14">
                  <c:v>Norway</c:v>
                </c:pt>
                <c:pt idx="15">
                  <c:v>Sweden</c:v>
                </c:pt>
              </c:strCache>
            </c:strRef>
          </c:cat>
          <c:val>
            <c:numRef>
              <c:f>'Colorectal and Pancreas'!$C$11:$C$26</c:f>
              <c:numCache>
                <c:formatCode>0.0</c:formatCode>
                <c:ptCount val="16"/>
                <c:pt idx="0">
                  <c:v>69.197843432870201</c:v>
                </c:pt>
                <c:pt idx="1">
                  <c:v>69.663366189800598</c:v>
                </c:pt>
                <c:pt idx="2">
                  <c:v>71.096331794300582</c:v>
                </c:pt>
                <c:pt idx="3">
                  <c:v>71.220836965773799</c:v>
                </c:pt>
                <c:pt idx="4">
                  <c:v>72.105104026120458</c:v>
                </c:pt>
                <c:pt idx="5">
                  <c:v>72.205107090086088</c:v>
                </c:pt>
                <c:pt idx="6">
                  <c:v>72.269643171995696</c:v>
                </c:pt>
                <c:pt idx="7">
                  <c:v>72.736980067143605</c:v>
                </c:pt>
                <c:pt idx="8">
                  <c:v>76.932706120515689</c:v>
                </c:pt>
                <c:pt idx="9">
                  <c:v>78.319352000088458</c:v>
                </c:pt>
                <c:pt idx="10">
                  <c:v>71.821079686592782</c:v>
                </c:pt>
                <c:pt idx="11">
                  <c:v>74.185115118379358</c:v>
                </c:pt>
                <c:pt idx="12">
                  <c:v>71.14</c:v>
                </c:pt>
                <c:pt idx="13">
                  <c:v>79.099999999999994</c:v>
                </c:pt>
                <c:pt idx="14">
                  <c:v>77.260000000000005</c:v>
                </c:pt>
                <c:pt idx="15">
                  <c:v>79.989999999999995</c:v>
                </c:pt>
              </c:numCache>
            </c:numRef>
          </c:val>
        </c:ser>
        <c:axId val="104999936"/>
        <c:axId val="174713472"/>
      </c:barChart>
      <c:catAx>
        <c:axId val="104999936"/>
        <c:scaling>
          <c:orientation val="minMax"/>
        </c:scaling>
        <c:axPos val="b"/>
        <c:numFmt formatCode="General" sourceLinked="1"/>
        <c:tickLblPos val="nextTo"/>
        <c:crossAx val="174713472"/>
        <c:crosses val="autoZero"/>
        <c:auto val="1"/>
        <c:lblAlgn val="ctr"/>
        <c:lblOffset val="100"/>
      </c:catAx>
      <c:valAx>
        <c:axId val="174713472"/>
        <c:scaling>
          <c:orientation val="minMax"/>
        </c:scaling>
        <c:axPos val="l"/>
        <c:majorGridlines/>
        <c:numFmt formatCode="0.0" sourceLinked="1"/>
        <c:tickLblPos val="nextTo"/>
        <c:crossAx val="104999936"/>
        <c:crosses val="autoZero"/>
        <c:crossBetween val="between"/>
      </c:valAx>
    </c:plotArea>
    <c:plotVisOnly val="1"/>
    <c:dispBlanksAs val="gap"/>
  </c:chart>
  <c:spPr>
    <a:ln>
      <a:solidFill>
        <a:schemeClr val="bg1"/>
      </a:solidFill>
    </a:ln>
  </c:spPr>
  <c:txPr>
    <a:bodyPr/>
    <a:lstStyle/>
    <a:p>
      <a:pPr>
        <a:defRPr sz="600"/>
      </a:pPr>
      <a:endParaRPr lang="en-US"/>
    </a:p>
  </c:txPr>
  <c:externalData r:id="rId1"/>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3550723901448053"/>
          <c:y val="4.418913307478356E-2"/>
          <c:w val="0.84083684700702732"/>
          <c:h val="0.66266506649494639"/>
        </c:manualLayout>
      </c:layout>
      <c:barChart>
        <c:barDir val="col"/>
        <c:grouping val="clustered"/>
        <c:ser>
          <c:idx val="0"/>
          <c:order val="0"/>
          <c:spPr>
            <a:solidFill>
              <a:schemeClr val="bg1">
                <a:lumMod val="65000"/>
              </a:schemeClr>
            </a:solidFill>
            <a:ln>
              <a:solidFill>
                <a:schemeClr val="tx1"/>
              </a:solidFill>
            </a:ln>
          </c:spPr>
          <c:errBars>
            <c:errBarType val="both"/>
            <c:errValType val="cust"/>
            <c:plus>
              <c:numRef>
                <c:f>'Colorectal and Pancreas'!$J$32:$J$47</c:f>
                <c:numCache>
                  <c:formatCode>General</c:formatCode>
                  <c:ptCount val="16"/>
                  <c:pt idx="0">
                    <c:v>2.6573984015371952</c:v>
                  </c:pt>
                  <c:pt idx="1">
                    <c:v>2.1885696610351042</c:v>
                  </c:pt>
                  <c:pt idx="2">
                    <c:v>2.6854289750761069</c:v>
                  </c:pt>
                  <c:pt idx="3">
                    <c:v>2.5840607176177279</c:v>
                  </c:pt>
                  <c:pt idx="4">
                    <c:v>1.2892933561112017</c:v>
                  </c:pt>
                  <c:pt idx="5">
                    <c:v>2.3054232001185113</c:v>
                  </c:pt>
                  <c:pt idx="6">
                    <c:v>2.4432080091757777</c:v>
                  </c:pt>
                  <c:pt idx="7">
                    <c:v>2.6126693045732332</c:v>
                  </c:pt>
                  <c:pt idx="8">
                    <c:v>2.2970111773010466</c:v>
                  </c:pt>
                  <c:pt idx="9">
                    <c:v>1.8665647962900058</c:v>
                  </c:pt>
                  <c:pt idx="10">
                    <c:v>1.187591023523908</c:v>
                  </c:pt>
                  <c:pt idx="11">
                    <c:v>0.39966795642739328</c:v>
                  </c:pt>
                  <c:pt idx="12">
                    <c:v>0.21000000000000796</c:v>
                  </c:pt>
                  <c:pt idx="13">
                    <c:v>0.6600000000000078</c:v>
                  </c:pt>
                  <c:pt idx="14">
                    <c:v>0.54000000000000625</c:v>
                  </c:pt>
                  <c:pt idx="15">
                    <c:v>0.42000000000000182</c:v>
                  </c:pt>
                </c:numCache>
              </c:numRef>
            </c:plus>
            <c:minus>
              <c:numRef>
                <c:f>'Colorectal and Pancreas'!$I$32:$I$47</c:f>
                <c:numCache>
                  <c:formatCode>General</c:formatCode>
                  <c:ptCount val="16"/>
                  <c:pt idx="0">
                    <c:v>2.6573984015372005</c:v>
                  </c:pt>
                  <c:pt idx="1">
                    <c:v>2.1885696610351042</c:v>
                  </c:pt>
                  <c:pt idx="2">
                    <c:v>2.6854289750760003</c:v>
                  </c:pt>
                  <c:pt idx="3">
                    <c:v>2.5840607176176484</c:v>
                  </c:pt>
                  <c:pt idx="4">
                    <c:v>1.2892933561110898</c:v>
                  </c:pt>
                  <c:pt idx="5">
                    <c:v>2.3054232001183976</c:v>
                  </c:pt>
                  <c:pt idx="6">
                    <c:v>2.4432080091757027</c:v>
                  </c:pt>
                  <c:pt idx="7">
                    <c:v>2.6126693045733727</c:v>
                  </c:pt>
                  <c:pt idx="8">
                    <c:v>2.2970111773010466</c:v>
                  </c:pt>
                  <c:pt idx="9">
                    <c:v>1.8665647962899692</c:v>
                  </c:pt>
                  <c:pt idx="10">
                    <c:v>1.1875910235238933</c:v>
                  </c:pt>
                  <c:pt idx="11">
                    <c:v>0.39966795642730801</c:v>
                  </c:pt>
                  <c:pt idx="12">
                    <c:v>0.20999999999999763</c:v>
                  </c:pt>
                  <c:pt idx="13">
                    <c:v>0.65000000000001534</c:v>
                  </c:pt>
                  <c:pt idx="14">
                    <c:v>0.53999999999999204</c:v>
                  </c:pt>
                  <c:pt idx="15">
                    <c:v>0.42000000000000182</c:v>
                  </c:pt>
                </c:numCache>
              </c:numRef>
            </c:minus>
          </c:errBars>
          <c:cat>
            <c:strRef>
              <c:f>'Colorectal and Pancreas'!$B$32:$B$47</c:f>
              <c:strCache>
                <c:ptCount val="16"/>
                <c:pt idx="0">
                  <c:v>North London CN</c:v>
                </c:pt>
                <c:pt idx="1">
                  <c:v>Kent &amp; Medway CN</c:v>
                </c:pt>
                <c:pt idx="2">
                  <c:v>North East London CN</c:v>
                </c:pt>
                <c:pt idx="3">
                  <c:v>South East London CN</c:v>
                </c:pt>
                <c:pt idx="4">
                  <c:v>South East Coast SHA</c:v>
                </c:pt>
                <c:pt idx="5">
                  <c:v>Sussex CN</c:v>
                </c:pt>
                <c:pt idx="6">
                  <c:v>North West London CN</c:v>
                </c:pt>
                <c:pt idx="7">
                  <c:v>Surrey, West Sussex &amp; Hampshire CN</c:v>
                </c:pt>
                <c:pt idx="8">
                  <c:v>South West London CN</c:v>
                </c:pt>
                <c:pt idx="9">
                  <c:v>Central South Coast CN</c:v>
                </c:pt>
                <c:pt idx="10">
                  <c:v>London SHA</c:v>
                </c:pt>
                <c:pt idx="11">
                  <c:v>England</c:v>
                </c:pt>
                <c:pt idx="12">
                  <c:v>UK England</c:v>
                </c:pt>
                <c:pt idx="13">
                  <c:v>Finland</c:v>
                </c:pt>
                <c:pt idx="14">
                  <c:v>Norway</c:v>
                </c:pt>
                <c:pt idx="15">
                  <c:v>Sweden</c:v>
                </c:pt>
              </c:strCache>
            </c:strRef>
          </c:cat>
          <c:val>
            <c:numRef>
              <c:f>'Colorectal and Pancreas'!$F$32:$F$47</c:f>
              <c:numCache>
                <c:formatCode>0.0</c:formatCode>
                <c:ptCount val="16"/>
                <c:pt idx="0">
                  <c:v>64.743881688754001</c:v>
                </c:pt>
                <c:pt idx="1">
                  <c:v>66.442254832450388</c:v>
                </c:pt>
                <c:pt idx="2">
                  <c:v>66.665283556461034</c:v>
                </c:pt>
                <c:pt idx="3">
                  <c:v>67.755209750507305</c:v>
                </c:pt>
                <c:pt idx="4">
                  <c:v>67.891693737153602</c:v>
                </c:pt>
                <c:pt idx="5">
                  <c:v>68.013498846063158</c:v>
                </c:pt>
                <c:pt idx="6">
                  <c:v>69.218072988344304</c:v>
                </c:pt>
                <c:pt idx="7">
                  <c:v>69.448817342457858</c:v>
                </c:pt>
                <c:pt idx="8">
                  <c:v>71.150328250976358</c:v>
                </c:pt>
                <c:pt idx="9">
                  <c:v>72.877709831730158</c:v>
                </c:pt>
                <c:pt idx="10">
                  <c:v>67.821568528708099</c:v>
                </c:pt>
                <c:pt idx="11">
                  <c:v>70.772204345811403</c:v>
                </c:pt>
                <c:pt idx="12">
                  <c:v>68.19</c:v>
                </c:pt>
                <c:pt idx="13">
                  <c:v>77.61999999999999</c:v>
                </c:pt>
                <c:pt idx="14">
                  <c:v>77.13</c:v>
                </c:pt>
                <c:pt idx="15">
                  <c:v>80.05</c:v>
                </c:pt>
              </c:numCache>
            </c:numRef>
          </c:val>
        </c:ser>
        <c:axId val="105044224"/>
        <c:axId val="105046016"/>
      </c:barChart>
      <c:catAx>
        <c:axId val="105044224"/>
        <c:scaling>
          <c:orientation val="minMax"/>
        </c:scaling>
        <c:axPos val="b"/>
        <c:numFmt formatCode="General" sourceLinked="1"/>
        <c:tickLblPos val="nextTo"/>
        <c:crossAx val="105046016"/>
        <c:crosses val="autoZero"/>
        <c:auto val="1"/>
        <c:lblAlgn val="ctr"/>
        <c:lblOffset val="100"/>
      </c:catAx>
      <c:valAx>
        <c:axId val="105046016"/>
        <c:scaling>
          <c:orientation val="minMax"/>
        </c:scaling>
        <c:axPos val="l"/>
        <c:majorGridlines/>
        <c:numFmt formatCode="0.0" sourceLinked="1"/>
        <c:tickLblPos val="nextTo"/>
        <c:crossAx val="105044224"/>
        <c:crosses val="autoZero"/>
        <c:crossBetween val="between"/>
      </c:valAx>
    </c:plotArea>
    <c:plotVisOnly val="1"/>
    <c:dispBlanksAs val="gap"/>
  </c:chart>
  <c:spPr>
    <a:ln>
      <a:solidFill>
        <a:schemeClr val="bg1"/>
      </a:solidFill>
    </a:ln>
  </c:spPr>
  <c:txPr>
    <a:bodyPr/>
    <a:lstStyle/>
    <a:p>
      <a:pPr>
        <a:defRPr sz="600"/>
      </a:pPr>
      <a:endParaRPr lang="en-US"/>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3069651741293534"/>
          <c:y val="5.0925925925925923E-2"/>
          <c:w val="0.84194029850746765"/>
          <c:h val="0.79372703412073564"/>
        </c:manualLayout>
      </c:layout>
      <c:barChart>
        <c:barDir val="col"/>
        <c:grouping val="clustered"/>
        <c:ser>
          <c:idx val="0"/>
          <c:order val="0"/>
          <c:spPr>
            <a:solidFill>
              <a:prstClr val="white">
                <a:lumMod val="75000"/>
              </a:prstClr>
            </a:solidFill>
            <a:ln>
              <a:solidFill>
                <a:schemeClr val="tx1"/>
              </a:solidFill>
            </a:ln>
          </c:spPr>
          <c:errBars>
            <c:errBarType val="both"/>
            <c:errValType val="cust"/>
            <c:plus>
              <c:numRef>
                <c:f>(London!$F$17,London!$F$20,London!$F$25,London!$F$26,London!$F$28,London!$F$33,London!$K$7,London!$G$7)</c:f>
                <c:numCache>
                  <c:formatCode>General</c:formatCode>
                  <c:ptCount val="8"/>
                  <c:pt idx="0">
                    <c:v>1.6132799999999996</c:v>
                  </c:pt>
                  <c:pt idx="1">
                    <c:v>1.8165999999999978</c:v>
                  </c:pt>
                  <c:pt idx="2">
                    <c:v>1.6796900000000008</c:v>
                  </c:pt>
                  <c:pt idx="3">
                    <c:v>1.9176299999999746</c:v>
                  </c:pt>
                  <c:pt idx="4">
                    <c:v>1.831869999999973</c:v>
                  </c:pt>
                  <c:pt idx="5">
                    <c:v>2.2386099999999987</c:v>
                  </c:pt>
                  <c:pt idx="6">
                    <c:v>1.3034179999999989</c:v>
                  </c:pt>
                  <c:pt idx="7">
                    <c:v>0.60000000000000164</c:v>
                  </c:pt>
                </c:numCache>
              </c:numRef>
            </c:plus>
            <c:minus>
              <c:numRef>
                <c:f>(London!$G$17,London!$G$20,London!$G$25,London!$G$26,London!$G$28,London!$G$33,London!$L$7,London!$H$7)</c:f>
                <c:numCache>
                  <c:formatCode>General</c:formatCode>
                  <c:ptCount val="8"/>
                  <c:pt idx="0">
                    <c:v>1.4299689999999656</c:v>
                  </c:pt>
                  <c:pt idx="1">
                    <c:v>1.595682</c:v>
                  </c:pt>
                  <c:pt idx="2">
                    <c:v>1.5027599999999999</c:v>
                  </c:pt>
                  <c:pt idx="3">
                    <c:v>1.6904900000000005</c:v>
                  </c:pt>
                  <c:pt idx="4">
                    <c:v>1.6242699999999992</c:v>
                  </c:pt>
                  <c:pt idx="5">
                    <c:v>1.97279</c:v>
                  </c:pt>
                  <c:pt idx="6">
                    <c:v>1.303412000000002</c:v>
                  </c:pt>
                  <c:pt idx="7">
                    <c:v>0.56828000000000145</c:v>
                  </c:pt>
                </c:numCache>
              </c:numRef>
            </c:minus>
          </c:errBars>
          <c:cat>
            <c:strRef>
              <c:f>(London!$A$17,London!$A$20,London!$A$25,London!$A$26,London!$A$28,London!$A$33,London!$J$6,London!$F$6)</c:f>
              <c:strCache>
                <c:ptCount val="8"/>
                <c:pt idx="0">
                  <c:v>Croydon</c:v>
                </c:pt>
                <c:pt idx="1">
                  <c:v>Sutton</c:v>
                </c:pt>
                <c:pt idx="2">
                  <c:v>Merton</c:v>
                </c:pt>
                <c:pt idx="3">
                  <c:v>Richmond upon Thames</c:v>
                </c:pt>
                <c:pt idx="4">
                  <c:v>Kingston upon Thames</c:v>
                </c:pt>
                <c:pt idx="5">
                  <c:v>Wandsworth</c:v>
                </c:pt>
                <c:pt idx="6">
                  <c:v>London</c:v>
                </c:pt>
                <c:pt idx="7">
                  <c:v>England</c:v>
                </c:pt>
              </c:strCache>
            </c:strRef>
          </c:cat>
          <c:val>
            <c:numRef>
              <c:f>(London!$E$17,London!$E$20,London!$E$25,London!$E$26,London!$E$28,London!$E$33,London!$M$6,London!$I$6)</c:f>
              <c:numCache>
                <c:formatCode>0.0</c:formatCode>
                <c:ptCount val="8"/>
                <c:pt idx="0">
                  <c:v>11.02652</c:v>
                </c:pt>
                <c:pt idx="1">
                  <c:v>11.42882</c:v>
                </c:pt>
                <c:pt idx="2">
                  <c:v>12.27182</c:v>
                </c:pt>
                <c:pt idx="3">
                  <c:v>12.27618</c:v>
                </c:pt>
                <c:pt idx="4">
                  <c:v>12.320170000000001</c:v>
                </c:pt>
                <c:pt idx="5">
                  <c:v>13.92684</c:v>
                </c:pt>
                <c:pt idx="6">
                  <c:v>12.675522000000004</c:v>
                </c:pt>
                <c:pt idx="7">
                  <c:v>18</c:v>
                </c:pt>
              </c:numCache>
            </c:numRef>
          </c:val>
        </c:ser>
        <c:axId val="106306560"/>
        <c:axId val="168069760"/>
      </c:barChart>
      <c:catAx>
        <c:axId val="106306560"/>
        <c:scaling>
          <c:orientation val="minMax"/>
        </c:scaling>
        <c:axPos val="b"/>
        <c:tickLblPos val="nextTo"/>
        <c:txPr>
          <a:bodyPr/>
          <a:lstStyle/>
          <a:p>
            <a:pPr>
              <a:defRPr sz="600"/>
            </a:pPr>
            <a:endParaRPr lang="en-US"/>
          </a:p>
        </c:txPr>
        <c:crossAx val="168069760"/>
        <c:crosses val="autoZero"/>
        <c:auto val="1"/>
        <c:lblAlgn val="ctr"/>
        <c:lblOffset val="100"/>
      </c:catAx>
      <c:valAx>
        <c:axId val="168069760"/>
        <c:scaling>
          <c:orientation val="minMax"/>
        </c:scaling>
        <c:axPos val="l"/>
        <c:majorGridlines/>
        <c:numFmt formatCode="0.0" sourceLinked="1"/>
        <c:tickLblPos val="nextTo"/>
        <c:txPr>
          <a:bodyPr/>
          <a:lstStyle/>
          <a:p>
            <a:pPr>
              <a:defRPr sz="600"/>
            </a:pPr>
            <a:endParaRPr lang="en-US"/>
          </a:p>
        </c:txPr>
        <c:crossAx val="106306560"/>
        <c:crosses val="autoZero"/>
        <c:crossBetween val="between"/>
      </c:valAx>
    </c:plotArea>
    <c:plotVisOnly val="1"/>
  </c:chart>
  <c:spPr>
    <a:ln>
      <a:solidFill>
        <a:schemeClr val="bg1"/>
      </a:solidFill>
    </a:ln>
  </c:spPr>
  <c:externalData r:id="rId1"/>
  <c:userShapes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1662489063867022"/>
          <c:y val="5.0925925925925923E-2"/>
          <c:w val="0.85281955380578478"/>
          <c:h val="0.82763888888890003"/>
        </c:manualLayout>
      </c:layout>
      <c:barChart>
        <c:barDir val="col"/>
        <c:grouping val="clustered"/>
        <c:ser>
          <c:idx val="0"/>
          <c:order val="0"/>
          <c:spPr>
            <a:solidFill>
              <a:schemeClr val="bg1">
                <a:lumMod val="50000"/>
              </a:schemeClr>
            </a:solidFill>
            <a:ln>
              <a:solidFill>
                <a:schemeClr val="tx1"/>
              </a:solidFill>
            </a:ln>
          </c:spPr>
          <c:errBars>
            <c:errBarType val="both"/>
            <c:errValType val="cust"/>
            <c:plus>
              <c:numRef>
                <c:f>'5-Year'!$F$39:$F$44</c:f>
                <c:numCache>
                  <c:formatCode>General</c:formatCode>
                  <c:ptCount val="6"/>
                  <c:pt idx="0">
                    <c:v>5.7000000000000028</c:v>
                  </c:pt>
                  <c:pt idx="1">
                    <c:v>6.2999999999999972</c:v>
                  </c:pt>
                  <c:pt idx="2">
                    <c:v>6.5</c:v>
                  </c:pt>
                  <c:pt idx="3">
                    <c:v>4.7000000000000028</c:v>
                  </c:pt>
                  <c:pt idx="4">
                    <c:v>4.2999999999999972</c:v>
                  </c:pt>
                  <c:pt idx="5">
                    <c:v>0.30000000000000032</c:v>
                  </c:pt>
                </c:numCache>
              </c:numRef>
            </c:plus>
            <c:minus>
              <c:numRef>
                <c:f>'5-Year'!$E$39:$E$44</c:f>
                <c:numCache>
                  <c:formatCode>General</c:formatCode>
                  <c:ptCount val="6"/>
                  <c:pt idx="0">
                    <c:v>5.7999999999999972</c:v>
                  </c:pt>
                  <c:pt idx="1">
                    <c:v>6.3999999999999986</c:v>
                  </c:pt>
                  <c:pt idx="2">
                    <c:v>6.5</c:v>
                  </c:pt>
                  <c:pt idx="3">
                    <c:v>4.7999999999999972</c:v>
                  </c:pt>
                  <c:pt idx="4">
                    <c:v>4.3999999999999986</c:v>
                  </c:pt>
                  <c:pt idx="5">
                    <c:v>0.40000000000000008</c:v>
                  </c:pt>
                </c:numCache>
              </c:numRef>
            </c:minus>
          </c:errBars>
          <c:cat>
            <c:strRef>
              <c:f>'5-Year'!$A$39:$A$44</c:f>
              <c:strCache>
                <c:ptCount val="6"/>
                <c:pt idx="0">
                  <c:v>Wandsworth</c:v>
                </c:pt>
                <c:pt idx="1">
                  <c:v>Richmond &amp; Twickenham</c:v>
                </c:pt>
                <c:pt idx="2">
                  <c:v>Kingston</c:v>
                </c:pt>
                <c:pt idx="3">
                  <c:v>Croydon</c:v>
                </c:pt>
                <c:pt idx="4">
                  <c:v>Sutton &amp; Merton</c:v>
                </c:pt>
                <c:pt idx="5">
                  <c:v>England</c:v>
                </c:pt>
              </c:strCache>
            </c:strRef>
          </c:cat>
          <c:val>
            <c:numRef>
              <c:f>'5-Year'!$B$39:$B$44</c:f>
              <c:numCache>
                <c:formatCode>General</c:formatCode>
                <c:ptCount val="6"/>
                <c:pt idx="0">
                  <c:v>44</c:v>
                </c:pt>
                <c:pt idx="1">
                  <c:v>50.1</c:v>
                </c:pt>
                <c:pt idx="2">
                  <c:v>52.1</c:v>
                </c:pt>
                <c:pt idx="3">
                  <c:v>53.3</c:v>
                </c:pt>
                <c:pt idx="4">
                  <c:v>56</c:v>
                </c:pt>
                <c:pt idx="5">
                  <c:v>52.1</c:v>
                </c:pt>
              </c:numCache>
            </c:numRef>
          </c:val>
        </c:ser>
        <c:axId val="105056512"/>
        <c:axId val="105082880"/>
      </c:barChart>
      <c:catAx>
        <c:axId val="105056512"/>
        <c:scaling>
          <c:orientation val="minMax"/>
        </c:scaling>
        <c:axPos val="b"/>
        <c:numFmt formatCode="General" sourceLinked="1"/>
        <c:tickLblPos val="nextTo"/>
        <c:txPr>
          <a:bodyPr/>
          <a:lstStyle/>
          <a:p>
            <a:pPr>
              <a:defRPr sz="600"/>
            </a:pPr>
            <a:endParaRPr lang="en-US"/>
          </a:p>
        </c:txPr>
        <c:crossAx val="105082880"/>
        <c:crosses val="autoZero"/>
        <c:auto val="1"/>
        <c:lblAlgn val="ctr"/>
        <c:lblOffset val="100"/>
      </c:catAx>
      <c:valAx>
        <c:axId val="105082880"/>
        <c:scaling>
          <c:orientation val="minMax"/>
        </c:scaling>
        <c:axPos val="l"/>
        <c:majorGridlines/>
        <c:numFmt formatCode="General" sourceLinked="1"/>
        <c:tickLblPos val="nextTo"/>
        <c:txPr>
          <a:bodyPr/>
          <a:lstStyle/>
          <a:p>
            <a:pPr>
              <a:defRPr sz="600"/>
            </a:pPr>
            <a:endParaRPr lang="en-US"/>
          </a:p>
        </c:txPr>
        <c:crossAx val="105056512"/>
        <c:crosses val="autoZero"/>
        <c:crossBetween val="between"/>
      </c:valAx>
    </c:plotArea>
    <c:plotVisOnly val="1"/>
  </c:chart>
  <c:spPr>
    <a:ln>
      <a:solidFill>
        <a:schemeClr val="bg1"/>
      </a:solidFill>
    </a:ln>
  </c:spPr>
  <c:externalData r:id="rId1"/>
  <c:userShapes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1372486830754547"/>
          <c:y val="4.288499025341283E-2"/>
          <c:w val="0.86576231117963398"/>
          <c:h val="0.67275098425196855"/>
        </c:manualLayout>
      </c:layout>
      <c:barChart>
        <c:barDir val="col"/>
        <c:grouping val="clustered"/>
        <c:ser>
          <c:idx val="0"/>
          <c:order val="0"/>
          <c:spPr>
            <a:solidFill>
              <a:schemeClr val="bg1">
                <a:lumMod val="65000"/>
              </a:schemeClr>
            </a:solidFill>
            <a:ln>
              <a:solidFill>
                <a:schemeClr val="tx1"/>
              </a:solidFill>
            </a:ln>
          </c:spPr>
          <c:cat>
            <c:strRef>
              <c:f>Colorectal!$A$3:$A$12</c:f>
              <c:strCache>
                <c:ptCount val="10"/>
                <c:pt idx="0">
                  <c:v>Kent &amp; Medway</c:v>
                </c:pt>
                <c:pt idx="1">
                  <c:v>NELCN</c:v>
                </c:pt>
                <c:pt idx="2">
                  <c:v>(N)WLCN</c:v>
                </c:pt>
                <c:pt idx="3">
                  <c:v>SELCN</c:v>
                </c:pt>
                <c:pt idx="4">
                  <c:v>NLCN</c:v>
                </c:pt>
                <c:pt idx="5">
                  <c:v>Sussex</c:v>
                </c:pt>
                <c:pt idx="6">
                  <c:v>SWLCN</c:v>
                </c:pt>
                <c:pt idx="7">
                  <c:v>Surrey, West Sussex &amp; Hamphire</c:v>
                </c:pt>
                <c:pt idx="8">
                  <c:v>Central South Coast</c:v>
                </c:pt>
                <c:pt idx="9">
                  <c:v>England</c:v>
                </c:pt>
              </c:strCache>
            </c:strRef>
          </c:cat>
          <c:val>
            <c:numRef>
              <c:f>Colorectal!$B$3:$B$12</c:f>
              <c:numCache>
                <c:formatCode>General</c:formatCode>
                <c:ptCount val="10"/>
                <c:pt idx="0">
                  <c:v>43.4</c:v>
                </c:pt>
                <c:pt idx="1">
                  <c:v>45.8</c:v>
                </c:pt>
                <c:pt idx="2">
                  <c:v>46</c:v>
                </c:pt>
                <c:pt idx="3">
                  <c:v>46.5</c:v>
                </c:pt>
                <c:pt idx="4">
                  <c:v>46.6</c:v>
                </c:pt>
                <c:pt idx="5">
                  <c:v>51</c:v>
                </c:pt>
                <c:pt idx="6">
                  <c:v>52.7</c:v>
                </c:pt>
                <c:pt idx="7">
                  <c:v>52.9</c:v>
                </c:pt>
                <c:pt idx="8">
                  <c:v>56.7</c:v>
                </c:pt>
                <c:pt idx="9">
                  <c:v>51.7</c:v>
                </c:pt>
              </c:numCache>
            </c:numRef>
          </c:val>
        </c:ser>
        <c:axId val="105091840"/>
        <c:axId val="105103744"/>
      </c:barChart>
      <c:catAx>
        <c:axId val="105091840"/>
        <c:scaling>
          <c:orientation val="minMax"/>
        </c:scaling>
        <c:axPos val="b"/>
        <c:tickLblPos val="nextTo"/>
        <c:txPr>
          <a:bodyPr/>
          <a:lstStyle/>
          <a:p>
            <a:pPr>
              <a:defRPr sz="600"/>
            </a:pPr>
            <a:endParaRPr lang="en-US"/>
          </a:p>
        </c:txPr>
        <c:crossAx val="105103744"/>
        <c:crosses val="autoZero"/>
        <c:auto val="1"/>
        <c:lblAlgn val="ctr"/>
        <c:lblOffset val="100"/>
      </c:catAx>
      <c:valAx>
        <c:axId val="105103744"/>
        <c:scaling>
          <c:orientation val="minMax"/>
          <c:max val="57"/>
          <c:min val="0"/>
        </c:scaling>
        <c:axPos val="l"/>
        <c:majorGridlines/>
        <c:numFmt formatCode="General" sourceLinked="1"/>
        <c:tickLblPos val="nextTo"/>
        <c:txPr>
          <a:bodyPr/>
          <a:lstStyle/>
          <a:p>
            <a:pPr>
              <a:defRPr sz="600"/>
            </a:pPr>
            <a:endParaRPr lang="en-US"/>
          </a:p>
        </c:txPr>
        <c:crossAx val="105091840"/>
        <c:crosses val="autoZero"/>
        <c:crossBetween val="between"/>
      </c:valAx>
    </c:plotArea>
    <c:plotVisOnly val="1"/>
  </c:chart>
  <c:spPr>
    <a:ln>
      <a:solidFill>
        <a:schemeClr val="bg1"/>
      </a:solidFill>
    </a:ln>
  </c:spPr>
  <c:externalData r:id="rId1"/>
  <c:userShapes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3961821977680094"/>
          <c:y val="5.3892294355082304E-2"/>
          <c:w val="0.82935609183654957"/>
          <c:h val="0.75405271018154263"/>
        </c:manualLayout>
      </c:layout>
      <c:barChart>
        <c:barDir val="col"/>
        <c:grouping val="clustered"/>
        <c:ser>
          <c:idx val="0"/>
          <c:order val="0"/>
          <c:tx>
            <c:strRef>
              <c:f>'U75 Mortality CRC 2006-08'!$C$17:$F$17</c:f>
              <c:strCache>
                <c:ptCount val="1"/>
                <c:pt idx="0">
                  <c:v>MALES</c:v>
                </c:pt>
              </c:strCache>
            </c:strRef>
          </c:tx>
          <c:spPr>
            <a:solidFill>
              <a:schemeClr val="bg1">
                <a:lumMod val="75000"/>
              </a:schemeClr>
            </a:solidFill>
            <a:ln>
              <a:solidFill>
                <a:schemeClr val="tx1"/>
              </a:solidFill>
            </a:ln>
          </c:spPr>
          <c:errBars>
            <c:errBarType val="both"/>
            <c:errValType val="cust"/>
            <c:plus>
              <c:numRef>
                <c:f>'U75 Mortality CRC 2006-08'!$H$21:$H$27</c:f>
                <c:numCache>
                  <c:formatCode>General</c:formatCode>
                  <c:ptCount val="7"/>
                  <c:pt idx="0">
                    <c:v>4.5599999999999987</c:v>
                  </c:pt>
                  <c:pt idx="1">
                    <c:v>4.4600000000000009</c:v>
                  </c:pt>
                  <c:pt idx="2">
                    <c:v>3.1099999999999994</c:v>
                  </c:pt>
                  <c:pt idx="3">
                    <c:v>3.2600000000000002</c:v>
                  </c:pt>
                  <c:pt idx="4">
                    <c:v>4.6099999999999985</c:v>
                  </c:pt>
                  <c:pt idx="5">
                    <c:v>0.75000000000000866</c:v>
                  </c:pt>
                  <c:pt idx="6">
                    <c:v>0.26</c:v>
                  </c:pt>
                </c:numCache>
              </c:numRef>
            </c:plus>
            <c:minus>
              <c:numRef>
                <c:f>'U75 Mortality CRC 2006-08'!$G$21:$G$27</c:f>
                <c:numCache>
                  <c:formatCode>General</c:formatCode>
                  <c:ptCount val="7"/>
                  <c:pt idx="0">
                    <c:v>4.57</c:v>
                  </c:pt>
                  <c:pt idx="1">
                    <c:v>4.4700000000000024</c:v>
                  </c:pt>
                  <c:pt idx="2">
                    <c:v>3.1099999999999994</c:v>
                  </c:pt>
                  <c:pt idx="3">
                    <c:v>3.2600000000000002</c:v>
                  </c:pt>
                  <c:pt idx="4">
                    <c:v>4.5999999999999996</c:v>
                  </c:pt>
                  <c:pt idx="5">
                    <c:v>0.74000000000000365</c:v>
                  </c:pt>
                  <c:pt idx="6">
                    <c:v>0.25</c:v>
                  </c:pt>
                </c:numCache>
              </c:numRef>
            </c:minus>
          </c:errBars>
          <c:cat>
            <c:strRef>
              <c:f>'U75 Mortality CRC 2006-08'!$B$21:$B$27</c:f>
              <c:strCache>
                <c:ptCount val="7"/>
                <c:pt idx="0">
                  <c:v>Kingston PCT</c:v>
                </c:pt>
                <c:pt idx="1">
                  <c:v>Richmond and Twickenham PCT</c:v>
                </c:pt>
                <c:pt idx="2">
                  <c:v>Sutton and Merton PCT</c:v>
                </c:pt>
                <c:pt idx="3">
                  <c:v>Croydon PCT</c:v>
                </c:pt>
                <c:pt idx="4">
                  <c:v>Wandsworth Teaching PCT</c:v>
                </c:pt>
                <c:pt idx="5">
                  <c:v>London SHA</c:v>
                </c:pt>
                <c:pt idx="6">
                  <c:v>ENGLAND</c:v>
                </c:pt>
              </c:strCache>
            </c:strRef>
          </c:cat>
          <c:val>
            <c:numRef>
              <c:f>'U75 Mortality CRC 2006-08'!$D$21:$D$27</c:f>
              <c:numCache>
                <c:formatCode>0.00</c:formatCode>
                <c:ptCount val="7"/>
                <c:pt idx="0">
                  <c:v>10.139999999999999</c:v>
                </c:pt>
                <c:pt idx="1">
                  <c:v>11.75</c:v>
                </c:pt>
                <c:pt idx="2">
                  <c:v>11.93</c:v>
                </c:pt>
                <c:pt idx="3">
                  <c:v>12.51</c:v>
                </c:pt>
                <c:pt idx="4">
                  <c:v>13.57</c:v>
                </c:pt>
                <c:pt idx="5">
                  <c:v>12.719999999999999</c:v>
                </c:pt>
                <c:pt idx="6">
                  <c:v>13.44</c:v>
                </c:pt>
              </c:numCache>
            </c:numRef>
          </c:val>
        </c:ser>
        <c:ser>
          <c:idx val="1"/>
          <c:order val="1"/>
          <c:tx>
            <c:strRef>
              <c:f>'U75 Mortality CRC 2006-08'!$J$17:$M$17</c:f>
              <c:strCache>
                <c:ptCount val="1"/>
                <c:pt idx="0">
                  <c:v>FEMALES</c:v>
                </c:pt>
              </c:strCache>
            </c:strRef>
          </c:tx>
          <c:spPr>
            <a:solidFill>
              <a:schemeClr val="bg1">
                <a:lumMod val="50000"/>
              </a:schemeClr>
            </a:solidFill>
            <a:ln>
              <a:solidFill>
                <a:prstClr val="black"/>
              </a:solidFill>
            </a:ln>
          </c:spPr>
          <c:errBars>
            <c:errBarType val="both"/>
            <c:errValType val="cust"/>
            <c:plus>
              <c:numRef>
                <c:f>'U75 Mortality CRC 2006-08'!$O$21:$O$27</c:f>
                <c:numCache>
                  <c:formatCode>General</c:formatCode>
                  <c:ptCount val="7"/>
                  <c:pt idx="0">
                    <c:v>3.5</c:v>
                  </c:pt>
                  <c:pt idx="1">
                    <c:v>3.4600000000000009</c:v>
                  </c:pt>
                  <c:pt idx="2">
                    <c:v>2.5100000000000007</c:v>
                  </c:pt>
                  <c:pt idx="3">
                    <c:v>2.5500000000000007</c:v>
                  </c:pt>
                  <c:pt idx="4">
                    <c:v>3.58</c:v>
                  </c:pt>
                  <c:pt idx="5">
                    <c:v>0.57000000000000062</c:v>
                  </c:pt>
                  <c:pt idx="6">
                    <c:v>0.20000000000000109</c:v>
                  </c:pt>
                </c:numCache>
              </c:numRef>
            </c:plus>
            <c:minus>
              <c:numRef>
                <c:f>'U75 Mortality CRC 2006-08'!$N$21:$N$27</c:f>
                <c:numCache>
                  <c:formatCode>General</c:formatCode>
                  <c:ptCount val="7"/>
                  <c:pt idx="0">
                    <c:v>3.4999999999999987</c:v>
                  </c:pt>
                  <c:pt idx="1">
                    <c:v>3.46</c:v>
                  </c:pt>
                  <c:pt idx="2">
                    <c:v>2.4999999999999987</c:v>
                  </c:pt>
                  <c:pt idx="3">
                    <c:v>2.5499999999999998</c:v>
                  </c:pt>
                  <c:pt idx="4">
                    <c:v>3.58</c:v>
                  </c:pt>
                  <c:pt idx="5">
                    <c:v>0.55999999999999961</c:v>
                  </c:pt>
                  <c:pt idx="6">
                    <c:v>0.19000000000000003</c:v>
                  </c:pt>
                </c:numCache>
              </c:numRef>
            </c:minus>
          </c:errBars>
          <c:cat>
            <c:strRef>
              <c:f>'U75 Mortality CRC 2006-08'!$B$21:$B$27</c:f>
              <c:strCache>
                <c:ptCount val="7"/>
                <c:pt idx="0">
                  <c:v>Kingston PCT</c:v>
                </c:pt>
                <c:pt idx="1">
                  <c:v>Richmond and Twickenham PCT</c:v>
                </c:pt>
                <c:pt idx="2">
                  <c:v>Sutton and Merton PCT</c:v>
                </c:pt>
                <c:pt idx="3">
                  <c:v>Croydon PCT</c:v>
                </c:pt>
                <c:pt idx="4">
                  <c:v>Wandsworth Teaching PCT</c:v>
                </c:pt>
                <c:pt idx="5">
                  <c:v>London SHA</c:v>
                </c:pt>
                <c:pt idx="6">
                  <c:v>ENGLAND</c:v>
                </c:pt>
              </c:strCache>
            </c:strRef>
          </c:cat>
          <c:val>
            <c:numRef>
              <c:f>'U75 Mortality CRC 2006-08'!$K$21:$K$27</c:f>
              <c:numCache>
                <c:formatCode>0.00</c:formatCode>
                <c:ptCount val="7"/>
                <c:pt idx="0">
                  <c:v>6.6</c:v>
                </c:pt>
                <c:pt idx="1">
                  <c:v>8.25</c:v>
                </c:pt>
                <c:pt idx="2">
                  <c:v>8.5400000000000009</c:v>
                </c:pt>
                <c:pt idx="3">
                  <c:v>8.19</c:v>
                </c:pt>
                <c:pt idx="4">
                  <c:v>9.42</c:v>
                </c:pt>
                <c:pt idx="5">
                  <c:v>8.0300000000000011</c:v>
                </c:pt>
                <c:pt idx="6">
                  <c:v>8.3600000000000048</c:v>
                </c:pt>
              </c:numCache>
            </c:numRef>
          </c:val>
        </c:ser>
        <c:ser>
          <c:idx val="2"/>
          <c:order val="2"/>
          <c:tx>
            <c:strRef>
              <c:f>'U75 Mortality CRC 2006-08'!$Q$17:$T$17</c:f>
              <c:strCache>
                <c:ptCount val="1"/>
                <c:pt idx="0">
                  <c:v>PERSONS</c:v>
                </c:pt>
              </c:strCache>
            </c:strRef>
          </c:tx>
          <c:spPr>
            <a:solidFill>
              <a:schemeClr val="tx1">
                <a:lumMod val="65000"/>
                <a:lumOff val="35000"/>
              </a:schemeClr>
            </a:solidFill>
            <a:ln>
              <a:solidFill>
                <a:prstClr val="black"/>
              </a:solidFill>
            </a:ln>
          </c:spPr>
          <c:errBars>
            <c:errBarType val="both"/>
            <c:errValType val="cust"/>
            <c:plus>
              <c:numRef>
                <c:f>'U75 Mortality CRC 2006-08'!$V$21:$V$27</c:f>
                <c:numCache>
                  <c:formatCode>General</c:formatCode>
                  <c:ptCount val="7"/>
                  <c:pt idx="0">
                    <c:v>2.8299999999999987</c:v>
                  </c:pt>
                  <c:pt idx="1">
                    <c:v>2.7799999999999994</c:v>
                  </c:pt>
                  <c:pt idx="2">
                    <c:v>1.9699999999999978</c:v>
                  </c:pt>
                  <c:pt idx="3">
                    <c:v>2.0300000000000007</c:v>
                  </c:pt>
                  <c:pt idx="4">
                    <c:v>2.8599999999999977</c:v>
                  </c:pt>
                  <c:pt idx="5">
                    <c:v>0.46</c:v>
                  </c:pt>
                  <c:pt idx="6">
                    <c:v>0.16000000000000014</c:v>
                  </c:pt>
                </c:numCache>
              </c:numRef>
            </c:plus>
            <c:minus>
              <c:numRef>
                <c:f>'U75 Mortality CRC 2006-08'!$U$21:$U$27</c:f>
                <c:numCache>
                  <c:formatCode>General</c:formatCode>
                  <c:ptCount val="7"/>
                  <c:pt idx="0">
                    <c:v>2.8200000000000003</c:v>
                  </c:pt>
                  <c:pt idx="1">
                    <c:v>2.7800000000000011</c:v>
                  </c:pt>
                  <c:pt idx="2">
                    <c:v>1.9800000000000189</c:v>
                  </c:pt>
                  <c:pt idx="3">
                    <c:v>2.0399999999999987</c:v>
                  </c:pt>
                  <c:pt idx="4">
                    <c:v>2.8599999999999977</c:v>
                  </c:pt>
                  <c:pt idx="5">
                    <c:v>0.46000000000000085</c:v>
                  </c:pt>
                  <c:pt idx="6">
                    <c:v>0.16000000000000014</c:v>
                  </c:pt>
                </c:numCache>
              </c:numRef>
            </c:minus>
          </c:errBars>
          <c:cat>
            <c:strRef>
              <c:f>'U75 Mortality CRC 2006-08'!$B$21:$B$27</c:f>
              <c:strCache>
                <c:ptCount val="7"/>
                <c:pt idx="0">
                  <c:v>Kingston PCT</c:v>
                </c:pt>
                <c:pt idx="1">
                  <c:v>Richmond and Twickenham PCT</c:v>
                </c:pt>
                <c:pt idx="2">
                  <c:v>Sutton and Merton PCT</c:v>
                </c:pt>
                <c:pt idx="3">
                  <c:v>Croydon PCT</c:v>
                </c:pt>
                <c:pt idx="4">
                  <c:v>Wandsworth Teaching PCT</c:v>
                </c:pt>
                <c:pt idx="5">
                  <c:v>London SHA</c:v>
                </c:pt>
                <c:pt idx="6">
                  <c:v>ENGLAND</c:v>
                </c:pt>
              </c:strCache>
            </c:strRef>
          </c:cat>
          <c:val>
            <c:numRef>
              <c:f>'U75 Mortality CRC 2006-08'!$R$21:$R$27</c:f>
              <c:numCache>
                <c:formatCode>0.00</c:formatCode>
                <c:ptCount val="7"/>
                <c:pt idx="0">
                  <c:v>8.2200000000000024</c:v>
                </c:pt>
                <c:pt idx="1">
                  <c:v>9.8800000000000008</c:v>
                </c:pt>
                <c:pt idx="2">
                  <c:v>10.130000000000001</c:v>
                </c:pt>
                <c:pt idx="3">
                  <c:v>10.200000000000001</c:v>
                </c:pt>
                <c:pt idx="4">
                  <c:v>11.32</c:v>
                </c:pt>
                <c:pt idx="5">
                  <c:v>10.239999999999998</c:v>
                </c:pt>
                <c:pt idx="6">
                  <c:v>10.81</c:v>
                </c:pt>
              </c:numCache>
            </c:numRef>
          </c:val>
        </c:ser>
        <c:axId val="106477440"/>
        <c:axId val="106478976"/>
      </c:barChart>
      <c:catAx>
        <c:axId val="106477440"/>
        <c:scaling>
          <c:orientation val="minMax"/>
        </c:scaling>
        <c:axPos val="b"/>
        <c:numFmt formatCode="General" sourceLinked="1"/>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06478976"/>
        <c:crosses val="autoZero"/>
        <c:auto val="1"/>
        <c:lblAlgn val="ctr"/>
        <c:lblOffset val="100"/>
      </c:catAx>
      <c:valAx>
        <c:axId val="106478976"/>
        <c:scaling>
          <c:orientation val="minMax"/>
        </c:scaling>
        <c:axPos val="l"/>
        <c:majorGridlines/>
        <c:numFmt formatCode="0.0" sourceLinked="0"/>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06477440"/>
        <c:crosses val="autoZero"/>
        <c:crossBetween val="between"/>
      </c:valAx>
    </c:plotArea>
    <c:legend>
      <c:legendPos val="r"/>
      <c:layout>
        <c:manualLayout>
          <c:xMode val="edge"/>
          <c:yMode val="edge"/>
          <c:x val="0.15355408160187145"/>
          <c:y val="3.3299548248292864E-2"/>
          <c:w val="0.43608462735262893"/>
          <c:h val="9.8389210782614422E-2"/>
        </c:manualLayout>
      </c:layout>
      <c:txPr>
        <a:bodyPr/>
        <a:lstStyle/>
        <a:p>
          <a:pPr>
            <a:defRPr sz="600" b="0" i="0" u="none" strike="noStrike" baseline="0">
              <a:solidFill>
                <a:srgbClr val="000000"/>
              </a:solidFill>
              <a:latin typeface="Calibri"/>
              <a:ea typeface="Calibri"/>
              <a:cs typeface="Calibri"/>
            </a:defRPr>
          </a:pPr>
          <a:endParaRPr lang="en-US"/>
        </a:p>
      </c:txPr>
    </c:legend>
    <c:plotVisOnly val="1"/>
    <c:dispBlanksAs val="gap"/>
  </c:chart>
  <c:spPr>
    <a:ln>
      <a:solidFill>
        <a:schemeClr val="bg1"/>
      </a:solidFill>
    </a:ln>
  </c:spPr>
  <c:txPr>
    <a:bodyPr/>
    <a:lstStyle/>
    <a:p>
      <a:pPr>
        <a:defRPr sz="1000" b="0" i="0" u="none" strike="noStrike" baseline="0">
          <a:solidFill>
            <a:srgbClr val="000000"/>
          </a:solidFill>
          <a:latin typeface="Calibri"/>
          <a:ea typeface="Calibri"/>
          <a:cs typeface="Calibri"/>
        </a:defRPr>
      </a:pPr>
      <a:endParaRPr lang="en-US"/>
    </a:p>
  </c:txPr>
  <c:externalData r:id="rId1"/>
  <c:userShapes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0405598472623878"/>
          <c:y val="3.9171966382595291E-2"/>
          <c:w val="0.87520020593836623"/>
          <c:h val="0.89090427266878036"/>
        </c:manualLayout>
      </c:layout>
      <c:lineChart>
        <c:grouping val="standard"/>
        <c:ser>
          <c:idx val="0"/>
          <c:order val="0"/>
          <c:tx>
            <c:strRef>
              <c:f>'All Age Mortality CRC 1993-2008'!$B$21</c:f>
              <c:strCache>
                <c:ptCount val="1"/>
                <c:pt idx="0">
                  <c:v>Croydon</c:v>
                </c:pt>
              </c:strCache>
            </c:strRef>
          </c:tx>
          <c:spPr>
            <a:ln w="12700">
              <a:solidFill>
                <a:schemeClr val="accent2">
                  <a:lumMod val="75000"/>
                </a:schemeClr>
              </a:solidFill>
            </a:ln>
          </c:spPr>
          <c:marker>
            <c:symbol val="diamond"/>
            <c:size val="4"/>
            <c:spPr>
              <a:solidFill>
                <a:schemeClr val="accent2">
                  <a:lumMod val="75000"/>
                </a:schemeClr>
              </a:solidFill>
              <a:ln>
                <a:solidFill>
                  <a:schemeClr val="accent2">
                    <a:lumMod val="75000"/>
                  </a:schemeClr>
                </a:solidFill>
              </a:ln>
            </c:spPr>
          </c:marker>
          <c:cat>
            <c:strRef>
              <c:f>'All Age Mortality CRC 1993-2008'!$F$19:$S$19</c:f>
              <c:strCache>
                <c:ptCount val="14"/>
                <c:pt idx="0">
                  <c:v>1993-95</c:v>
                </c:pt>
                <c:pt idx="1">
                  <c:v>1994-96</c:v>
                </c:pt>
                <c:pt idx="2">
                  <c:v>1995-97</c:v>
                </c:pt>
                <c:pt idx="3">
                  <c:v>1996-98</c:v>
                </c:pt>
                <c:pt idx="4">
                  <c:v>1997-99</c:v>
                </c:pt>
                <c:pt idx="5">
                  <c:v>1998-00</c:v>
                </c:pt>
                <c:pt idx="6">
                  <c:v>1999-01</c:v>
                </c:pt>
                <c:pt idx="7">
                  <c:v>2000-02</c:v>
                </c:pt>
                <c:pt idx="8">
                  <c:v>2001-03</c:v>
                </c:pt>
                <c:pt idx="9">
                  <c:v>2002-04</c:v>
                </c:pt>
                <c:pt idx="10">
                  <c:v>2003-05</c:v>
                </c:pt>
                <c:pt idx="11">
                  <c:v>2004-06</c:v>
                </c:pt>
                <c:pt idx="12">
                  <c:v>2005-07</c:v>
                </c:pt>
                <c:pt idx="13">
                  <c:v>2006-08</c:v>
                </c:pt>
              </c:strCache>
            </c:strRef>
          </c:cat>
          <c:val>
            <c:numRef>
              <c:f>'All Age Mortality CRC 1993-2008'!$F$22:$S$22</c:f>
              <c:numCache>
                <c:formatCode>0.00</c:formatCode>
                <c:ptCount val="14"/>
                <c:pt idx="0">
                  <c:v>26.313333333333073</c:v>
                </c:pt>
                <c:pt idx="1">
                  <c:v>28.296666666666667</c:v>
                </c:pt>
                <c:pt idx="2">
                  <c:v>28.566666666666663</c:v>
                </c:pt>
                <c:pt idx="3">
                  <c:v>30.006666666666671</c:v>
                </c:pt>
                <c:pt idx="4">
                  <c:v>24.333333333333059</c:v>
                </c:pt>
                <c:pt idx="5">
                  <c:v>22.110000000000031</c:v>
                </c:pt>
                <c:pt idx="6">
                  <c:v>19.506666666666668</c:v>
                </c:pt>
                <c:pt idx="7">
                  <c:v>21.523333333332957</c:v>
                </c:pt>
                <c:pt idx="8">
                  <c:v>21.653333333333073</c:v>
                </c:pt>
                <c:pt idx="9">
                  <c:v>19.853333333333044</c:v>
                </c:pt>
                <c:pt idx="10">
                  <c:v>20.616666666666731</c:v>
                </c:pt>
                <c:pt idx="11">
                  <c:v>20.003333333332982</c:v>
                </c:pt>
                <c:pt idx="12">
                  <c:v>21.01</c:v>
                </c:pt>
                <c:pt idx="13">
                  <c:v>21.256666666666664</c:v>
                </c:pt>
              </c:numCache>
            </c:numRef>
          </c:val>
        </c:ser>
        <c:ser>
          <c:idx val="1"/>
          <c:order val="1"/>
          <c:tx>
            <c:strRef>
              <c:f>'All Age Mortality CRC 1993-2008'!$B$23</c:f>
              <c:strCache>
                <c:ptCount val="1"/>
                <c:pt idx="0">
                  <c:v>Kingston</c:v>
                </c:pt>
              </c:strCache>
            </c:strRef>
          </c:tx>
          <c:spPr>
            <a:ln w="12700">
              <a:solidFill>
                <a:schemeClr val="accent4">
                  <a:lumMod val="75000"/>
                </a:schemeClr>
              </a:solidFill>
              <a:prstDash val="sysDash"/>
            </a:ln>
          </c:spPr>
          <c:marker>
            <c:symbol val="circle"/>
            <c:size val="4"/>
            <c:spPr>
              <a:solidFill>
                <a:schemeClr val="accent4">
                  <a:lumMod val="75000"/>
                </a:schemeClr>
              </a:solidFill>
              <a:ln>
                <a:solidFill>
                  <a:schemeClr val="accent4">
                    <a:lumMod val="75000"/>
                  </a:schemeClr>
                </a:solidFill>
              </a:ln>
            </c:spPr>
          </c:marker>
          <c:cat>
            <c:strRef>
              <c:f>'All Age Mortality CRC 1993-2008'!$F$19:$S$19</c:f>
              <c:strCache>
                <c:ptCount val="14"/>
                <c:pt idx="0">
                  <c:v>1993-95</c:v>
                </c:pt>
                <c:pt idx="1">
                  <c:v>1994-96</c:v>
                </c:pt>
                <c:pt idx="2">
                  <c:v>1995-97</c:v>
                </c:pt>
                <c:pt idx="3">
                  <c:v>1996-98</c:v>
                </c:pt>
                <c:pt idx="4">
                  <c:v>1997-99</c:v>
                </c:pt>
                <c:pt idx="5">
                  <c:v>1998-00</c:v>
                </c:pt>
                <c:pt idx="6">
                  <c:v>1999-01</c:v>
                </c:pt>
                <c:pt idx="7">
                  <c:v>2000-02</c:v>
                </c:pt>
                <c:pt idx="8">
                  <c:v>2001-03</c:v>
                </c:pt>
                <c:pt idx="9">
                  <c:v>2002-04</c:v>
                </c:pt>
                <c:pt idx="10">
                  <c:v>2003-05</c:v>
                </c:pt>
                <c:pt idx="11">
                  <c:v>2004-06</c:v>
                </c:pt>
                <c:pt idx="12">
                  <c:v>2005-07</c:v>
                </c:pt>
                <c:pt idx="13">
                  <c:v>2006-08</c:v>
                </c:pt>
              </c:strCache>
            </c:strRef>
          </c:cat>
          <c:val>
            <c:numRef>
              <c:f>'All Age Mortality CRC 1993-2008'!$F$24:$S$24</c:f>
              <c:numCache>
                <c:formatCode>0.00</c:formatCode>
                <c:ptCount val="14"/>
                <c:pt idx="0">
                  <c:v>18.84</c:v>
                </c:pt>
                <c:pt idx="1">
                  <c:v>20.366666666666664</c:v>
                </c:pt>
                <c:pt idx="2">
                  <c:v>24.813333333333073</c:v>
                </c:pt>
                <c:pt idx="3">
                  <c:v>25.736666666666668</c:v>
                </c:pt>
                <c:pt idx="4">
                  <c:v>28.976666666666663</c:v>
                </c:pt>
                <c:pt idx="5">
                  <c:v>24.493333333332913</c:v>
                </c:pt>
                <c:pt idx="6">
                  <c:v>23.176666666666691</c:v>
                </c:pt>
                <c:pt idx="7">
                  <c:v>20.59</c:v>
                </c:pt>
                <c:pt idx="8">
                  <c:v>21.076666666666668</c:v>
                </c:pt>
                <c:pt idx="9">
                  <c:v>19.84</c:v>
                </c:pt>
                <c:pt idx="10">
                  <c:v>20.623333333333019</c:v>
                </c:pt>
                <c:pt idx="11">
                  <c:v>22.553333333333004</c:v>
                </c:pt>
                <c:pt idx="12">
                  <c:v>19.146666666666665</c:v>
                </c:pt>
                <c:pt idx="13">
                  <c:v>16.243333333332913</c:v>
                </c:pt>
              </c:numCache>
            </c:numRef>
          </c:val>
        </c:ser>
        <c:ser>
          <c:idx val="2"/>
          <c:order val="2"/>
          <c:tx>
            <c:strRef>
              <c:f>'All Age Mortality CRC 1993-2008'!$B$25</c:f>
              <c:strCache>
                <c:ptCount val="1"/>
                <c:pt idx="0">
                  <c:v>Wandsworth Teaching</c:v>
                </c:pt>
              </c:strCache>
            </c:strRef>
          </c:tx>
          <c:spPr>
            <a:ln w="12700">
              <a:solidFill>
                <a:srgbClr val="002060"/>
              </a:solidFill>
              <a:prstDash val="lgDashDotDot"/>
            </a:ln>
          </c:spPr>
          <c:marker>
            <c:symbol val="triangle"/>
            <c:size val="4"/>
            <c:spPr>
              <a:solidFill>
                <a:srgbClr val="002060"/>
              </a:solidFill>
              <a:ln>
                <a:solidFill>
                  <a:srgbClr val="002060"/>
                </a:solidFill>
              </a:ln>
            </c:spPr>
          </c:marker>
          <c:cat>
            <c:strRef>
              <c:f>'All Age Mortality CRC 1993-2008'!$F$19:$S$19</c:f>
              <c:strCache>
                <c:ptCount val="14"/>
                <c:pt idx="0">
                  <c:v>1993-95</c:v>
                </c:pt>
                <c:pt idx="1">
                  <c:v>1994-96</c:v>
                </c:pt>
                <c:pt idx="2">
                  <c:v>1995-97</c:v>
                </c:pt>
                <c:pt idx="3">
                  <c:v>1996-98</c:v>
                </c:pt>
                <c:pt idx="4">
                  <c:v>1997-99</c:v>
                </c:pt>
                <c:pt idx="5">
                  <c:v>1998-00</c:v>
                </c:pt>
                <c:pt idx="6">
                  <c:v>1999-01</c:v>
                </c:pt>
                <c:pt idx="7">
                  <c:v>2000-02</c:v>
                </c:pt>
                <c:pt idx="8">
                  <c:v>2001-03</c:v>
                </c:pt>
                <c:pt idx="9">
                  <c:v>2002-04</c:v>
                </c:pt>
                <c:pt idx="10">
                  <c:v>2003-05</c:v>
                </c:pt>
                <c:pt idx="11">
                  <c:v>2004-06</c:v>
                </c:pt>
                <c:pt idx="12">
                  <c:v>2005-07</c:v>
                </c:pt>
                <c:pt idx="13">
                  <c:v>2006-08</c:v>
                </c:pt>
              </c:strCache>
            </c:strRef>
          </c:cat>
          <c:val>
            <c:numRef>
              <c:f>'All Age Mortality CRC 1993-2008'!$F$26:$S$26</c:f>
              <c:numCache>
                <c:formatCode>0.00</c:formatCode>
                <c:ptCount val="14"/>
                <c:pt idx="0">
                  <c:v>26.746666666666666</c:v>
                </c:pt>
                <c:pt idx="1">
                  <c:v>25.613333333333113</c:v>
                </c:pt>
                <c:pt idx="2">
                  <c:v>25.893333333332997</c:v>
                </c:pt>
                <c:pt idx="3">
                  <c:v>25.033333333333026</c:v>
                </c:pt>
                <c:pt idx="4">
                  <c:v>24.973333333332935</c:v>
                </c:pt>
                <c:pt idx="5">
                  <c:v>24.849999999999987</c:v>
                </c:pt>
                <c:pt idx="6">
                  <c:v>25.709999999999987</c:v>
                </c:pt>
                <c:pt idx="7">
                  <c:v>27.133333333333098</c:v>
                </c:pt>
                <c:pt idx="8">
                  <c:v>23.12</c:v>
                </c:pt>
                <c:pt idx="9">
                  <c:v>22.953333333332957</c:v>
                </c:pt>
                <c:pt idx="10">
                  <c:v>23.23</c:v>
                </c:pt>
                <c:pt idx="11">
                  <c:v>23.349999999999987</c:v>
                </c:pt>
                <c:pt idx="12">
                  <c:v>21.933333333332971</c:v>
                </c:pt>
                <c:pt idx="13">
                  <c:v>21.363333333332964</c:v>
                </c:pt>
              </c:numCache>
            </c:numRef>
          </c:val>
        </c:ser>
        <c:ser>
          <c:idx val="3"/>
          <c:order val="3"/>
          <c:tx>
            <c:strRef>
              <c:f>'All Age Mortality CRC 1993-2008'!$B$27</c:f>
              <c:strCache>
                <c:ptCount val="1"/>
                <c:pt idx="0">
                  <c:v>Richmond &amp; Twickenham</c:v>
                </c:pt>
              </c:strCache>
            </c:strRef>
          </c:tx>
          <c:spPr>
            <a:ln w="12700">
              <a:solidFill>
                <a:schemeClr val="accent5"/>
              </a:solidFill>
              <a:prstDash val="dash"/>
            </a:ln>
          </c:spPr>
          <c:marker>
            <c:symbol val="x"/>
            <c:size val="4"/>
            <c:spPr>
              <a:ln>
                <a:solidFill>
                  <a:schemeClr val="accent5"/>
                </a:solidFill>
              </a:ln>
            </c:spPr>
          </c:marker>
          <c:cat>
            <c:strRef>
              <c:f>'All Age Mortality CRC 1993-2008'!$F$19:$S$19</c:f>
              <c:strCache>
                <c:ptCount val="14"/>
                <c:pt idx="0">
                  <c:v>1993-95</c:v>
                </c:pt>
                <c:pt idx="1">
                  <c:v>1994-96</c:v>
                </c:pt>
                <c:pt idx="2">
                  <c:v>1995-97</c:v>
                </c:pt>
                <c:pt idx="3">
                  <c:v>1996-98</c:v>
                </c:pt>
                <c:pt idx="4">
                  <c:v>1997-99</c:v>
                </c:pt>
                <c:pt idx="5">
                  <c:v>1998-00</c:v>
                </c:pt>
                <c:pt idx="6">
                  <c:v>1999-01</c:v>
                </c:pt>
                <c:pt idx="7">
                  <c:v>2000-02</c:v>
                </c:pt>
                <c:pt idx="8">
                  <c:v>2001-03</c:v>
                </c:pt>
                <c:pt idx="9">
                  <c:v>2002-04</c:v>
                </c:pt>
                <c:pt idx="10">
                  <c:v>2003-05</c:v>
                </c:pt>
                <c:pt idx="11">
                  <c:v>2004-06</c:v>
                </c:pt>
                <c:pt idx="12">
                  <c:v>2005-07</c:v>
                </c:pt>
                <c:pt idx="13">
                  <c:v>2006-08</c:v>
                </c:pt>
              </c:strCache>
            </c:strRef>
          </c:cat>
          <c:val>
            <c:numRef>
              <c:f>'All Age Mortality CRC 1993-2008'!$F$28:$S$28</c:f>
              <c:numCache>
                <c:formatCode>0.00</c:formatCode>
                <c:ptCount val="14"/>
                <c:pt idx="0">
                  <c:v>29.273333333332957</c:v>
                </c:pt>
                <c:pt idx="1">
                  <c:v>29.186666666666667</c:v>
                </c:pt>
                <c:pt idx="2">
                  <c:v>30.250000000000004</c:v>
                </c:pt>
                <c:pt idx="3">
                  <c:v>25.706666666666667</c:v>
                </c:pt>
                <c:pt idx="4">
                  <c:v>23.506666666666664</c:v>
                </c:pt>
                <c:pt idx="5">
                  <c:v>22.396666666666665</c:v>
                </c:pt>
                <c:pt idx="6">
                  <c:v>20.843333333332982</c:v>
                </c:pt>
                <c:pt idx="7">
                  <c:v>21.093333333332982</c:v>
                </c:pt>
                <c:pt idx="8">
                  <c:v>19.376666666666665</c:v>
                </c:pt>
                <c:pt idx="9">
                  <c:v>18.610000000000031</c:v>
                </c:pt>
                <c:pt idx="10">
                  <c:v>16.676666666666691</c:v>
                </c:pt>
                <c:pt idx="11">
                  <c:v>17.563333333332924</c:v>
                </c:pt>
                <c:pt idx="12">
                  <c:v>20.306666666666668</c:v>
                </c:pt>
                <c:pt idx="13">
                  <c:v>20.666666666666668</c:v>
                </c:pt>
              </c:numCache>
            </c:numRef>
          </c:val>
        </c:ser>
        <c:ser>
          <c:idx val="4"/>
          <c:order val="4"/>
          <c:tx>
            <c:strRef>
              <c:f>'All Age Mortality CRC 1993-2008'!$B$29</c:f>
              <c:strCache>
                <c:ptCount val="1"/>
                <c:pt idx="0">
                  <c:v>Sutton &amp; Merton</c:v>
                </c:pt>
              </c:strCache>
            </c:strRef>
          </c:tx>
          <c:spPr>
            <a:ln w="12700">
              <a:solidFill>
                <a:schemeClr val="accent6">
                  <a:lumMod val="75000"/>
                </a:schemeClr>
              </a:solidFill>
              <a:prstDash val="sysDot"/>
            </a:ln>
          </c:spPr>
          <c:marker>
            <c:symbol val="star"/>
            <c:size val="4"/>
            <c:spPr>
              <a:ln>
                <a:solidFill>
                  <a:schemeClr val="accent6">
                    <a:lumMod val="75000"/>
                  </a:schemeClr>
                </a:solidFill>
              </a:ln>
            </c:spPr>
          </c:marker>
          <c:cat>
            <c:strRef>
              <c:f>'All Age Mortality CRC 1993-2008'!$F$19:$S$19</c:f>
              <c:strCache>
                <c:ptCount val="14"/>
                <c:pt idx="0">
                  <c:v>1993-95</c:v>
                </c:pt>
                <c:pt idx="1">
                  <c:v>1994-96</c:v>
                </c:pt>
                <c:pt idx="2">
                  <c:v>1995-97</c:v>
                </c:pt>
                <c:pt idx="3">
                  <c:v>1996-98</c:v>
                </c:pt>
                <c:pt idx="4">
                  <c:v>1997-99</c:v>
                </c:pt>
                <c:pt idx="5">
                  <c:v>1998-00</c:v>
                </c:pt>
                <c:pt idx="6">
                  <c:v>1999-01</c:v>
                </c:pt>
                <c:pt idx="7">
                  <c:v>2000-02</c:v>
                </c:pt>
                <c:pt idx="8">
                  <c:v>2001-03</c:v>
                </c:pt>
                <c:pt idx="9">
                  <c:v>2002-04</c:v>
                </c:pt>
                <c:pt idx="10">
                  <c:v>2003-05</c:v>
                </c:pt>
                <c:pt idx="11">
                  <c:v>2004-06</c:v>
                </c:pt>
                <c:pt idx="12">
                  <c:v>2005-07</c:v>
                </c:pt>
                <c:pt idx="13">
                  <c:v>2006-08</c:v>
                </c:pt>
              </c:strCache>
            </c:strRef>
          </c:cat>
          <c:val>
            <c:numRef>
              <c:f>'All Age Mortality CRC 1993-2008'!$F$30:$S$30</c:f>
              <c:numCache>
                <c:formatCode>0.00</c:formatCode>
                <c:ptCount val="14"/>
                <c:pt idx="0">
                  <c:v>29.05</c:v>
                </c:pt>
                <c:pt idx="1">
                  <c:v>27.189999999999987</c:v>
                </c:pt>
                <c:pt idx="2">
                  <c:v>24.446666666666669</c:v>
                </c:pt>
                <c:pt idx="3">
                  <c:v>24.086666666666662</c:v>
                </c:pt>
                <c:pt idx="4">
                  <c:v>25.873333333333022</c:v>
                </c:pt>
                <c:pt idx="5">
                  <c:v>25.330000000000005</c:v>
                </c:pt>
                <c:pt idx="6">
                  <c:v>25.126666666666665</c:v>
                </c:pt>
                <c:pt idx="7">
                  <c:v>22.033333333333022</c:v>
                </c:pt>
                <c:pt idx="8">
                  <c:v>24.123333333333019</c:v>
                </c:pt>
                <c:pt idx="9">
                  <c:v>23.189999999999987</c:v>
                </c:pt>
                <c:pt idx="10">
                  <c:v>21.959999999999987</c:v>
                </c:pt>
                <c:pt idx="11">
                  <c:v>20.486666666666629</c:v>
                </c:pt>
                <c:pt idx="12">
                  <c:v>20.540000000000003</c:v>
                </c:pt>
                <c:pt idx="13">
                  <c:v>21.32333333333299</c:v>
                </c:pt>
              </c:numCache>
            </c:numRef>
          </c:val>
        </c:ser>
        <c:ser>
          <c:idx val="5"/>
          <c:order val="5"/>
          <c:tx>
            <c:strRef>
              <c:f>'All Age Mortality CRC 1993-2008'!$B$31</c:f>
              <c:strCache>
                <c:ptCount val="1"/>
                <c:pt idx="0">
                  <c:v>London SHA</c:v>
                </c:pt>
              </c:strCache>
            </c:strRef>
          </c:tx>
          <c:spPr>
            <a:ln w="12700">
              <a:solidFill>
                <a:srgbClr val="FF0000"/>
              </a:solidFill>
            </a:ln>
          </c:spPr>
          <c:marker>
            <c:symbol val="plus"/>
            <c:size val="5"/>
            <c:spPr>
              <a:ln>
                <a:solidFill>
                  <a:srgbClr val="FF0000"/>
                </a:solidFill>
              </a:ln>
            </c:spPr>
          </c:marker>
          <c:cat>
            <c:strRef>
              <c:f>'All Age Mortality CRC 1993-2008'!$F$19:$S$19</c:f>
              <c:strCache>
                <c:ptCount val="14"/>
                <c:pt idx="0">
                  <c:v>1993-95</c:v>
                </c:pt>
                <c:pt idx="1">
                  <c:v>1994-96</c:v>
                </c:pt>
                <c:pt idx="2">
                  <c:v>1995-97</c:v>
                </c:pt>
                <c:pt idx="3">
                  <c:v>1996-98</c:v>
                </c:pt>
                <c:pt idx="4">
                  <c:v>1997-99</c:v>
                </c:pt>
                <c:pt idx="5">
                  <c:v>1998-00</c:v>
                </c:pt>
                <c:pt idx="6">
                  <c:v>1999-01</c:v>
                </c:pt>
                <c:pt idx="7">
                  <c:v>2000-02</c:v>
                </c:pt>
                <c:pt idx="8">
                  <c:v>2001-03</c:v>
                </c:pt>
                <c:pt idx="9">
                  <c:v>2002-04</c:v>
                </c:pt>
                <c:pt idx="10">
                  <c:v>2003-05</c:v>
                </c:pt>
                <c:pt idx="11">
                  <c:v>2004-06</c:v>
                </c:pt>
                <c:pt idx="12">
                  <c:v>2005-07</c:v>
                </c:pt>
                <c:pt idx="13">
                  <c:v>2006-08</c:v>
                </c:pt>
              </c:strCache>
            </c:strRef>
          </c:cat>
          <c:val>
            <c:numRef>
              <c:f>'All Age Mortality CRC 1993-2008'!$F$32:$S$32</c:f>
              <c:numCache>
                <c:formatCode>0.00</c:formatCode>
                <c:ptCount val="14"/>
                <c:pt idx="0">
                  <c:v>25.413333333332979</c:v>
                </c:pt>
                <c:pt idx="1">
                  <c:v>24.893333333332997</c:v>
                </c:pt>
                <c:pt idx="2">
                  <c:v>24.036666666666665</c:v>
                </c:pt>
                <c:pt idx="3">
                  <c:v>23.923333333332902</c:v>
                </c:pt>
                <c:pt idx="4">
                  <c:v>23.276666666666667</c:v>
                </c:pt>
                <c:pt idx="5">
                  <c:v>22.409999999999989</c:v>
                </c:pt>
                <c:pt idx="6">
                  <c:v>21.983333333332844</c:v>
                </c:pt>
                <c:pt idx="7">
                  <c:v>22.57333333333299</c:v>
                </c:pt>
                <c:pt idx="8">
                  <c:v>23.066666666666666</c:v>
                </c:pt>
                <c:pt idx="9">
                  <c:v>22.179999999999996</c:v>
                </c:pt>
                <c:pt idx="10">
                  <c:v>20.803333333333004</c:v>
                </c:pt>
                <c:pt idx="11">
                  <c:v>20.190000000000001</c:v>
                </c:pt>
                <c:pt idx="12">
                  <c:v>19.943333333332884</c:v>
                </c:pt>
                <c:pt idx="13">
                  <c:v>20.116666666666731</c:v>
                </c:pt>
              </c:numCache>
            </c:numRef>
          </c:val>
        </c:ser>
        <c:ser>
          <c:idx val="6"/>
          <c:order val="6"/>
          <c:tx>
            <c:strRef>
              <c:f>'All Age Mortality CRC 1993-2008'!$B$33</c:f>
              <c:strCache>
                <c:ptCount val="1"/>
                <c:pt idx="0">
                  <c:v>ENGLAND</c:v>
                </c:pt>
              </c:strCache>
            </c:strRef>
          </c:tx>
          <c:spPr>
            <a:ln w="12700">
              <a:solidFill>
                <a:srgbClr val="663300"/>
              </a:solidFill>
              <a:prstDash val="lgDashDot"/>
            </a:ln>
          </c:spPr>
          <c:marker>
            <c:symbol val="square"/>
            <c:size val="5"/>
            <c:spPr>
              <a:solidFill>
                <a:srgbClr val="663300"/>
              </a:solidFill>
              <a:ln>
                <a:solidFill>
                  <a:srgbClr val="663300"/>
                </a:solidFill>
              </a:ln>
            </c:spPr>
          </c:marker>
          <c:cat>
            <c:strRef>
              <c:f>'All Age Mortality CRC 1993-2008'!$F$19:$S$19</c:f>
              <c:strCache>
                <c:ptCount val="14"/>
                <c:pt idx="0">
                  <c:v>1993-95</c:v>
                </c:pt>
                <c:pt idx="1">
                  <c:v>1994-96</c:v>
                </c:pt>
                <c:pt idx="2">
                  <c:v>1995-97</c:v>
                </c:pt>
                <c:pt idx="3">
                  <c:v>1996-98</c:v>
                </c:pt>
                <c:pt idx="4">
                  <c:v>1997-99</c:v>
                </c:pt>
                <c:pt idx="5">
                  <c:v>1998-00</c:v>
                </c:pt>
                <c:pt idx="6">
                  <c:v>1999-01</c:v>
                </c:pt>
                <c:pt idx="7">
                  <c:v>2000-02</c:v>
                </c:pt>
                <c:pt idx="8">
                  <c:v>2001-03</c:v>
                </c:pt>
                <c:pt idx="9">
                  <c:v>2002-04</c:v>
                </c:pt>
                <c:pt idx="10">
                  <c:v>2003-05</c:v>
                </c:pt>
                <c:pt idx="11">
                  <c:v>2004-06</c:v>
                </c:pt>
                <c:pt idx="12">
                  <c:v>2005-07</c:v>
                </c:pt>
                <c:pt idx="13">
                  <c:v>2006-08</c:v>
                </c:pt>
              </c:strCache>
            </c:strRef>
          </c:cat>
          <c:val>
            <c:numRef>
              <c:f>'All Age Mortality CRC 1993-2008'!$F$34:$S$34</c:f>
              <c:numCache>
                <c:formatCode>0.00</c:formatCode>
                <c:ptCount val="14"/>
                <c:pt idx="0">
                  <c:v>28.993333333332913</c:v>
                </c:pt>
                <c:pt idx="1">
                  <c:v>28.333333333333059</c:v>
                </c:pt>
                <c:pt idx="2">
                  <c:v>27.873333333333022</c:v>
                </c:pt>
                <c:pt idx="3">
                  <c:v>27.286666666666662</c:v>
                </c:pt>
                <c:pt idx="4">
                  <c:v>26.503333333332979</c:v>
                </c:pt>
                <c:pt idx="5">
                  <c:v>25.77</c:v>
                </c:pt>
                <c:pt idx="6">
                  <c:v>25.049999999999986</c:v>
                </c:pt>
                <c:pt idx="7">
                  <c:v>24.709999999999987</c:v>
                </c:pt>
                <c:pt idx="8">
                  <c:v>24.313333333333073</c:v>
                </c:pt>
                <c:pt idx="9">
                  <c:v>23.963333333332862</c:v>
                </c:pt>
                <c:pt idx="10">
                  <c:v>23.5</c:v>
                </c:pt>
                <c:pt idx="11">
                  <c:v>23.03</c:v>
                </c:pt>
                <c:pt idx="12">
                  <c:v>22.439999999999987</c:v>
                </c:pt>
                <c:pt idx="13">
                  <c:v>22.189999999999987</c:v>
                </c:pt>
              </c:numCache>
            </c:numRef>
          </c:val>
        </c:ser>
        <c:marker val="1"/>
        <c:axId val="106836352"/>
        <c:axId val="106837888"/>
      </c:lineChart>
      <c:catAx>
        <c:axId val="106836352"/>
        <c:scaling>
          <c:orientation val="minMax"/>
        </c:scaling>
        <c:axPos val="b"/>
        <c:numFmt formatCode="General" sourceLinked="1"/>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06837888"/>
        <c:crosses val="autoZero"/>
        <c:auto val="1"/>
        <c:lblAlgn val="ctr"/>
        <c:lblOffset val="100"/>
      </c:catAx>
      <c:valAx>
        <c:axId val="106837888"/>
        <c:scaling>
          <c:orientation val="minMax"/>
          <c:max val="31"/>
          <c:min val="15"/>
        </c:scaling>
        <c:axPos val="l"/>
        <c:majorGridlines/>
        <c:numFmt formatCode="0.00" sourceLinked="1"/>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06836352"/>
        <c:crosses val="autoZero"/>
        <c:crossBetween val="between"/>
      </c:valAx>
    </c:plotArea>
    <c:legend>
      <c:legendPos val="r"/>
      <c:layout>
        <c:manualLayout>
          <c:xMode val="edge"/>
          <c:yMode val="edge"/>
          <c:x val="0.56566192853192254"/>
          <c:y val="4.0683541166796214E-3"/>
          <c:w val="0.43242374173647424"/>
          <c:h val="0.23410740649606496"/>
        </c:manualLayout>
      </c:layout>
      <c:txPr>
        <a:bodyPr/>
        <a:lstStyle/>
        <a:p>
          <a:pPr>
            <a:defRPr sz="550" b="0" i="0" u="none" strike="noStrike" baseline="0">
              <a:solidFill>
                <a:srgbClr val="000000"/>
              </a:solidFill>
              <a:latin typeface="Calibri"/>
              <a:ea typeface="Calibri"/>
              <a:cs typeface="Calibri"/>
            </a:defRPr>
          </a:pPr>
          <a:endParaRPr lang="en-US"/>
        </a:p>
      </c:txPr>
    </c:legend>
    <c:plotVisOnly val="1"/>
    <c:dispBlanksAs val="gap"/>
  </c:chart>
  <c:spPr>
    <a:ln>
      <a:solidFill>
        <a:schemeClr val="bg1"/>
      </a:solidFill>
    </a:ln>
  </c:spPr>
  <c:txPr>
    <a:bodyPr/>
    <a:lstStyle/>
    <a:p>
      <a:pPr>
        <a:defRPr sz="1000" b="0" i="0" u="none" strike="noStrike" baseline="0">
          <a:solidFill>
            <a:srgbClr val="000000"/>
          </a:solidFill>
          <a:latin typeface="Calibri"/>
          <a:ea typeface="Calibri"/>
          <a:cs typeface="Calibri"/>
        </a:defRPr>
      </a:pPr>
      <a:endParaRPr lang="en-US"/>
    </a:p>
  </c:txPr>
  <c:externalData r:id="rId1"/>
  <c:userShapes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0647686683455768"/>
          <c:y val="3.9171966382595291E-2"/>
          <c:w val="0.87277929286502265"/>
          <c:h val="0.84622887660840596"/>
        </c:manualLayout>
      </c:layout>
      <c:lineChart>
        <c:grouping val="standard"/>
        <c:ser>
          <c:idx val="0"/>
          <c:order val="0"/>
          <c:tx>
            <c:strRef>
              <c:f>'All Age Mortality CRC 1993-2008'!$B$21</c:f>
              <c:strCache>
                <c:ptCount val="1"/>
                <c:pt idx="0">
                  <c:v>Croydon</c:v>
                </c:pt>
              </c:strCache>
            </c:strRef>
          </c:tx>
          <c:spPr>
            <a:ln w="12700">
              <a:solidFill>
                <a:schemeClr val="accent2">
                  <a:lumMod val="75000"/>
                </a:schemeClr>
              </a:solidFill>
            </a:ln>
          </c:spPr>
          <c:marker>
            <c:symbol val="diamond"/>
            <c:size val="4"/>
            <c:spPr>
              <a:solidFill>
                <a:schemeClr val="accent2">
                  <a:lumMod val="75000"/>
                </a:schemeClr>
              </a:solidFill>
              <a:ln>
                <a:solidFill>
                  <a:schemeClr val="accent2">
                    <a:lumMod val="75000"/>
                  </a:schemeClr>
                </a:solidFill>
              </a:ln>
            </c:spPr>
          </c:marker>
          <c:cat>
            <c:strRef>
              <c:f>'All Age Mortality CRC 1993-2008'!$W$19:$AJ$19</c:f>
              <c:strCache>
                <c:ptCount val="14"/>
                <c:pt idx="0">
                  <c:v>1993-95</c:v>
                </c:pt>
                <c:pt idx="1">
                  <c:v>1994-96</c:v>
                </c:pt>
                <c:pt idx="2">
                  <c:v>1995-97</c:v>
                </c:pt>
                <c:pt idx="3">
                  <c:v>1996-98</c:v>
                </c:pt>
                <c:pt idx="4">
                  <c:v>1997-99</c:v>
                </c:pt>
                <c:pt idx="5">
                  <c:v>1998-00</c:v>
                </c:pt>
                <c:pt idx="6">
                  <c:v>1999-01</c:v>
                </c:pt>
                <c:pt idx="7">
                  <c:v>2000-02</c:v>
                </c:pt>
                <c:pt idx="8">
                  <c:v>2001-03</c:v>
                </c:pt>
                <c:pt idx="9">
                  <c:v>2002-04</c:v>
                </c:pt>
                <c:pt idx="10">
                  <c:v>2003-05</c:v>
                </c:pt>
                <c:pt idx="11">
                  <c:v>2004-06</c:v>
                </c:pt>
                <c:pt idx="12">
                  <c:v>2005-07</c:v>
                </c:pt>
                <c:pt idx="13">
                  <c:v>2006-08</c:v>
                </c:pt>
              </c:strCache>
            </c:strRef>
          </c:cat>
          <c:val>
            <c:numRef>
              <c:f>'All Age Mortality CRC 1993-2008'!$W$22:$AJ$22</c:f>
              <c:numCache>
                <c:formatCode>0.00</c:formatCode>
                <c:ptCount val="14"/>
                <c:pt idx="0">
                  <c:v>19.133333333333098</c:v>
                </c:pt>
                <c:pt idx="1">
                  <c:v>19.343333333332982</c:v>
                </c:pt>
                <c:pt idx="2">
                  <c:v>20.503333333332982</c:v>
                </c:pt>
                <c:pt idx="3">
                  <c:v>21.89</c:v>
                </c:pt>
                <c:pt idx="4">
                  <c:v>19.003333333332982</c:v>
                </c:pt>
                <c:pt idx="5">
                  <c:v>17.113333333333113</c:v>
                </c:pt>
                <c:pt idx="6">
                  <c:v>15.12666666666667</c:v>
                </c:pt>
                <c:pt idx="7">
                  <c:v>14.67</c:v>
                </c:pt>
                <c:pt idx="8">
                  <c:v>13.256666666666726</c:v>
                </c:pt>
                <c:pt idx="9">
                  <c:v>13.496666666666767</c:v>
                </c:pt>
                <c:pt idx="10">
                  <c:v>12.54</c:v>
                </c:pt>
                <c:pt idx="11">
                  <c:v>13.943333333333333</c:v>
                </c:pt>
                <c:pt idx="12">
                  <c:v>13.29</c:v>
                </c:pt>
                <c:pt idx="13">
                  <c:v>13.936666666666676</c:v>
                </c:pt>
              </c:numCache>
            </c:numRef>
          </c:val>
        </c:ser>
        <c:ser>
          <c:idx val="1"/>
          <c:order val="1"/>
          <c:tx>
            <c:strRef>
              <c:f>'All Age Mortality CRC 1993-2008'!$B$23</c:f>
              <c:strCache>
                <c:ptCount val="1"/>
                <c:pt idx="0">
                  <c:v>Kingston</c:v>
                </c:pt>
              </c:strCache>
            </c:strRef>
          </c:tx>
          <c:spPr>
            <a:ln w="12700">
              <a:solidFill>
                <a:schemeClr val="accent4">
                  <a:lumMod val="75000"/>
                </a:schemeClr>
              </a:solidFill>
              <a:prstDash val="sysDash"/>
            </a:ln>
          </c:spPr>
          <c:marker>
            <c:symbol val="circle"/>
            <c:size val="4"/>
            <c:spPr>
              <a:solidFill>
                <a:schemeClr val="accent4">
                  <a:lumMod val="75000"/>
                </a:schemeClr>
              </a:solidFill>
              <a:ln>
                <a:solidFill>
                  <a:schemeClr val="accent4">
                    <a:lumMod val="75000"/>
                  </a:schemeClr>
                </a:solidFill>
              </a:ln>
            </c:spPr>
          </c:marker>
          <c:cat>
            <c:strRef>
              <c:f>'All Age Mortality CRC 1993-2008'!$W$19:$AJ$19</c:f>
              <c:strCache>
                <c:ptCount val="14"/>
                <c:pt idx="0">
                  <c:v>1993-95</c:v>
                </c:pt>
                <c:pt idx="1">
                  <c:v>1994-96</c:v>
                </c:pt>
                <c:pt idx="2">
                  <c:v>1995-97</c:v>
                </c:pt>
                <c:pt idx="3">
                  <c:v>1996-98</c:v>
                </c:pt>
                <c:pt idx="4">
                  <c:v>1997-99</c:v>
                </c:pt>
                <c:pt idx="5">
                  <c:v>1998-00</c:v>
                </c:pt>
                <c:pt idx="6">
                  <c:v>1999-01</c:v>
                </c:pt>
                <c:pt idx="7">
                  <c:v>2000-02</c:v>
                </c:pt>
                <c:pt idx="8">
                  <c:v>2001-03</c:v>
                </c:pt>
                <c:pt idx="9">
                  <c:v>2002-04</c:v>
                </c:pt>
                <c:pt idx="10">
                  <c:v>2003-05</c:v>
                </c:pt>
                <c:pt idx="11">
                  <c:v>2004-06</c:v>
                </c:pt>
                <c:pt idx="12">
                  <c:v>2005-07</c:v>
                </c:pt>
                <c:pt idx="13">
                  <c:v>2006-08</c:v>
                </c:pt>
              </c:strCache>
            </c:strRef>
          </c:cat>
          <c:val>
            <c:numRef>
              <c:f>'All Age Mortality CRC 1993-2008'!$W$24:$AJ$24</c:f>
              <c:numCache>
                <c:formatCode>0.00</c:formatCode>
                <c:ptCount val="14"/>
                <c:pt idx="0">
                  <c:v>18.146666666666668</c:v>
                </c:pt>
                <c:pt idx="1">
                  <c:v>15.193333333333333</c:v>
                </c:pt>
                <c:pt idx="2">
                  <c:v>14.51</c:v>
                </c:pt>
                <c:pt idx="3">
                  <c:v>11.996666666666767</c:v>
                </c:pt>
                <c:pt idx="4">
                  <c:v>15.330000000000002</c:v>
                </c:pt>
                <c:pt idx="5">
                  <c:v>16.829999999999988</c:v>
                </c:pt>
                <c:pt idx="6">
                  <c:v>19.64</c:v>
                </c:pt>
                <c:pt idx="7">
                  <c:v>19.939999999999987</c:v>
                </c:pt>
                <c:pt idx="8">
                  <c:v>18.773333333332957</c:v>
                </c:pt>
                <c:pt idx="9">
                  <c:v>16.959999999999987</c:v>
                </c:pt>
                <c:pt idx="10">
                  <c:v>15.89</c:v>
                </c:pt>
                <c:pt idx="11">
                  <c:v>15.80666666666678</c:v>
                </c:pt>
                <c:pt idx="12">
                  <c:v>14.15</c:v>
                </c:pt>
                <c:pt idx="13">
                  <c:v>12.343333333333334</c:v>
                </c:pt>
              </c:numCache>
            </c:numRef>
          </c:val>
        </c:ser>
        <c:ser>
          <c:idx val="2"/>
          <c:order val="2"/>
          <c:tx>
            <c:strRef>
              <c:f>'All Age Mortality CRC 1993-2008'!$B$25</c:f>
              <c:strCache>
                <c:ptCount val="1"/>
                <c:pt idx="0">
                  <c:v>Wandsworth Teaching</c:v>
                </c:pt>
              </c:strCache>
            </c:strRef>
          </c:tx>
          <c:spPr>
            <a:ln w="12700">
              <a:solidFill>
                <a:srgbClr val="002060"/>
              </a:solidFill>
              <a:prstDash val="lgDashDotDot"/>
            </a:ln>
          </c:spPr>
          <c:marker>
            <c:symbol val="triangle"/>
            <c:size val="4"/>
            <c:spPr>
              <a:solidFill>
                <a:srgbClr val="002060"/>
              </a:solidFill>
              <a:ln>
                <a:solidFill>
                  <a:srgbClr val="002060"/>
                </a:solidFill>
              </a:ln>
            </c:spPr>
          </c:marker>
          <c:cat>
            <c:strRef>
              <c:f>'All Age Mortality CRC 1993-2008'!$W$19:$AJ$19</c:f>
              <c:strCache>
                <c:ptCount val="14"/>
                <c:pt idx="0">
                  <c:v>1993-95</c:v>
                </c:pt>
                <c:pt idx="1">
                  <c:v>1994-96</c:v>
                </c:pt>
                <c:pt idx="2">
                  <c:v>1995-97</c:v>
                </c:pt>
                <c:pt idx="3">
                  <c:v>1996-98</c:v>
                </c:pt>
                <c:pt idx="4">
                  <c:v>1997-99</c:v>
                </c:pt>
                <c:pt idx="5">
                  <c:v>1998-00</c:v>
                </c:pt>
                <c:pt idx="6">
                  <c:v>1999-01</c:v>
                </c:pt>
                <c:pt idx="7">
                  <c:v>2000-02</c:v>
                </c:pt>
                <c:pt idx="8">
                  <c:v>2001-03</c:v>
                </c:pt>
                <c:pt idx="9">
                  <c:v>2002-04</c:v>
                </c:pt>
                <c:pt idx="10">
                  <c:v>2003-05</c:v>
                </c:pt>
                <c:pt idx="11">
                  <c:v>2004-06</c:v>
                </c:pt>
                <c:pt idx="12">
                  <c:v>2005-07</c:v>
                </c:pt>
                <c:pt idx="13">
                  <c:v>2006-08</c:v>
                </c:pt>
              </c:strCache>
            </c:strRef>
          </c:cat>
          <c:val>
            <c:numRef>
              <c:f>'All Age Mortality CRC 1993-2008'!$AN$26:$BA$26</c:f>
              <c:numCache>
                <c:formatCode>0.00</c:formatCode>
                <c:ptCount val="14"/>
                <c:pt idx="0">
                  <c:v>22.37</c:v>
                </c:pt>
                <c:pt idx="1">
                  <c:v>21.233333333332997</c:v>
                </c:pt>
                <c:pt idx="2">
                  <c:v>20.84</c:v>
                </c:pt>
                <c:pt idx="3">
                  <c:v>20.170000000000005</c:v>
                </c:pt>
                <c:pt idx="4">
                  <c:v>20.73</c:v>
                </c:pt>
                <c:pt idx="5">
                  <c:v>19.623333333333022</c:v>
                </c:pt>
                <c:pt idx="6">
                  <c:v>20.263333333332902</c:v>
                </c:pt>
                <c:pt idx="7">
                  <c:v>18.88</c:v>
                </c:pt>
                <c:pt idx="8">
                  <c:v>17.186666666666664</c:v>
                </c:pt>
                <c:pt idx="9">
                  <c:v>15.963333333333336</c:v>
                </c:pt>
                <c:pt idx="10">
                  <c:v>17.596666666666668</c:v>
                </c:pt>
                <c:pt idx="11">
                  <c:v>18.246666666666666</c:v>
                </c:pt>
                <c:pt idx="12">
                  <c:v>17.743333333332913</c:v>
                </c:pt>
                <c:pt idx="13">
                  <c:v>17.523333333332964</c:v>
                </c:pt>
              </c:numCache>
            </c:numRef>
          </c:val>
        </c:ser>
        <c:ser>
          <c:idx val="3"/>
          <c:order val="3"/>
          <c:tx>
            <c:strRef>
              <c:f>'All Age Mortality CRC 1993-2008'!$B$27</c:f>
              <c:strCache>
                <c:ptCount val="1"/>
                <c:pt idx="0">
                  <c:v>Richmond &amp; Twickenham</c:v>
                </c:pt>
              </c:strCache>
            </c:strRef>
          </c:tx>
          <c:spPr>
            <a:ln w="12700">
              <a:solidFill>
                <a:schemeClr val="accent5"/>
              </a:solidFill>
              <a:prstDash val="dash"/>
            </a:ln>
          </c:spPr>
          <c:marker>
            <c:symbol val="x"/>
            <c:size val="4"/>
            <c:spPr>
              <a:ln>
                <a:solidFill>
                  <a:schemeClr val="accent5"/>
                </a:solidFill>
              </a:ln>
            </c:spPr>
          </c:marker>
          <c:cat>
            <c:strRef>
              <c:f>'All Age Mortality CRC 1993-2008'!$W$19:$AJ$19</c:f>
              <c:strCache>
                <c:ptCount val="14"/>
                <c:pt idx="0">
                  <c:v>1993-95</c:v>
                </c:pt>
                <c:pt idx="1">
                  <c:v>1994-96</c:v>
                </c:pt>
                <c:pt idx="2">
                  <c:v>1995-97</c:v>
                </c:pt>
                <c:pt idx="3">
                  <c:v>1996-98</c:v>
                </c:pt>
                <c:pt idx="4">
                  <c:v>1997-99</c:v>
                </c:pt>
                <c:pt idx="5">
                  <c:v>1998-00</c:v>
                </c:pt>
                <c:pt idx="6">
                  <c:v>1999-01</c:v>
                </c:pt>
                <c:pt idx="7">
                  <c:v>2000-02</c:v>
                </c:pt>
                <c:pt idx="8">
                  <c:v>2001-03</c:v>
                </c:pt>
                <c:pt idx="9">
                  <c:v>2002-04</c:v>
                </c:pt>
                <c:pt idx="10">
                  <c:v>2003-05</c:v>
                </c:pt>
                <c:pt idx="11">
                  <c:v>2004-06</c:v>
                </c:pt>
                <c:pt idx="12">
                  <c:v>2005-07</c:v>
                </c:pt>
                <c:pt idx="13">
                  <c:v>2006-08</c:v>
                </c:pt>
              </c:strCache>
            </c:strRef>
          </c:cat>
          <c:val>
            <c:numRef>
              <c:f>'All Age Mortality CRC 1993-2008'!$W$28:$AJ$28</c:f>
              <c:numCache>
                <c:formatCode>0.00</c:formatCode>
                <c:ptCount val="14"/>
                <c:pt idx="0">
                  <c:v>16.793333333332942</c:v>
                </c:pt>
                <c:pt idx="1">
                  <c:v>18.773333333332964</c:v>
                </c:pt>
                <c:pt idx="2">
                  <c:v>17.68</c:v>
                </c:pt>
                <c:pt idx="3">
                  <c:v>17.116666666666731</c:v>
                </c:pt>
                <c:pt idx="4">
                  <c:v>13.94</c:v>
                </c:pt>
                <c:pt idx="5">
                  <c:v>16.683333333332971</c:v>
                </c:pt>
                <c:pt idx="6">
                  <c:v>17.063333333332924</c:v>
                </c:pt>
                <c:pt idx="7">
                  <c:v>16.916666666666668</c:v>
                </c:pt>
                <c:pt idx="8">
                  <c:v>13.850000000000026</c:v>
                </c:pt>
                <c:pt idx="9">
                  <c:v>13.79666666666667</c:v>
                </c:pt>
                <c:pt idx="10">
                  <c:v>13.9</c:v>
                </c:pt>
                <c:pt idx="11">
                  <c:v>15.19</c:v>
                </c:pt>
                <c:pt idx="12">
                  <c:v>14.773333333333333</c:v>
                </c:pt>
                <c:pt idx="13">
                  <c:v>13.516666666666676</c:v>
                </c:pt>
              </c:numCache>
            </c:numRef>
          </c:val>
        </c:ser>
        <c:ser>
          <c:idx val="4"/>
          <c:order val="4"/>
          <c:tx>
            <c:strRef>
              <c:f>'All Age Mortality CRC 1993-2008'!$B$29</c:f>
              <c:strCache>
                <c:ptCount val="1"/>
                <c:pt idx="0">
                  <c:v>Sutton &amp; Merton</c:v>
                </c:pt>
              </c:strCache>
            </c:strRef>
          </c:tx>
          <c:spPr>
            <a:ln w="12700">
              <a:solidFill>
                <a:schemeClr val="accent6">
                  <a:lumMod val="75000"/>
                </a:schemeClr>
              </a:solidFill>
              <a:prstDash val="sysDot"/>
            </a:ln>
          </c:spPr>
          <c:marker>
            <c:symbol val="star"/>
            <c:size val="4"/>
            <c:spPr>
              <a:ln>
                <a:solidFill>
                  <a:schemeClr val="accent6">
                    <a:lumMod val="75000"/>
                  </a:schemeClr>
                </a:solidFill>
              </a:ln>
            </c:spPr>
          </c:marker>
          <c:cat>
            <c:strRef>
              <c:f>'All Age Mortality CRC 1993-2008'!$W$19:$AJ$19</c:f>
              <c:strCache>
                <c:ptCount val="14"/>
                <c:pt idx="0">
                  <c:v>1993-95</c:v>
                </c:pt>
                <c:pt idx="1">
                  <c:v>1994-96</c:v>
                </c:pt>
                <c:pt idx="2">
                  <c:v>1995-97</c:v>
                </c:pt>
                <c:pt idx="3">
                  <c:v>1996-98</c:v>
                </c:pt>
                <c:pt idx="4">
                  <c:v>1997-99</c:v>
                </c:pt>
                <c:pt idx="5">
                  <c:v>1998-00</c:v>
                </c:pt>
                <c:pt idx="6">
                  <c:v>1999-01</c:v>
                </c:pt>
                <c:pt idx="7">
                  <c:v>2000-02</c:v>
                </c:pt>
                <c:pt idx="8">
                  <c:v>2001-03</c:v>
                </c:pt>
                <c:pt idx="9">
                  <c:v>2002-04</c:v>
                </c:pt>
                <c:pt idx="10">
                  <c:v>2003-05</c:v>
                </c:pt>
                <c:pt idx="11">
                  <c:v>2004-06</c:v>
                </c:pt>
                <c:pt idx="12">
                  <c:v>2005-07</c:v>
                </c:pt>
                <c:pt idx="13">
                  <c:v>2006-08</c:v>
                </c:pt>
              </c:strCache>
            </c:strRef>
          </c:cat>
          <c:val>
            <c:numRef>
              <c:f>'All Age Mortality CRC 1993-2008'!$W$30:$AJ$30</c:f>
              <c:numCache>
                <c:formatCode>0.00</c:formatCode>
                <c:ptCount val="14"/>
                <c:pt idx="0">
                  <c:v>18.183333333332971</c:v>
                </c:pt>
                <c:pt idx="1">
                  <c:v>17.703333333332957</c:v>
                </c:pt>
                <c:pt idx="2">
                  <c:v>16.716666666666665</c:v>
                </c:pt>
                <c:pt idx="3">
                  <c:v>16.420000000000002</c:v>
                </c:pt>
                <c:pt idx="4">
                  <c:v>16.533333333333026</c:v>
                </c:pt>
                <c:pt idx="5">
                  <c:v>15.733333333333333</c:v>
                </c:pt>
                <c:pt idx="6">
                  <c:v>14.086666666666726</c:v>
                </c:pt>
                <c:pt idx="7">
                  <c:v>14.51</c:v>
                </c:pt>
                <c:pt idx="8">
                  <c:v>15.433333333333335</c:v>
                </c:pt>
                <c:pt idx="9">
                  <c:v>17.200000000000003</c:v>
                </c:pt>
                <c:pt idx="10">
                  <c:v>15.883333333333336</c:v>
                </c:pt>
                <c:pt idx="11">
                  <c:v>16.10666666666669</c:v>
                </c:pt>
                <c:pt idx="12">
                  <c:v>15.15</c:v>
                </c:pt>
                <c:pt idx="13">
                  <c:v>15.583333333333334</c:v>
                </c:pt>
              </c:numCache>
            </c:numRef>
          </c:val>
        </c:ser>
        <c:ser>
          <c:idx val="5"/>
          <c:order val="5"/>
          <c:tx>
            <c:strRef>
              <c:f>'All Age Mortality CRC 1993-2008'!$B$31</c:f>
              <c:strCache>
                <c:ptCount val="1"/>
                <c:pt idx="0">
                  <c:v>London SHA</c:v>
                </c:pt>
              </c:strCache>
            </c:strRef>
          </c:tx>
          <c:spPr>
            <a:ln w="12700">
              <a:solidFill>
                <a:srgbClr val="FF0000"/>
              </a:solidFill>
            </a:ln>
          </c:spPr>
          <c:marker>
            <c:symbol val="plus"/>
            <c:size val="5"/>
            <c:spPr>
              <a:ln>
                <a:solidFill>
                  <a:srgbClr val="FF0000"/>
                </a:solidFill>
              </a:ln>
            </c:spPr>
          </c:marker>
          <c:cat>
            <c:strRef>
              <c:f>'All Age Mortality CRC 1993-2008'!$W$19:$AJ$19</c:f>
              <c:strCache>
                <c:ptCount val="14"/>
                <c:pt idx="0">
                  <c:v>1993-95</c:v>
                </c:pt>
                <c:pt idx="1">
                  <c:v>1994-96</c:v>
                </c:pt>
                <c:pt idx="2">
                  <c:v>1995-97</c:v>
                </c:pt>
                <c:pt idx="3">
                  <c:v>1996-98</c:v>
                </c:pt>
                <c:pt idx="4">
                  <c:v>1997-99</c:v>
                </c:pt>
                <c:pt idx="5">
                  <c:v>1998-00</c:v>
                </c:pt>
                <c:pt idx="6">
                  <c:v>1999-01</c:v>
                </c:pt>
                <c:pt idx="7">
                  <c:v>2000-02</c:v>
                </c:pt>
                <c:pt idx="8">
                  <c:v>2001-03</c:v>
                </c:pt>
                <c:pt idx="9">
                  <c:v>2002-04</c:v>
                </c:pt>
                <c:pt idx="10">
                  <c:v>2003-05</c:v>
                </c:pt>
                <c:pt idx="11">
                  <c:v>2004-06</c:v>
                </c:pt>
                <c:pt idx="12">
                  <c:v>2005-07</c:v>
                </c:pt>
                <c:pt idx="13">
                  <c:v>2006-08</c:v>
                </c:pt>
              </c:strCache>
            </c:strRef>
          </c:cat>
          <c:val>
            <c:numRef>
              <c:f>'All Age Mortality CRC 1993-2008'!$W$32:$AJ$32</c:f>
              <c:numCache>
                <c:formatCode>0.00</c:formatCode>
                <c:ptCount val="14"/>
                <c:pt idx="0">
                  <c:v>17.203333333332957</c:v>
                </c:pt>
                <c:pt idx="1">
                  <c:v>16.906666666666666</c:v>
                </c:pt>
                <c:pt idx="2">
                  <c:v>16.483333333332844</c:v>
                </c:pt>
                <c:pt idx="3">
                  <c:v>16.213333333333015</c:v>
                </c:pt>
                <c:pt idx="4">
                  <c:v>15.573333333333332</c:v>
                </c:pt>
                <c:pt idx="5">
                  <c:v>15.213333333333333</c:v>
                </c:pt>
                <c:pt idx="6">
                  <c:v>14.65</c:v>
                </c:pt>
                <c:pt idx="7">
                  <c:v>14.613333333333335</c:v>
                </c:pt>
                <c:pt idx="8">
                  <c:v>14.273333333333333</c:v>
                </c:pt>
                <c:pt idx="9">
                  <c:v>14.63</c:v>
                </c:pt>
                <c:pt idx="10">
                  <c:v>14.316666666666777</c:v>
                </c:pt>
                <c:pt idx="11">
                  <c:v>14.276666666666674</c:v>
                </c:pt>
                <c:pt idx="12">
                  <c:v>13.54666666666667</c:v>
                </c:pt>
                <c:pt idx="13">
                  <c:v>13.580000000000002</c:v>
                </c:pt>
              </c:numCache>
            </c:numRef>
          </c:val>
        </c:ser>
        <c:ser>
          <c:idx val="6"/>
          <c:order val="6"/>
          <c:tx>
            <c:strRef>
              <c:f>'All Age Mortality CRC 1993-2008'!$B$33</c:f>
              <c:strCache>
                <c:ptCount val="1"/>
                <c:pt idx="0">
                  <c:v>ENGLAND</c:v>
                </c:pt>
              </c:strCache>
            </c:strRef>
          </c:tx>
          <c:spPr>
            <a:ln w="12700">
              <a:solidFill>
                <a:srgbClr val="663300"/>
              </a:solidFill>
              <a:prstDash val="lgDashDot"/>
            </a:ln>
          </c:spPr>
          <c:marker>
            <c:symbol val="square"/>
            <c:size val="5"/>
            <c:spPr>
              <a:solidFill>
                <a:srgbClr val="663300"/>
              </a:solidFill>
              <a:ln>
                <a:solidFill>
                  <a:srgbClr val="663300"/>
                </a:solidFill>
              </a:ln>
            </c:spPr>
          </c:marker>
          <c:cat>
            <c:strRef>
              <c:f>'All Age Mortality CRC 1993-2008'!$W$19:$AJ$19</c:f>
              <c:strCache>
                <c:ptCount val="14"/>
                <c:pt idx="0">
                  <c:v>1993-95</c:v>
                </c:pt>
                <c:pt idx="1">
                  <c:v>1994-96</c:v>
                </c:pt>
                <c:pt idx="2">
                  <c:v>1995-97</c:v>
                </c:pt>
                <c:pt idx="3">
                  <c:v>1996-98</c:v>
                </c:pt>
                <c:pt idx="4">
                  <c:v>1997-99</c:v>
                </c:pt>
                <c:pt idx="5">
                  <c:v>1998-00</c:v>
                </c:pt>
                <c:pt idx="6">
                  <c:v>1999-01</c:v>
                </c:pt>
                <c:pt idx="7">
                  <c:v>2000-02</c:v>
                </c:pt>
                <c:pt idx="8">
                  <c:v>2001-03</c:v>
                </c:pt>
                <c:pt idx="9">
                  <c:v>2002-04</c:v>
                </c:pt>
                <c:pt idx="10">
                  <c:v>2003-05</c:v>
                </c:pt>
                <c:pt idx="11">
                  <c:v>2004-06</c:v>
                </c:pt>
                <c:pt idx="12">
                  <c:v>2005-07</c:v>
                </c:pt>
                <c:pt idx="13">
                  <c:v>2006-08</c:v>
                </c:pt>
              </c:strCache>
            </c:strRef>
          </c:cat>
          <c:val>
            <c:numRef>
              <c:f>'All Age Mortality CRC 1993-2008'!$W$34:$AJ$34</c:f>
              <c:numCache>
                <c:formatCode>0.00</c:formatCode>
                <c:ptCount val="14"/>
                <c:pt idx="0">
                  <c:v>18.8</c:v>
                </c:pt>
                <c:pt idx="1">
                  <c:v>18.340000000000003</c:v>
                </c:pt>
                <c:pt idx="2">
                  <c:v>17.773333333332964</c:v>
                </c:pt>
                <c:pt idx="3">
                  <c:v>17.263333333332902</c:v>
                </c:pt>
                <c:pt idx="4">
                  <c:v>16.810000000000031</c:v>
                </c:pt>
                <c:pt idx="5">
                  <c:v>16.23</c:v>
                </c:pt>
                <c:pt idx="6">
                  <c:v>15.660000000000002</c:v>
                </c:pt>
                <c:pt idx="7">
                  <c:v>15.163333333333332</c:v>
                </c:pt>
                <c:pt idx="8">
                  <c:v>14.856666666666811</c:v>
                </c:pt>
                <c:pt idx="9">
                  <c:v>14.763333333333334</c:v>
                </c:pt>
                <c:pt idx="10">
                  <c:v>14.536666666666672</c:v>
                </c:pt>
                <c:pt idx="11">
                  <c:v>14.373333333333354</c:v>
                </c:pt>
                <c:pt idx="12">
                  <c:v>14.193333333333333</c:v>
                </c:pt>
                <c:pt idx="13">
                  <c:v>14.076666666666769</c:v>
                </c:pt>
              </c:numCache>
            </c:numRef>
          </c:val>
        </c:ser>
        <c:marker val="1"/>
        <c:axId val="106873984"/>
        <c:axId val="106875904"/>
      </c:lineChart>
      <c:catAx>
        <c:axId val="106873984"/>
        <c:scaling>
          <c:orientation val="minMax"/>
        </c:scaling>
        <c:axPos val="b"/>
        <c:numFmt formatCode="General" sourceLinked="1"/>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06875904"/>
        <c:crosses val="autoZero"/>
        <c:auto val="1"/>
        <c:lblAlgn val="ctr"/>
        <c:lblOffset val="100"/>
      </c:catAx>
      <c:valAx>
        <c:axId val="106875904"/>
        <c:scaling>
          <c:orientation val="minMax"/>
          <c:max val="23"/>
          <c:min val="11"/>
        </c:scaling>
        <c:axPos val="l"/>
        <c:majorGridlines/>
        <c:numFmt formatCode="0.00" sourceLinked="1"/>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06873984"/>
        <c:crosses val="autoZero"/>
        <c:crossBetween val="between"/>
      </c:valAx>
    </c:plotArea>
    <c:legend>
      <c:legendPos val="r"/>
      <c:layout>
        <c:manualLayout>
          <c:xMode val="edge"/>
          <c:yMode val="edge"/>
          <c:x val="8.555486422508049E-2"/>
          <c:y val="0.75820885403023264"/>
          <c:w val="0.89479237438644432"/>
          <c:h val="0.12490109969130538"/>
        </c:manualLayout>
      </c:layout>
      <c:txPr>
        <a:bodyPr/>
        <a:lstStyle/>
        <a:p>
          <a:pPr>
            <a:defRPr sz="550" b="0" i="0" u="none" strike="noStrike" baseline="0">
              <a:solidFill>
                <a:srgbClr val="000000"/>
              </a:solidFill>
              <a:latin typeface="Calibri"/>
              <a:ea typeface="Calibri"/>
              <a:cs typeface="Calibri"/>
            </a:defRPr>
          </a:pPr>
          <a:endParaRPr lang="en-US"/>
        </a:p>
      </c:txPr>
    </c:legend>
    <c:plotVisOnly val="1"/>
    <c:dispBlanksAs val="gap"/>
  </c:chart>
  <c:spPr>
    <a:ln>
      <a:solidFill>
        <a:sysClr val="window" lastClr="FFFFFF"/>
      </a:solidFill>
    </a:ln>
  </c:spPr>
  <c:txPr>
    <a:bodyPr/>
    <a:lstStyle/>
    <a:p>
      <a:pPr>
        <a:defRPr sz="1000" b="0" i="0" u="none" strike="noStrike" baseline="0">
          <a:solidFill>
            <a:srgbClr val="000000"/>
          </a:solidFill>
          <a:latin typeface="Calibri"/>
          <a:ea typeface="Calibri"/>
          <a:cs typeface="Calibri"/>
        </a:defRPr>
      </a:pPr>
      <a:endParaRPr lang="en-US"/>
    </a:p>
  </c:txPr>
  <c:externalData r:id="rId1"/>
  <c:userShapes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4609168611644158"/>
          <c:y val="3.233498384649678E-2"/>
          <c:w val="0.84277948787990065"/>
          <c:h val="0.7822157565332416"/>
        </c:manualLayout>
      </c:layout>
      <c:barChart>
        <c:barDir val="col"/>
        <c:grouping val="clustered"/>
        <c:ser>
          <c:idx val="0"/>
          <c:order val="0"/>
          <c:tx>
            <c:strRef>
              <c:f>'All Mortality Lung 2006-08'!$C$17:$F$17</c:f>
              <c:strCache>
                <c:ptCount val="1"/>
                <c:pt idx="0">
                  <c:v>MALES</c:v>
                </c:pt>
              </c:strCache>
            </c:strRef>
          </c:tx>
          <c:spPr>
            <a:solidFill>
              <a:schemeClr val="bg1">
                <a:lumMod val="75000"/>
              </a:schemeClr>
            </a:solidFill>
            <a:ln>
              <a:solidFill>
                <a:schemeClr val="tx1"/>
              </a:solidFill>
            </a:ln>
          </c:spPr>
          <c:errBars>
            <c:errBarType val="both"/>
            <c:errValType val="cust"/>
            <c:plus>
              <c:numRef>
                <c:f>'All Mortality Lung 2006-08'!$H$21:$H$27</c:f>
                <c:numCache>
                  <c:formatCode>General</c:formatCode>
                  <c:ptCount val="7"/>
                  <c:pt idx="0">
                    <c:v>5.240000000000002</c:v>
                  </c:pt>
                  <c:pt idx="1">
                    <c:v>5.4300000000000024</c:v>
                  </c:pt>
                  <c:pt idx="2">
                    <c:v>3.9199999999999977</c:v>
                  </c:pt>
                  <c:pt idx="3">
                    <c:v>3.8000000000000007</c:v>
                  </c:pt>
                  <c:pt idx="4">
                    <c:v>5.3000000000000007</c:v>
                  </c:pt>
                  <c:pt idx="5">
                    <c:v>0.87000000000000599</c:v>
                  </c:pt>
                  <c:pt idx="6">
                    <c:v>0.30000000000000032</c:v>
                  </c:pt>
                </c:numCache>
              </c:numRef>
            </c:plus>
            <c:minus>
              <c:numRef>
                <c:f>'All Mortality Lung 2006-08'!$G$21:$G$27</c:f>
                <c:numCache>
                  <c:formatCode>General</c:formatCode>
                  <c:ptCount val="7"/>
                  <c:pt idx="0">
                    <c:v>5.2399999999999984</c:v>
                  </c:pt>
                  <c:pt idx="1">
                    <c:v>5.4300000000000024</c:v>
                  </c:pt>
                  <c:pt idx="2">
                    <c:v>3.9200000000000017</c:v>
                  </c:pt>
                  <c:pt idx="3">
                    <c:v>3.7899999999999991</c:v>
                  </c:pt>
                  <c:pt idx="4">
                    <c:v>5.2899999999999991</c:v>
                  </c:pt>
                  <c:pt idx="5">
                    <c:v>0.87000000000000954</c:v>
                  </c:pt>
                  <c:pt idx="6">
                    <c:v>0.30000000000000082</c:v>
                  </c:pt>
                </c:numCache>
              </c:numRef>
            </c:minus>
          </c:errBars>
          <c:cat>
            <c:strRef>
              <c:f>'All Mortality Lung 2006-08'!$B$21:$B$27</c:f>
              <c:strCache>
                <c:ptCount val="7"/>
                <c:pt idx="0">
                  <c:v>Kingston PCT</c:v>
                </c:pt>
                <c:pt idx="1">
                  <c:v>Richmond and Twickenham PCT</c:v>
                </c:pt>
                <c:pt idx="2">
                  <c:v>Croydon PCT</c:v>
                </c:pt>
                <c:pt idx="3">
                  <c:v>Sutton and Merton PCT</c:v>
                </c:pt>
                <c:pt idx="4">
                  <c:v>Wandsworth Teaching PCT</c:v>
                </c:pt>
                <c:pt idx="5">
                  <c:v>London SHA</c:v>
                </c:pt>
                <c:pt idx="6">
                  <c:v>ENGLAND</c:v>
                </c:pt>
              </c:strCache>
            </c:strRef>
          </c:cat>
          <c:val>
            <c:numRef>
              <c:f>'All Mortality Lung 2006-08'!$D$21:$D$27</c:f>
              <c:numCache>
                <c:formatCode>0.00</c:formatCode>
                <c:ptCount val="7"/>
                <c:pt idx="0">
                  <c:v>16.239999999999988</c:v>
                </c:pt>
                <c:pt idx="1">
                  <c:v>20.67</c:v>
                </c:pt>
                <c:pt idx="2">
                  <c:v>21.259999999999987</c:v>
                </c:pt>
                <c:pt idx="3">
                  <c:v>21.32</c:v>
                </c:pt>
                <c:pt idx="4">
                  <c:v>21.36</c:v>
                </c:pt>
                <c:pt idx="5">
                  <c:v>20.12</c:v>
                </c:pt>
                <c:pt idx="6">
                  <c:v>22.19</c:v>
                </c:pt>
              </c:numCache>
            </c:numRef>
          </c:val>
        </c:ser>
        <c:ser>
          <c:idx val="1"/>
          <c:order val="1"/>
          <c:tx>
            <c:strRef>
              <c:f>'All Mortality Lung 2006-08'!$J$17:$M$17</c:f>
              <c:strCache>
                <c:ptCount val="1"/>
                <c:pt idx="0">
                  <c:v>FEMALES</c:v>
                </c:pt>
              </c:strCache>
            </c:strRef>
          </c:tx>
          <c:spPr>
            <a:solidFill>
              <a:schemeClr val="bg1">
                <a:lumMod val="50000"/>
              </a:schemeClr>
            </a:solidFill>
            <a:ln>
              <a:solidFill>
                <a:prstClr val="black"/>
              </a:solidFill>
            </a:ln>
          </c:spPr>
          <c:errBars>
            <c:errBarType val="both"/>
            <c:errValType val="cust"/>
            <c:plus>
              <c:numRef>
                <c:f>'All Mortality Lung 2006-08'!$O$21:$O$27</c:f>
                <c:numCache>
                  <c:formatCode>General</c:formatCode>
                  <c:ptCount val="7"/>
                  <c:pt idx="0">
                    <c:v>3.9899999999999984</c:v>
                  </c:pt>
                  <c:pt idx="1">
                    <c:v>3.8899999999999997</c:v>
                  </c:pt>
                  <c:pt idx="2">
                    <c:v>2.8800000000000008</c:v>
                  </c:pt>
                  <c:pt idx="3">
                    <c:v>2.8600000000000008</c:v>
                  </c:pt>
                  <c:pt idx="4">
                    <c:v>3.8699999999999997</c:v>
                  </c:pt>
                  <c:pt idx="5">
                    <c:v>0.64000000000001023</c:v>
                  </c:pt>
                  <c:pt idx="6">
                    <c:v>0.22000000000000064</c:v>
                  </c:pt>
                </c:numCache>
              </c:numRef>
            </c:plus>
            <c:minus>
              <c:numRef>
                <c:f>'All Mortality Lung 2006-08'!$N$21:$N$27</c:f>
                <c:numCache>
                  <c:formatCode>General</c:formatCode>
                  <c:ptCount val="7"/>
                  <c:pt idx="0">
                    <c:v>3.9899999999999998</c:v>
                  </c:pt>
                  <c:pt idx="1">
                    <c:v>3.8899999999999988</c:v>
                  </c:pt>
                  <c:pt idx="2">
                    <c:v>2.8799999999999977</c:v>
                  </c:pt>
                  <c:pt idx="3">
                    <c:v>2.8599999999999977</c:v>
                  </c:pt>
                  <c:pt idx="4">
                    <c:v>3.8699999999999997</c:v>
                  </c:pt>
                  <c:pt idx="5">
                    <c:v>0.64000000000001023</c:v>
                  </c:pt>
                  <c:pt idx="6">
                    <c:v>0.22000000000000064</c:v>
                  </c:pt>
                </c:numCache>
              </c:numRef>
            </c:minus>
          </c:errBars>
          <c:cat>
            <c:strRef>
              <c:f>'All Mortality Lung 2006-08'!$B$21:$B$27</c:f>
              <c:strCache>
                <c:ptCount val="7"/>
                <c:pt idx="0">
                  <c:v>Kingston PCT</c:v>
                </c:pt>
                <c:pt idx="1">
                  <c:v>Richmond and Twickenham PCT</c:v>
                </c:pt>
                <c:pt idx="2">
                  <c:v>Croydon PCT</c:v>
                </c:pt>
                <c:pt idx="3">
                  <c:v>Sutton and Merton PCT</c:v>
                </c:pt>
                <c:pt idx="4">
                  <c:v>Wandsworth Teaching PCT</c:v>
                </c:pt>
                <c:pt idx="5">
                  <c:v>London SHA</c:v>
                </c:pt>
                <c:pt idx="6">
                  <c:v>ENGLAND</c:v>
                </c:pt>
              </c:strCache>
            </c:strRef>
          </c:cat>
          <c:val>
            <c:numRef>
              <c:f>'All Mortality Lung 2006-08'!$K$21:$K$27</c:f>
              <c:numCache>
                <c:formatCode>0.00</c:formatCode>
                <c:ptCount val="7"/>
                <c:pt idx="0">
                  <c:v>12.34</c:v>
                </c:pt>
                <c:pt idx="1">
                  <c:v>13.52</c:v>
                </c:pt>
                <c:pt idx="2">
                  <c:v>13.94</c:v>
                </c:pt>
                <c:pt idx="3">
                  <c:v>15.58</c:v>
                </c:pt>
                <c:pt idx="4">
                  <c:v>14.57</c:v>
                </c:pt>
                <c:pt idx="5">
                  <c:v>13.58</c:v>
                </c:pt>
                <c:pt idx="6">
                  <c:v>14.08</c:v>
                </c:pt>
              </c:numCache>
            </c:numRef>
          </c:val>
        </c:ser>
        <c:ser>
          <c:idx val="2"/>
          <c:order val="2"/>
          <c:tx>
            <c:strRef>
              <c:f>'All Mortality Lung 2006-08'!$Q$17:$T$17</c:f>
              <c:strCache>
                <c:ptCount val="1"/>
                <c:pt idx="0">
                  <c:v>PERSONS</c:v>
                </c:pt>
              </c:strCache>
            </c:strRef>
          </c:tx>
          <c:spPr>
            <a:solidFill>
              <a:schemeClr val="tx1">
                <a:lumMod val="65000"/>
                <a:lumOff val="35000"/>
              </a:schemeClr>
            </a:solidFill>
            <a:ln>
              <a:solidFill>
                <a:prstClr val="black"/>
              </a:solidFill>
            </a:ln>
          </c:spPr>
          <c:errBars>
            <c:errBarType val="both"/>
            <c:errValType val="cust"/>
            <c:plus>
              <c:numRef>
                <c:f>'All Mortality Lung 2006-08'!$V$21:$V$27</c:f>
                <c:numCache>
                  <c:formatCode>General</c:formatCode>
                  <c:ptCount val="7"/>
                  <c:pt idx="0">
                    <c:v>3.2200000000000006</c:v>
                  </c:pt>
                  <c:pt idx="1">
                    <c:v>3.2199999999999989</c:v>
                  </c:pt>
                  <c:pt idx="2">
                    <c:v>2.3599999999999977</c:v>
                  </c:pt>
                  <c:pt idx="3">
                    <c:v>2.3000000000000007</c:v>
                  </c:pt>
                  <c:pt idx="4">
                    <c:v>3.16</c:v>
                  </c:pt>
                  <c:pt idx="5">
                    <c:v>0.53000000000000114</c:v>
                  </c:pt>
                  <c:pt idx="6">
                    <c:v>0.18000000000000024</c:v>
                  </c:pt>
                </c:numCache>
              </c:numRef>
            </c:plus>
            <c:minus>
              <c:numRef>
                <c:f>'All Mortality Lung 2006-08'!$U$21:$U$27</c:f>
                <c:numCache>
                  <c:formatCode>General</c:formatCode>
                  <c:ptCount val="7"/>
                  <c:pt idx="0">
                    <c:v>3.2200000000000006</c:v>
                  </c:pt>
                  <c:pt idx="1">
                    <c:v>3.2100000000000009</c:v>
                  </c:pt>
                  <c:pt idx="2">
                    <c:v>2.3699999999999997</c:v>
                  </c:pt>
                  <c:pt idx="3">
                    <c:v>2.3099999999999987</c:v>
                  </c:pt>
                  <c:pt idx="4">
                    <c:v>3.1700000000000017</c:v>
                  </c:pt>
                  <c:pt idx="5">
                    <c:v>0.5199999999999978</c:v>
                  </c:pt>
                  <c:pt idx="6">
                    <c:v>0.19000000000000003</c:v>
                  </c:pt>
                </c:numCache>
              </c:numRef>
            </c:minus>
          </c:errBars>
          <c:cat>
            <c:strRef>
              <c:f>'All Mortality Lung 2006-08'!$B$21:$B$27</c:f>
              <c:strCache>
                <c:ptCount val="7"/>
                <c:pt idx="0">
                  <c:v>Kingston PCT</c:v>
                </c:pt>
                <c:pt idx="1">
                  <c:v>Richmond and Twickenham PCT</c:v>
                </c:pt>
                <c:pt idx="2">
                  <c:v>Croydon PCT</c:v>
                </c:pt>
                <c:pt idx="3">
                  <c:v>Sutton and Merton PCT</c:v>
                </c:pt>
                <c:pt idx="4">
                  <c:v>Wandsworth Teaching PCT</c:v>
                </c:pt>
                <c:pt idx="5">
                  <c:v>London SHA</c:v>
                </c:pt>
                <c:pt idx="6">
                  <c:v>ENGLAND</c:v>
                </c:pt>
              </c:strCache>
            </c:strRef>
          </c:cat>
          <c:val>
            <c:numRef>
              <c:f>'All Mortality Lung 2006-08'!$R$21:$R$27</c:f>
              <c:numCache>
                <c:formatCode>0.00</c:formatCode>
                <c:ptCount val="7"/>
                <c:pt idx="0">
                  <c:v>14.129999999999999</c:v>
                </c:pt>
                <c:pt idx="1">
                  <c:v>16.57</c:v>
                </c:pt>
                <c:pt idx="2">
                  <c:v>17.21</c:v>
                </c:pt>
                <c:pt idx="3">
                  <c:v>18.14</c:v>
                </c:pt>
                <c:pt idx="4">
                  <c:v>17.53</c:v>
                </c:pt>
                <c:pt idx="5">
                  <c:v>16.489999999999789</c:v>
                </c:pt>
                <c:pt idx="6">
                  <c:v>17.7</c:v>
                </c:pt>
              </c:numCache>
            </c:numRef>
          </c:val>
        </c:ser>
        <c:axId val="106677376"/>
        <c:axId val="106678912"/>
      </c:barChart>
      <c:catAx>
        <c:axId val="106677376"/>
        <c:scaling>
          <c:orientation val="minMax"/>
        </c:scaling>
        <c:axPos val="b"/>
        <c:numFmt formatCode="General" sourceLinked="1"/>
        <c:tickLblPos val="nextTo"/>
        <c:txPr>
          <a:bodyPr/>
          <a:lstStyle/>
          <a:p>
            <a:pPr>
              <a:defRPr sz="600"/>
            </a:pPr>
            <a:endParaRPr lang="en-US"/>
          </a:p>
        </c:txPr>
        <c:crossAx val="106678912"/>
        <c:crosses val="autoZero"/>
        <c:auto val="1"/>
        <c:lblAlgn val="ctr"/>
        <c:lblOffset val="100"/>
      </c:catAx>
      <c:valAx>
        <c:axId val="106678912"/>
        <c:scaling>
          <c:orientation val="minMax"/>
        </c:scaling>
        <c:axPos val="l"/>
        <c:majorGridlines/>
        <c:numFmt formatCode="0.00" sourceLinked="1"/>
        <c:tickLblPos val="nextTo"/>
        <c:txPr>
          <a:bodyPr/>
          <a:lstStyle/>
          <a:p>
            <a:pPr>
              <a:defRPr sz="600"/>
            </a:pPr>
            <a:endParaRPr lang="en-US"/>
          </a:p>
        </c:txPr>
        <c:crossAx val="106677376"/>
        <c:crosses val="autoZero"/>
        <c:crossBetween val="between"/>
      </c:valAx>
    </c:plotArea>
    <c:legend>
      <c:legendPos val="r"/>
      <c:layout>
        <c:manualLayout>
          <c:xMode val="edge"/>
          <c:yMode val="edge"/>
          <c:x val="0.17339582302959886"/>
          <c:y val="3.3653733697795542E-2"/>
          <c:w val="0.30515613265191299"/>
          <c:h val="8.5184067017529536E-2"/>
        </c:manualLayout>
      </c:layout>
      <c:txPr>
        <a:bodyPr/>
        <a:lstStyle/>
        <a:p>
          <a:pPr>
            <a:defRPr sz="700"/>
          </a:pPr>
          <a:endParaRPr lang="en-US"/>
        </a:p>
      </c:txPr>
    </c:legend>
    <c:plotVisOnly val="1"/>
    <c:dispBlanksAs val="gap"/>
  </c:chart>
  <c:spPr>
    <a:ln>
      <a:solidFill>
        <a:schemeClr val="bg1"/>
      </a:solidFill>
    </a:ln>
  </c:spPr>
  <c:externalData r:id="rId1"/>
  <c:userShapes r:id="rId2"/>
</c:chartSpace>
</file>

<file path=word/charts/chart26.xml><?xml version="1.0" encoding="utf-8"?>
<c:chartSpace xmlns:c="http://schemas.openxmlformats.org/drawingml/2006/chart" xmlns:a="http://schemas.openxmlformats.org/drawingml/2006/main" xmlns:r="http://schemas.openxmlformats.org/officeDocument/2006/relationships">
  <c:lang val="en-US"/>
  <c:chart>
    <c:plotArea>
      <c:layout>
        <c:manualLayout>
          <c:layoutTarget val="inner"/>
          <c:xMode val="edge"/>
          <c:yMode val="edge"/>
          <c:x val="0.11037389918736619"/>
          <c:y val="5.1400554097404488E-2"/>
          <c:w val="0.873417311864229"/>
          <c:h val="0.70213436862058964"/>
        </c:manualLayout>
      </c:layout>
      <c:barChart>
        <c:barDir val="col"/>
        <c:grouping val="clustered"/>
        <c:ser>
          <c:idx val="0"/>
          <c:order val="0"/>
          <c:spPr>
            <a:solidFill>
              <a:schemeClr val="bg1">
                <a:lumMod val="50000"/>
              </a:schemeClr>
            </a:solidFill>
            <a:ln>
              <a:solidFill>
                <a:schemeClr val="tx1"/>
              </a:solidFill>
            </a:ln>
          </c:spPr>
          <c:errBars>
            <c:errBarType val="both"/>
            <c:errValType val="cust"/>
            <c:plus>
              <c:numRef>
                <c:f>'Emergency Admissions - 2008-09'!$J$3:$J$63</c:f>
                <c:numCache>
                  <c:formatCode>General</c:formatCode>
                  <c:ptCount val="61"/>
                  <c:pt idx="0">
                    <c:v>172.82485357840292</c:v>
                  </c:pt>
                  <c:pt idx="1">
                    <c:v>196.80047817634573</c:v>
                  </c:pt>
                  <c:pt idx="2">
                    <c:v>237.63610133757521</c:v>
                  </c:pt>
                  <c:pt idx="3">
                    <c:v>218.1496417847363</c:v>
                  </c:pt>
                  <c:pt idx="4">
                    <c:v>135.9029638914771</c:v>
                  </c:pt>
                  <c:pt idx="5">
                    <c:v>274.70870875319065</c:v>
                  </c:pt>
                  <c:pt idx="6">
                    <c:v>567.51502722891087</c:v>
                  </c:pt>
                  <c:pt idx="7">
                    <c:v>232.14866417124011</c:v>
                  </c:pt>
                  <c:pt idx="8">
                    <c:v>161.01696340488348</c:v>
                  </c:pt>
                  <c:pt idx="9">
                    <c:v>181.4154590149663</c:v>
                  </c:pt>
                  <c:pt idx="10">
                    <c:v>217.16752896924493</c:v>
                  </c:pt>
                  <c:pt idx="11">
                    <c:v>275.33164648747004</c:v>
                  </c:pt>
                  <c:pt idx="12">
                    <c:v>140.14446252146615</c:v>
                  </c:pt>
                  <c:pt idx="13">
                    <c:v>162.66907787435622</c:v>
                  </c:pt>
                  <c:pt idx="14">
                    <c:v>377.70381206671703</c:v>
                  </c:pt>
                  <c:pt idx="15">
                    <c:v>136.48929298668406</c:v>
                  </c:pt>
                  <c:pt idx="16">
                    <c:v>154.77392832984054</c:v>
                  </c:pt>
                  <c:pt idx="17">
                    <c:v>391.14462339701964</c:v>
                  </c:pt>
                  <c:pt idx="18">
                    <c:v>244.30214512539402</c:v>
                  </c:pt>
                  <c:pt idx="19">
                    <c:v>211.71897949728384</c:v>
                  </c:pt>
                  <c:pt idx="20">
                    <c:v>149.86863514248921</c:v>
                  </c:pt>
                  <c:pt idx="21">
                    <c:v>405.38798503332566</c:v>
                  </c:pt>
                  <c:pt idx="22">
                    <c:v>163.55518683126854</c:v>
                  </c:pt>
                  <c:pt idx="23">
                    <c:v>350.22826152851451</c:v>
                  </c:pt>
                  <c:pt idx="24">
                    <c:v>391.56997029749004</c:v>
                  </c:pt>
                  <c:pt idx="25">
                    <c:v>159.10876900853805</c:v>
                  </c:pt>
                  <c:pt idx="26">
                    <c:v>208.65721725026864</c:v>
                  </c:pt>
                  <c:pt idx="27">
                    <c:v>326.37785267490716</c:v>
                  </c:pt>
                  <c:pt idx="28">
                    <c:v>317.03191330941524</c:v>
                  </c:pt>
                  <c:pt idx="29">
                    <c:v>231.02850878348741</c:v>
                  </c:pt>
                  <c:pt idx="30">
                    <c:v>427.00788303665075</c:v>
                  </c:pt>
                  <c:pt idx="31">
                    <c:v>137.89238958080051</c:v>
                  </c:pt>
                  <c:pt idx="32">
                    <c:v>217.38556464313558</c:v>
                  </c:pt>
                  <c:pt idx="33">
                    <c:v>255.5731228524678</c:v>
                  </c:pt>
                  <c:pt idx="34">
                    <c:v>236.59872492325258</c:v>
                  </c:pt>
                  <c:pt idx="35">
                    <c:v>319.90835392819855</c:v>
                  </c:pt>
                  <c:pt idx="36">
                    <c:v>209.86635758180461</c:v>
                  </c:pt>
                  <c:pt idx="37">
                    <c:v>164.81106791840477</c:v>
                  </c:pt>
                  <c:pt idx="38">
                    <c:v>166.10125144294321</c:v>
                  </c:pt>
                  <c:pt idx="39">
                    <c:v>293.56111406926175</c:v>
                  </c:pt>
                  <c:pt idx="40">
                    <c:v>299.38438004263139</c:v>
                  </c:pt>
                  <c:pt idx="41">
                    <c:v>415.48490579481222</c:v>
                  </c:pt>
                  <c:pt idx="42">
                    <c:v>301.92198097801622</c:v>
                  </c:pt>
                  <c:pt idx="43">
                    <c:v>219.81633723988216</c:v>
                  </c:pt>
                  <c:pt idx="44">
                    <c:v>199.7552513883378</c:v>
                  </c:pt>
                  <c:pt idx="45">
                    <c:v>234.77989968272152</c:v>
                  </c:pt>
                  <c:pt idx="46">
                    <c:v>210.91195823452716</c:v>
                  </c:pt>
                  <c:pt idx="47">
                    <c:v>340.8026209480891</c:v>
                  </c:pt>
                  <c:pt idx="48">
                    <c:v>204.17473304840698</c:v>
                  </c:pt>
                  <c:pt idx="49">
                    <c:v>229.0067055678951</c:v>
                  </c:pt>
                  <c:pt idx="50">
                    <c:v>362.80336790852726</c:v>
                  </c:pt>
                  <c:pt idx="51">
                    <c:v>176.91899608839267</c:v>
                  </c:pt>
                  <c:pt idx="52">
                    <c:v>581.21162813366527</c:v>
                  </c:pt>
                  <c:pt idx="53">
                    <c:v>276.87759802009884</c:v>
                  </c:pt>
                  <c:pt idx="54">
                    <c:v>399.28119612603564</c:v>
                  </c:pt>
                  <c:pt idx="55">
                    <c:v>231.16269802414459</c:v>
                  </c:pt>
                  <c:pt idx="56">
                    <c:v>528.99905877820834</c:v>
                  </c:pt>
                  <c:pt idx="57">
                    <c:v>791.08884555247641</c:v>
                  </c:pt>
                  <c:pt idx="58">
                    <c:v>427.63736477803923</c:v>
                  </c:pt>
                  <c:pt idx="59">
                    <c:v>517.93159834647759</c:v>
                  </c:pt>
                  <c:pt idx="60">
                    <c:v>424.79558070639013</c:v>
                  </c:pt>
                </c:numCache>
              </c:numRef>
            </c:plus>
            <c:minus>
              <c:numRef>
                <c:f>'Emergency Admissions - 2008-09'!$I$3:$I$63</c:f>
                <c:numCache>
                  <c:formatCode>General</c:formatCode>
                  <c:ptCount val="61"/>
                  <c:pt idx="0">
                    <c:v>93.245024707865866</c:v>
                  </c:pt>
                  <c:pt idx="1">
                    <c:v>129.71315938468268</c:v>
                  </c:pt>
                  <c:pt idx="2">
                    <c:v>159.05256257525778</c:v>
                  </c:pt>
                  <c:pt idx="3">
                    <c:v>151.6035523548193</c:v>
                  </c:pt>
                  <c:pt idx="4">
                    <c:v>106.99359606734754</c:v>
                  </c:pt>
                  <c:pt idx="5">
                    <c:v>183.8656830464775</c:v>
                  </c:pt>
                  <c:pt idx="6">
                    <c:v>288.39916073919375</c:v>
                  </c:pt>
                  <c:pt idx="7">
                    <c:v>166.03468526165938</c:v>
                  </c:pt>
                  <c:pt idx="8">
                    <c:v>126.76532909385185</c:v>
                  </c:pt>
                  <c:pt idx="9">
                    <c:v>139.28074043349568</c:v>
                  </c:pt>
                  <c:pt idx="10">
                    <c:v>159.97422965400361</c:v>
                  </c:pt>
                  <c:pt idx="11">
                    <c:v>191.34230678403281</c:v>
                  </c:pt>
                  <c:pt idx="12">
                    <c:v>114.40177212975536</c:v>
                  </c:pt>
                  <c:pt idx="13">
                    <c:v>129.88799367084042</c:v>
                  </c:pt>
                  <c:pt idx="14">
                    <c:v>239.94714662936994</c:v>
                  </c:pt>
                  <c:pt idx="15">
                    <c:v>112.77405669473609</c:v>
                  </c:pt>
                  <c:pt idx="16">
                    <c:v>125.06262191287601</c:v>
                  </c:pt>
                  <c:pt idx="17">
                    <c:v>248.4858063517666</c:v>
                  </c:pt>
                  <c:pt idx="18">
                    <c:v>179.96266594160215</c:v>
                  </c:pt>
                  <c:pt idx="19">
                    <c:v>161.85303653218463</c:v>
                  </c:pt>
                  <c:pt idx="20">
                    <c:v>123.22163669783993</c:v>
                  </c:pt>
                  <c:pt idx="21">
                    <c:v>257.53430910407167</c:v>
                  </c:pt>
                  <c:pt idx="22">
                    <c:v>132.4440964348197</c:v>
                  </c:pt>
                  <c:pt idx="23">
                    <c:v>234.41178410537998</c:v>
                  </c:pt>
                  <c:pt idx="24">
                    <c:v>253.67280175309537</c:v>
                  </c:pt>
                  <c:pt idx="25">
                    <c:v>130.36248087403004</c:v>
                  </c:pt>
                  <c:pt idx="26">
                    <c:v>164.77119182736936</c:v>
                  </c:pt>
                  <c:pt idx="27">
                    <c:v>231.3801633942482</c:v>
                  </c:pt>
                  <c:pt idx="28">
                    <c:v>228.60432146627176</c:v>
                  </c:pt>
                  <c:pt idx="29">
                    <c:v>180.09885771207371</c:v>
                  </c:pt>
                  <c:pt idx="30">
                    <c:v>281.44515757333357</c:v>
                  </c:pt>
                  <c:pt idx="31">
                    <c:v>118.07305021120061</c:v>
                  </c:pt>
                  <c:pt idx="32">
                    <c:v>172.65259597469782</c:v>
                  </c:pt>
                  <c:pt idx="33">
                    <c:v>198.52311163712557</c:v>
                  </c:pt>
                  <c:pt idx="34">
                    <c:v>186.83587562504999</c:v>
                  </c:pt>
                  <c:pt idx="35">
                    <c:v>235.65720309315498</c:v>
                  </c:pt>
                  <c:pt idx="36">
                    <c:v>169.94606310262776</c:v>
                  </c:pt>
                  <c:pt idx="37">
                    <c:v>139.0840167229052</c:v>
                  </c:pt>
                  <c:pt idx="38">
                    <c:v>140.32702364622054</c:v>
                  </c:pt>
                  <c:pt idx="39">
                    <c:v>223.41447675526729</c:v>
                  </c:pt>
                  <c:pt idx="40">
                    <c:v>227.84626917631692</c:v>
                  </c:pt>
                  <c:pt idx="41">
                    <c:v>291.75399651369025</c:v>
                  </c:pt>
                  <c:pt idx="42">
                    <c:v>230.81062233124598</c:v>
                  </c:pt>
                  <c:pt idx="43">
                    <c:v>179.77470986738498</c:v>
                  </c:pt>
                  <c:pt idx="44">
                    <c:v>166.95539612001687</c:v>
                  </c:pt>
                  <c:pt idx="45">
                    <c:v>190.90795749676033</c:v>
                  </c:pt>
                  <c:pt idx="46">
                    <c:v>175.31675045530278</c:v>
                  </c:pt>
                  <c:pt idx="47">
                    <c:v>258.14690880207695</c:v>
                  </c:pt>
                  <c:pt idx="48">
                    <c:v>171.50825517460197</c:v>
                  </c:pt>
                  <c:pt idx="49">
                    <c:v>189.21641860734218</c:v>
                  </c:pt>
                  <c:pt idx="50">
                    <c:v>273.44947548554046</c:v>
                  </c:pt>
                  <c:pt idx="51">
                    <c:v>152.45978236371639</c:v>
                  </c:pt>
                  <c:pt idx="52">
                    <c:v>389.01159517794224</c:v>
                  </c:pt>
                  <c:pt idx="53">
                    <c:v>224.21057994722344</c:v>
                  </c:pt>
                  <c:pt idx="54">
                    <c:v>300.94327481389774</c:v>
                  </c:pt>
                  <c:pt idx="55">
                    <c:v>196.11366157450368</c:v>
                  </c:pt>
                  <c:pt idx="56">
                    <c:v>384.36066179697173</c:v>
                  </c:pt>
                  <c:pt idx="57">
                    <c:v>512.4951837712581</c:v>
                  </c:pt>
                  <c:pt idx="58">
                    <c:v>330.94345951391585</c:v>
                  </c:pt>
                  <c:pt idx="59">
                    <c:v>388.32956264432272</c:v>
                  </c:pt>
                  <c:pt idx="60">
                    <c:v>344.71402576856428</c:v>
                  </c:pt>
                </c:numCache>
              </c:numRef>
            </c:minus>
          </c:errBars>
          <c:cat>
            <c:strRef>
              <c:f>'Emergency Admissions - 2008-09'!$B$3:$B$63</c:f>
              <c:strCache>
                <c:ptCount val="61"/>
                <c:pt idx="0">
                  <c:v>H83041</c:v>
                </c:pt>
                <c:pt idx="1">
                  <c:v>H83051</c:v>
                </c:pt>
                <c:pt idx="2">
                  <c:v>H83608</c:v>
                </c:pt>
                <c:pt idx="3">
                  <c:v>H83625</c:v>
                </c:pt>
                <c:pt idx="4">
                  <c:v>H83025</c:v>
                </c:pt>
                <c:pt idx="5">
                  <c:v>H83620</c:v>
                </c:pt>
                <c:pt idx="6">
                  <c:v>H83634</c:v>
                </c:pt>
                <c:pt idx="7">
                  <c:v>H83043</c:v>
                </c:pt>
                <c:pt idx="8">
                  <c:v>H83009</c:v>
                </c:pt>
                <c:pt idx="9">
                  <c:v>H83023</c:v>
                </c:pt>
                <c:pt idx="10">
                  <c:v>H83037</c:v>
                </c:pt>
                <c:pt idx="11">
                  <c:v>H83030</c:v>
                </c:pt>
                <c:pt idx="12">
                  <c:v>H83044</c:v>
                </c:pt>
                <c:pt idx="13">
                  <c:v>H83005</c:v>
                </c:pt>
                <c:pt idx="14">
                  <c:v>H83626</c:v>
                </c:pt>
                <c:pt idx="15">
                  <c:v>H83053</c:v>
                </c:pt>
                <c:pt idx="16">
                  <c:v>H83020</c:v>
                </c:pt>
                <c:pt idx="17">
                  <c:v>H83622</c:v>
                </c:pt>
                <c:pt idx="18">
                  <c:v>H83011</c:v>
                </c:pt>
                <c:pt idx="19">
                  <c:v>H83627</c:v>
                </c:pt>
                <c:pt idx="20">
                  <c:v>H83017</c:v>
                </c:pt>
                <c:pt idx="21">
                  <c:v>H83052</c:v>
                </c:pt>
                <c:pt idx="22">
                  <c:v>H83007</c:v>
                </c:pt>
                <c:pt idx="23">
                  <c:v>H83635</c:v>
                </c:pt>
                <c:pt idx="24">
                  <c:v>H83611</c:v>
                </c:pt>
                <c:pt idx="25">
                  <c:v>H83018</c:v>
                </c:pt>
                <c:pt idx="26">
                  <c:v>H83039</c:v>
                </c:pt>
                <c:pt idx="27">
                  <c:v>H83040</c:v>
                </c:pt>
                <c:pt idx="28">
                  <c:v>H83609</c:v>
                </c:pt>
                <c:pt idx="29">
                  <c:v>H83042</c:v>
                </c:pt>
                <c:pt idx="30">
                  <c:v>H83623</c:v>
                </c:pt>
                <c:pt idx="31">
                  <c:v>H83024</c:v>
                </c:pt>
                <c:pt idx="32">
                  <c:v>H83021</c:v>
                </c:pt>
                <c:pt idx="33">
                  <c:v>H83624</c:v>
                </c:pt>
                <c:pt idx="34">
                  <c:v>H83010</c:v>
                </c:pt>
                <c:pt idx="35">
                  <c:v>H83002</c:v>
                </c:pt>
                <c:pt idx="36">
                  <c:v>H83034</c:v>
                </c:pt>
                <c:pt idx="37">
                  <c:v>H83004</c:v>
                </c:pt>
                <c:pt idx="38">
                  <c:v>H83013</c:v>
                </c:pt>
                <c:pt idx="39">
                  <c:v>H83006</c:v>
                </c:pt>
                <c:pt idx="40">
                  <c:v>H83616</c:v>
                </c:pt>
                <c:pt idx="41">
                  <c:v>H83049</c:v>
                </c:pt>
                <c:pt idx="42">
                  <c:v>H83046</c:v>
                </c:pt>
                <c:pt idx="43">
                  <c:v>H83014</c:v>
                </c:pt>
                <c:pt idx="44">
                  <c:v>H83016</c:v>
                </c:pt>
                <c:pt idx="45">
                  <c:v>H83027</c:v>
                </c:pt>
                <c:pt idx="46">
                  <c:v>H83012</c:v>
                </c:pt>
                <c:pt idx="47">
                  <c:v>H83035</c:v>
                </c:pt>
                <c:pt idx="48">
                  <c:v>H83001</c:v>
                </c:pt>
                <c:pt idx="49">
                  <c:v>H83022</c:v>
                </c:pt>
                <c:pt idx="50">
                  <c:v>H83028</c:v>
                </c:pt>
                <c:pt idx="51">
                  <c:v>H83015</c:v>
                </c:pt>
                <c:pt idx="52">
                  <c:v>H83048</c:v>
                </c:pt>
                <c:pt idx="53">
                  <c:v>H83050</c:v>
                </c:pt>
                <c:pt idx="54">
                  <c:v>H83008</c:v>
                </c:pt>
                <c:pt idx="55">
                  <c:v>H83019</c:v>
                </c:pt>
                <c:pt idx="56">
                  <c:v>H83033</c:v>
                </c:pt>
                <c:pt idx="57">
                  <c:v>H83614</c:v>
                </c:pt>
                <c:pt idx="58">
                  <c:v>H83031</c:v>
                </c:pt>
                <c:pt idx="59">
                  <c:v>H83619</c:v>
                </c:pt>
                <c:pt idx="60">
                  <c:v>H83029</c:v>
                </c:pt>
              </c:strCache>
            </c:strRef>
          </c:cat>
          <c:val>
            <c:numRef>
              <c:f>'Emergency Admissions - 2008-09'!$F$3:$F$63</c:f>
              <c:numCache>
                <c:formatCode>0.00</c:formatCode>
                <c:ptCount val="61"/>
                <c:pt idx="0">
                  <c:v>146.87882496940026</c:v>
                </c:pt>
                <c:pt idx="1">
                  <c:v>277.12641227883165</c:v>
                </c:pt>
                <c:pt idx="2">
                  <c:v>350.5257886830247</c:v>
                </c:pt>
                <c:pt idx="3">
                  <c:v>362.86019210245462</c:v>
                </c:pt>
                <c:pt idx="4">
                  <c:v>370.22973229542424</c:v>
                </c:pt>
                <c:pt idx="5">
                  <c:v>405.20984081042002</c:v>
                </c:pt>
                <c:pt idx="6">
                  <c:v>425.53191489361694</c:v>
                </c:pt>
                <c:pt idx="7">
                  <c:v>426.34832658281817</c:v>
                </c:pt>
                <c:pt idx="8">
                  <c:v>438.64582161736678</c:v>
                </c:pt>
                <c:pt idx="9">
                  <c:v>440.58928817293162</c:v>
                </c:pt>
                <c:pt idx="10">
                  <c:v>445.02132393843863</c:v>
                </c:pt>
                <c:pt idx="11">
                  <c:v>457.97413793103397</c:v>
                </c:pt>
                <c:pt idx="12">
                  <c:v>459.77011494252793</c:v>
                </c:pt>
                <c:pt idx="13">
                  <c:v>474.95682210708117</c:v>
                </c:pt>
                <c:pt idx="14">
                  <c:v>478.46889952153111</c:v>
                </c:pt>
                <c:pt idx="15">
                  <c:v>479.63516276144043</c:v>
                </c:pt>
                <c:pt idx="16">
                  <c:v>480.53349024222746</c:v>
                </c:pt>
                <c:pt idx="17">
                  <c:v>495.49549549549516</c:v>
                </c:pt>
                <c:pt idx="18">
                  <c:v>500.62578222778473</c:v>
                </c:pt>
                <c:pt idx="19">
                  <c:v>504.72158905893804</c:v>
                </c:pt>
                <c:pt idx="20">
                  <c:v>511.91526919682258</c:v>
                </c:pt>
                <c:pt idx="21">
                  <c:v>513.53874883286653</c:v>
                </c:pt>
                <c:pt idx="22">
                  <c:v>513.66344770906153</c:v>
                </c:pt>
                <c:pt idx="23">
                  <c:v>516.6051660516606</c:v>
                </c:pt>
                <c:pt idx="24">
                  <c:v>524.24639580602889</c:v>
                </c:pt>
                <c:pt idx="25">
                  <c:v>532.82588011417693</c:v>
                </c:pt>
                <c:pt idx="26">
                  <c:v>576.7844268204758</c:v>
                </c:pt>
                <c:pt idx="27">
                  <c:v>581.03975535168286</c:v>
                </c:pt>
                <c:pt idx="28">
                  <c:v>599.65733866362075</c:v>
                </c:pt>
                <c:pt idx="29">
                  <c:v>600.90135202804254</c:v>
                </c:pt>
                <c:pt idx="30">
                  <c:v>601.29509713228492</c:v>
                </c:pt>
                <c:pt idx="31">
                  <c:v>608.98921029986104</c:v>
                </c:pt>
                <c:pt idx="32">
                  <c:v>618.0105944673337</c:v>
                </c:pt>
                <c:pt idx="33">
                  <c:v>653.96113602391551</c:v>
                </c:pt>
                <c:pt idx="34">
                  <c:v>654.02223675604967</c:v>
                </c:pt>
                <c:pt idx="35">
                  <c:v>655.55859054903055</c:v>
                </c:pt>
                <c:pt idx="36">
                  <c:v>659.10888478776769</c:v>
                </c:pt>
                <c:pt idx="37">
                  <c:v>659.64190867814693</c:v>
                </c:pt>
                <c:pt idx="38">
                  <c:v>669.58537213494753</c:v>
                </c:pt>
                <c:pt idx="39">
                  <c:v>686.49885583524031</c:v>
                </c:pt>
                <c:pt idx="40">
                  <c:v>700.11668611435243</c:v>
                </c:pt>
                <c:pt idx="41">
                  <c:v>715.70576540755553</c:v>
                </c:pt>
                <c:pt idx="42">
                  <c:v>719.75853262131454</c:v>
                </c:pt>
                <c:pt idx="43">
                  <c:v>728.66984631690514</c:v>
                </c:pt>
                <c:pt idx="44">
                  <c:v>752.12557226945819</c:v>
                </c:pt>
                <c:pt idx="45">
                  <c:v>753.95099318544192</c:v>
                </c:pt>
                <c:pt idx="46">
                  <c:v>768.04915514592835</c:v>
                </c:pt>
                <c:pt idx="47">
                  <c:v>781.25</c:v>
                </c:pt>
                <c:pt idx="48">
                  <c:v>793.30580308628544</c:v>
                </c:pt>
                <c:pt idx="49">
                  <c:v>804.74934036939419</c:v>
                </c:pt>
                <c:pt idx="50">
                  <c:v>814.66395112016301</c:v>
                </c:pt>
                <c:pt idx="51">
                  <c:v>817.99591002044986</c:v>
                </c:pt>
                <c:pt idx="52">
                  <c:v>857.31781996325776</c:v>
                </c:pt>
                <c:pt idx="53">
                  <c:v>869.56521739130335</c:v>
                </c:pt>
                <c:pt idx="54">
                  <c:v>896.57380723663323</c:v>
                </c:pt>
                <c:pt idx="55">
                  <c:v>958.05584764575292</c:v>
                </c:pt>
                <c:pt idx="56">
                  <c:v>1028.9990645463049</c:v>
                </c:pt>
                <c:pt idx="57">
                  <c:v>1059.135039717564</c:v>
                </c:pt>
                <c:pt idx="58">
                  <c:v>1075.9493670886081</c:v>
                </c:pt>
                <c:pt idx="59">
                  <c:v>1138.2799325463729</c:v>
                </c:pt>
                <c:pt idx="60">
                  <c:v>1349.2063492063492</c:v>
                </c:pt>
              </c:numCache>
            </c:numRef>
          </c:val>
        </c:ser>
        <c:axId val="106717568"/>
        <c:axId val="106719104"/>
      </c:barChart>
      <c:lineChart>
        <c:grouping val="standard"/>
        <c:ser>
          <c:idx val="1"/>
          <c:order val="1"/>
          <c:tx>
            <c:strRef>
              <c:f>'Emergency Admissions - 2008-09'!$K$1</c:f>
              <c:strCache>
                <c:ptCount val="1"/>
                <c:pt idx="0">
                  <c:v>PCT Average</c:v>
                </c:pt>
              </c:strCache>
            </c:strRef>
          </c:tx>
          <c:spPr>
            <a:ln w="19050">
              <a:solidFill>
                <a:srgbClr val="FF0000"/>
              </a:solidFill>
              <a:prstDash val="dash"/>
            </a:ln>
          </c:spPr>
          <c:marker>
            <c:symbol val="none"/>
          </c:marker>
          <c:val>
            <c:numRef>
              <c:f>'Emergency Admissions - 2008-09'!$K$3:$K$63</c:f>
              <c:numCache>
                <c:formatCode>0.00</c:formatCode>
                <c:ptCount val="61"/>
                <c:pt idx="0">
                  <c:v>610.41049970939275</c:v>
                </c:pt>
                <c:pt idx="1">
                  <c:v>610.41049970939275</c:v>
                </c:pt>
                <c:pt idx="2">
                  <c:v>610.41049970939275</c:v>
                </c:pt>
                <c:pt idx="3">
                  <c:v>610.41049970939275</c:v>
                </c:pt>
                <c:pt idx="4">
                  <c:v>610.41049970939275</c:v>
                </c:pt>
                <c:pt idx="5">
                  <c:v>610.41049970939275</c:v>
                </c:pt>
                <c:pt idx="6">
                  <c:v>610.41049970939275</c:v>
                </c:pt>
                <c:pt idx="7">
                  <c:v>610.41049970939275</c:v>
                </c:pt>
                <c:pt idx="8">
                  <c:v>610.41049970939275</c:v>
                </c:pt>
                <c:pt idx="9">
                  <c:v>610.41049970939275</c:v>
                </c:pt>
                <c:pt idx="10">
                  <c:v>610.41049970939275</c:v>
                </c:pt>
                <c:pt idx="11">
                  <c:v>610.41049970939275</c:v>
                </c:pt>
                <c:pt idx="12">
                  <c:v>610.41049970939275</c:v>
                </c:pt>
                <c:pt idx="13">
                  <c:v>610.41049970939275</c:v>
                </c:pt>
                <c:pt idx="14">
                  <c:v>610.41049970939275</c:v>
                </c:pt>
                <c:pt idx="15">
                  <c:v>610.41049970939275</c:v>
                </c:pt>
                <c:pt idx="16">
                  <c:v>610.41049970939275</c:v>
                </c:pt>
                <c:pt idx="17">
                  <c:v>610.41049970939275</c:v>
                </c:pt>
                <c:pt idx="18">
                  <c:v>610.41049970939275</c:v>
                </c:pt>
                <c:pt idx="19">
                  <c:v>610.41049970939275</c:v>
                </c:pt>
                <c:pt idx="20">
                  <c:v>610.41049970939275</c:v>
                </c:pt>
                <c:pt idx="21">
                  <c:v>610.41049970939275</c:v>
                </c:pt>
                <c:pt idx="22">
                  <c:v>610.41049970939275</c:v>
                </c:pt>
                <c:pt idx="23">
                  <c:v>610.41049970939275</c:v>
                </c:pt>
                <c:pt idx="24">
                  <c:v>610.41049970939275</c:v>
                </c:pt>
                <c:pt idx="25">
                  <c:v>610.41049970939275</c:v>
                </c:pt>
                <c:pt idx="26">
                  <c:v>610.41049970939275</c:v>
                </c:pt>
                <c:pt idx="27">
                  <c:v>610.41049970939275</c:v>
                </c:pt>
                <c:pt idx="28">
                  <c:v>610.41049970939275</c:v>
                </c:pt>
                <c:pt idx="29">
                  <c:v>610.41049970939275</c:v>
                </c:pt>
                <c:pt idx="30">
                  <c:v>610.41049970939275</c:v>
                </c:pt>
                <c:pt idx="31">
                  <c:v>610.41049970939275</c:v>
                </c:pt>
                <c:pt idx="32">
                  <c:v>610.41049970939275</c:v>
                </c:pt>
                <c:pt idx="33">
                  <c:v>610.41049970939275</c:v>
                </c:pt>
                <c:pt idx="34">
                  <c:v>610.41049970939275</c:v>
                </c:pt>
                <c:pt idx="35">
                  <c:v>610.41049970939275</c:v>
                </c:pt>
                <c:pt idx="36">
                  <c:v>610.41049970939275</c:v>
                </c:pt>
                <c:pt idx="37">
                  <c:v>610.41049970939275</c:v>
                </c:pt>
                <c:pt idx="38">
                  <c:v>610.41049970939275</c:v>
                </c:pt>
                <c:pt idx="39">
                  <c:v>610.41049970939275</c:v>
                </c:pt>
                <c:pt idx="40">
                  <c:v>610.41049970939275</c:v>
                </c:pt>
                <c:pt idx="41">
                  <c:v>610.41049970939275</c:v>
                </c:pt>
                <c:pt idx="42">
                  <c:v>610.41049970939275</c:v>
                </c:pt>
                <c:pt idx="43">
                  <c:v>610.41049970939275</c:v>
                </c:pt>
                <c:pt idx="44">
                  <c:v>610.41049970939275</c:v>
                </c:pt>
                <c:pt idx="45">
                  <c:v>610.41049970939275</c:v>
                </c:pt>
                <c:pt idx="46">
                  <c:v>610.41049970939275</c:v>
                </c:pt>
                <c:pt idx="47">
                  <c:v>610.41049970939275</c:v>
                </c:pt>
                <c:pt idx="48">
                  <c:v>610.41049970939275</c:v>
                </c:pt>
                <c:pt idx="49">
                  <c:v>610.41049970939275</c:v>
                </c:pt>
                <c:pt idx="50">
                  <c:v>610.41049970939275</c:v>
                </c:pt>
                <c:pt idx="51">
                  <c:v>610.41049970939275</c:v>
                </c:pt>
                <c:pt idx="52">
                  <c:v>610.41049970939275</c:v>
                </c:pt>
                <c:pt idx="53">
                  <c:v>610.41049970939275</c:v>
                </c:pt>
                <c:pt idx="54">
                  <c:v>610.41049970939275</c:v>
                </c:pt>
                <c:pt idx="55">
                  <c:v>610.41049970939275</c:v>
                </c:pt>
                <c:pt idx="56">
                  <c:v>610.41049970939275</c:v>
                </c:pt>
                <c:pt idx="57">
                  <c:v>610.41049970939275</c:v>
                </c:pt>
                <c:pt idx="58">
                  <c:v>610.41049970939275</c:v>
                </c:pt>
                <c:pt idx="59">
                  <c:v>610.41049970939275</c:v>
                </c:pt>
                <c:pt idx="60">
                  <c:v>610.41049970939275</c:v>
                </c:pt>
              </c:numCache>
            </c:numRef>
          </c:val>
        </c:ser>
        <c:ser>
          <c:idx val="2"/>
          <c:order val="2"/>
          <c:tx>
            <c:strRef>
              <c:f>'Emergency Admissions - 2008-09'!$L$1</c:f>
              <c:strCache>
                <c:ptCount val="1"/>
                <c:pt idx="0">
                  <c:v>England Average</c:v>
                </c:pt>
              </c:strCache>
            </c:strRef>
          </c:tx>
          <c:spPr>
            <a:ln w="19050">
              <a:solidFill>
                <a:srgbClr val="7030A0"/>
              </a:solidFill>
              <a:prstDash val="lgDashDotDot"/>
            </a:ln>
          </c:spPr>
          <c:marker>
            <c:symbol val="none"/>
          </c:marker>
          <c:val>
            <c:numRef>
              <c:f>'Emergency Admissions - 2008-09'!$L$3:$L$63</c:f>
              <c:numCache>
                <c:formatCode>0.00</c:formatCode>
                <c:ptCount val="61"/>
                <c:pt idx="0">
                  <c:v>691.17811471455059</c:v>
                </c:pt>
                <c:pt idx="1">
                  <c:v>691.17811471455059</c:v>
                </c:pt>
                <c:pt idx="2">
                  <c:v>691.17811471455059</c:v>
                </c:pt>
                <c:pt idx="3">
                  <c:v>691.17811471455059</c:v>
                </c:pt>
                <c:pt idx="4">
                  <c:v>691.17811471455059</c:v>
                </c:pt>
                <c:pt idx="5">
                  <c:v>691.17811471455059</c:v>
                </c:pt>
                <c:pt idx="6">
                  <c:v>691.17811471455059</c:v>
                </c:pt>
                <c:pt idx="7">
                  <c:v>691.17811471455059</c:v>
                </c:pt>
                <c:pt idx="8">
                  <c:v>691.17811471455059</c:v>
                </c:pt>
                <c:pt idx="9">
                  <c:v>691.17811471455059</c:v>
                </c:pt>
                <c:pt idx="10">
                  <c:v>691.17811471455059</c:v>
                </c:pt>
                <c:pt idx="11">
                  <c:v>691.17811471455059</c:v>
                </c:pt>
                <c:pt idx="12">
                  <c:v>691.17811471455059</c:v>
                </c:pt>
                <c:pt idx="13">
                  <c:v>691.17811471455059</c:v>
                </c:pt>
                <c:pt idx="14">
                  <c:v>691.17811471455059</c:v>
                </c:pt>
                <c:pt idx="15">
                  <c:v>691.17811471455059</c:v>
                </c:pt>
                <c:pt idx="16">
                  <c:v>691.17811471455059</c:v>
                </c:pt>
                <c:pt idx="17">
                  <c:v>691.17811471455059</c:v>
                </c:pt>
                <c:pt idx="18">
                  <c:v>691.17811471455059</c:v>
                </c:pt>
                <c:pt idx="19">
                  <c:v>691.17811471455059</c:v>
                </c:pt>
                <c:pt idx="20">
                  <c:v>691.17811471455059</c:v>
                </c:pt>
                <c:pt idx="21">
                  <c:v>691.17811471455059</c:v>
                </c:pt>
                <c:pt idx="22">
                  <c:v>691.17811471455059</c:v>
                </c:pt>
                <c:pt idx="23">
                  <c:v>691.17811471455059</c:v>
                </c:pt>
                <c:pt idx="24">
                  <c:v>691.17811471455059</c:v>
                </c:pt>
                <c:pt idx="25">
                  <c:v>691.17811471455059</c:v>
                </c:pt>
                <c:pt idx="26">
                  <c:v>691.17811471455059</c:v>
                </c:pt>
                <c:pt idx="27">
                  <c:v>691.17811471455059</c:v>
                </c:pt>
                <c:pt idx="28">
                  <c:v>691.17811471455059</c:v>
                </c:pt>
                <c:pt idx="29">
                  <c:v>691.17811471455059</c:v>
                </c:pt>
                <c:pt idx="30">
                  <c:v>691.17811471455059</c:v>
                </c:pt>
                <c:pt idx="31">
                  <c:v>691.17811471455059</c:v>
                </c:pt>
                <c:pt idx="32">
                  <c:v>691.17811471455059</c:v>
                </c:pt>
                <c:pt idx="33">
                  <c:v>691.17811471455059</c:v>
                </c:pt>
                <c:pt idx="34">
                  <c:v>691.17811471455059</c:v>
                </c:pt>
                <c:pt idx="35">
                  <c:v>691.17811471455059</c:v>
                </c:pt>
                <c:pt idx="36">
                  <c:v>691.17811471455059</c:v>
                </c:pt>
                <c:pt idx="37">
                  <c:v>691.17811471455059</c:v>
                </c:pt>
                <c:pt idx="38">
                  <c:v>691.17811471455059</c:v>
                </c:pt>
                <c:pt idx="39">
                  <c:v>691.17811471455059</c:v>
                </c:pt>
                <c:pt idx="40">
                  <c:v>691.17811471455059</c:v>
                </c:pt>
                <c:pt idx="41">
                  <c:v>691.17811471455059</c:v>
                </c:pt>
                <c:pt idx="42">
                  <c:v>691.17811471455059</c:v>
                </c:pt>
                <c:pt idx="43">
                  <c:v>691.17811471455059</c:v>
                </c:pt>
                <c:pt idx="44">
                  <c:v>691.17811471455059</c:v>
                </c:pt>
                <c:pt idx="45">
                  <c:v>691.17811471455059</c:v>
                </c:pt>
                <c:pt idx="46">
                  <c:v>691.17811471455059</c:v>
                </c:pt>
                <c:pt idx="47">
                  <c:v>691.17811471455059</c:v>
                </c:pt>
                <c:pt idx="48">
                  <c:v>691.17811471455059</c:v>
                </c:pt>
                <c:pt idx="49">
                  <c:v>691.17811471455059</c:v>
                </c:pt>
                <c:pt idx="50">
                  <c:v>691.17811471455059</c:v>
                </c:pt>
                <c:pt idx="51">
                  <c:v>691.17811471455059</c:v>
                </c:pt>
                <c:pt idx="52">
                  <c:v>691.17811471455059</c:v>
                </c:pt>
                <c:pt idx="53">
                  <c:v>691.17811471455059</c:v>
                </c:pt>
                <c:pt idx="54">
                  <c:v>691.17811471455059</c:v>
                </c:pt>
                <c:pt idx="55">
                  <c:v>691.17811471455059</c:v>
                </c:pt>
                <c:pt idx="56">
                  <c:v>691.17811471455059</c:v>
                </c:pt>
                <c:pt idx="57">
                  <c:v>691.17811471455059</c:v>
                </c:pt>
                <c:pt idx="58">
                  <c:v>691.17811471455059</c:v>
                </c:pt>
                <c:pt idx="59">
                  <c:v>691.17811471455059</c:v>
                </c:pt>
                <c:pt idx="60">
                  <c:v>691.17811471455059</c:v>
                </c:pt>
              </c:numCache>
            </c:numRef>
          </c:val>
        </c:ser>
        <c:marker val="1"/>
        <c:axId val="106717568"/>
        <c:axId val="106719104"/>
      </c:lineChart>
      <c:catAx>
        <c:axId val="106717568"/>
        <c:scaling>
          <c:orientation val="minMax"/>
        </c:scaling>
        <c:axPos val="b"/>
        <c:numFmt formatCode="General" sourceLinked="1"/>
        <c:tickLblPos val="nextTo"/>
        <c:txPr>
          <a:bodyPr rot="-5400000" vert="horz"/>
          <a:lstStyle/>
          <a:p>
            <a:pPr>
              <a:defRPr sz="600" b="0" i="0" u="none" strike="noStrike" baseline="0">
                <a:solidFill>
                  <a:srgbClr val="000000"/>
                </a:solidFill>
                <a:latin typeface="Calibri"/>
                <a:ea typeface="Calibri"/>
                <a:cs typeface="Calibri"/>
              </a:defRPr>
            </a:pPr>
            <a:endParaRPr lang="en-US"/>
          </a:p>
        </c:txPr>
        <c:crossAx val="106719104"/>
        <c:crosses val="autoZero"/>
        <c:auto val="1"/>
        <c:lblAlgn val="ctr"/>
        <c:lblOffset val="100"/>
      </c:catAx>
      <c:valAx>
        <c:axId val="106719104"/>
        <c:scaling>
          <c:orientation val="minMax"/>
        </c:scaling>
        <c:axPos val="l"/>
        <c:majorGridlines/>
        <c:numFmt formatCode="0.00" sourceLinked="1"/>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06717568"/>
        <c:crosses val="autoZero"/>
        <c:crossBetween val="between"/>
      </c:valAx>
    </c:plotArea>
    <c:legend>
      <c:legendPos val="r"/>
      <c:legendEntry>
        <c:idx val="0"/>
        <c:delete val="1"/>
      </c:legendEntry>
      <c:layout>
        <c:manualLayout>
          <c:xMode val="edge"/>
          <c:yMode val="edge"/>
          <c:x val="0.16504419706157444"/>
          <c:y val="5.0733814523184678E-2"/>
          <c:w val="0.32661790316962841"/>
          <c:h val="8.448490813648328E-2"/>
        </c:manualLayout>
      </c:layout>
      <c:txPr>
        <a:bodyPr/>
        <a:lstStyle/>
        <a:p>
          <a:pPr>
            <a:defRPr sz="550" b="0" i="0" u="none" strike="noStrike" baseline="0">
              <a:solidFill>
                <a:srgbClr val="000000"/>
              </a:solidFill>
              <a:latin typeface="Calibri"/>
              <a:ea typeface="Calibri"/>
              <a:cs typeface="Calibri"/>
            </a:defRPr>
          </a:pPr>
          <a:endParaRPr lang="en-US"/>
        </a:p>
      </c:txPr>
    </c:legend>
    <c:plotVisOnly val="1"/>
    <c:dispBlanksAs val="gap"/>
  </c:chart>
  <c:spPr>
    <a:ln>
      <a:solidFill>
        <a:schemeClr val="bg1"/>
      </a:solidFill>
    </a:ln>
  </c:spPr>
  <c:txPr>
    <a:bodyPr/>
    <a:lstStyle/>
    <a:p>
      <a:pPr>
        <a:defRPr sz="1000" b="0" i="0" u="none" strike="noStrike" baseline="0">
          <a:solidFill>
            <a:srgbClr val="000000"/>
          </a:solidFill>
          <a:latin typeface="Calibri"/>
          <a:ea typeface="Calibri"/>
          <a:cs typeface="Calibri"/>
        </a:defRPr>
      </a:pPr>
      <a:endParaRPr lang="en-US"/>
    </a:p>
  </c:txPr>
  <c:externalData r:id="rId1"/>
  <c:userShapes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0619417086970724"/>
          <c:y val="5.1400554097404488E-2"/>
          <c:w val="0.87759704018189033"/>
          <c:h val="0.6743565908428113"/>
        </c:manualLayout>
      </c:layout>
      <c:barChart>
        <c:barDir val="col"/>
        <c:grouping val="clustered"/>
        <c:ser>
          <c:idx val="0"/>
          <c:order val="0"/>
          <c:spPr>
            <a:solidFill>
              <a:schemeClr val="bg1">
                <a:lumMod val="50000"/>
              </a:schemeClr>
            </a:solidFill>
            <a:ln>
              <a:solidFill>
                <a:schemeClr val="tx1"/>
              </a:solidFill>
            </a:ln>
          </c:spPr>
          <c:errBars>
            <c:errBarType val="both"/>
            <c:errValType val="cust"/>
            <c:plus>
              <c:numRef>
                <c:f>'Emergency Admissions 2008-09'!$J$3:$J$26</c:f>
                <c:numCache>
                  <c:formatCode>General</c:formatCode>
                  <c:ptCount val="24"/>
                  <c:pt idx="0">
                    <c:v>267.15951802643042</c:v>
                  </c:pt>
                  <c:pt idx="1">
                    <c:v>78.853159062656019</c:v>
                  </c:pt>
                  <c:pt idx="2">
                    <c:v>184.15184104429107</c:v>
                  </c:pt>
                  <c:pt idx="3">
                    <c:v>185.90011351609201</c:v>
                  </c:pt>
                  <c:pt idx="4">
                    <c:v>149.72497002223798</c:v>
                  </c:pt>
                  <c:pt idx="5">
                    <c:v>257.1338655437915</c:v>
                  </c:pt>
                  <c:pt idx="6">
                    <c:v>129.46609175276637</c:v>
                  </c:pt>
                  <c:pt idx="7">
                    <c:v>125.7043970482091</c:v>
                  </c:pt>
                  <c:pt idx="8">
                    <c:v>221.16356288125252</c:v>
                  </c:pt>
                  <c:pt idx="9">
                    <c:v>291.8719706371287</c:v>
                  </c:pt>
                  <c:pt idx="10">
                    <c:v>168.04778607880451</c:v>
                  </c:pt>
                  <c:pt idx="11">
                    <c:v>127.67693738033594</c:v>
                  </c:pt>
                  <c:pt idx="12">
                    <c:v>183.81970115607362</c:v>
                  </c:pt>
                  <c:pt idx="13">
                    <c:v>317.51581223760354</c:v>
                  </c:pt>
                  <c:pt idx="14">
                    <c:v>301.59999671141583</c:v>
                  </c:pt>
                  <c:pt idx="15">
                    <c:v>253.88090044363889</c:v>
                  </c:pt>
                  <c:pt idx="16">
                    <c:v>223.93033141916021</c:v>
                  </c:pt>
                  <c:pt idx="17">
                    <c:v>230.68925472466674</c:v>
                  </c:pt>
                  <c:pt idx="18">
                    <c:v>222.31719216500733</c:v>
                  </c:pt>
                  <c:pt idx="19">
                    <c:v>237.13855124785385</c:v>
                  </c:pt>
                  <c:pt idx="20">
                    <c:v>338.28510367797162</c:v>
                  </c:pt>
                  <c:pt idx="21">
                    <c:v>346.14009213822038</c:v>
                  </c:pt>
                  <c:pt idx="22">
                    <c:v>567.5253881299177</c:v>
                  </c:pt>
                  <c:pt idx="23">
                    <c:v>315.56236575798869</c:v>
                  </c:pt>
                </c:numCache>
              </c:numRef>
            </c:plus>
            <c:minus>
              <c:numRef>
                <c:f>'Emergency Admissions 2008-09'!$I$3:$I$26</c:f>
                <c:numCache>
                  <c:formatCode>General</c:formatCode>
                  <c:ptCount val="24"/>
                  <c:pt idx="0">
                    <c:v>135.76482927425968</c:v>
                  </c:pt>
                  <c:pt idx="1">
                    <c:v>63.428166691263478</c:v>
                  </c:pt>
                  <c:pt idx="2">
                    <c:v>123.25493498750096</c:v>
                  </c:pt>
                  <c:pt idx="3">
                    <c:v>130.53928148584419</c:v>
                  </c:pt>
                  <c:pt idx="4">
                    <c:v>111.63839638452973</c:v>
                  </c:pt>
                  <c:pt idx="5">
                    <c:v>163.35164053921281</c:v>
                  </c:pt>
                  <c:pt idx="6">
                    <c:v>101.60471617625824</c:v>
                  </c:pt>
                  <c:pt idx="7">
                    <c:v>101.79319658085549</c:v>
                  </c:pt>
                  <c:pt idx="8">
                    <c:v>158.17804804273885</c:v>
                  </c:pt>
                  <c:pt idx="9">
                    <c:v>192.37572895148526</c:v>
                  </c:pt>
                  <c:pt idx="10">
                    <c:v>131.88354863751948</c:v>
                  </c:pt>
                  <c:pt idx="11">
                    <c:v>106.42691060349733</c:v>
                  </c:pt>
                  <c:pt idx="12">
                    <c:v>145.58282242237266</c:v>
                  </c:pt>
                  <c:pt idx="13">
                    <c:v>222.95998214279263</c:v>
                  </c:pt>
                  <c:pt idx="14">
                    <c:v>219.13682531251345</c:v>
                  </c:pt>
                  <c:pt idx="15">
                    <c:v>194.08460569712531</c:v>
                  </c:pt>
                  <c:pt idx="16">
                    <c:v>176.83197389706083</c:v>
                  </c:pt>
                  <c:pt idx="17">
                    <c:v>181.04444131960548</c:v>
                  </c:pt>
                  <c:pt idx="18">
                    <c:v>179.63988669468887</c:v>
                  </c:pt>
                  <c:pt idx="19">
                    <c:v>193.20758382372398</c:v>
                  </c:pt>
                  <c:pt idx="20">
                    <c:v>259.71656425378126</c:v>
                  </c:pt>
                  <c:pt idx="21">
                    <c:v>270.75918057141268</c:v>
                  </c:pt>
                  <c:pt idx="22">
                    <c:v>420.68011355775468</c:v>
                  </c:pt>
                  <c:pt idx="23">
                    <c:v>269.25904300138041</c:v>
                  </c:pt>
                </c:numCache>
              </c:numRef>
            </c:minus>
          </c:errBars>
          <c:cat>
            <c:strRef>
              <c:f>'Emergency Admissions 2008-09'!$B$3:$B$26</c:f>
              <c:strCache>
                <c:ptCount val="24"/>
                <c:pt idx="0">
                  <c:v>Y02379</c:v>
                </c:pt>
                <c:pt idx="1">
                  <c:v>H84020</c:v>
                </c:pt>
                <c:pt idx="2">
                  <c:v>H84025</c:v>
                </c:pt>
                <c:pt idx="3">
                  <c:v>H84051</c:v>
                </c:pt>
                <c:pt idx="4">
                  <c:v>H84619</c:v>
                </c:pt>
                <c:pt idx="5">
                  <c:v>H84054</c:v>
                </c:pt>
                <c:pt idx="6">
                  <c:v>H84016</c:v>
                </c:pt>
                <c:pt idx="7">
                  <c:v>H84030</c:v>
                </c:pt>
                <c:pt idx="8">
                  <c:v>H84629</c:v>
                </c:pt>
                <c:pt idx="9">
                  <c:v>H84618</c:v>
                </c:pt>
                <c:pt idx="10">
                  <c:v>H85055</c:v>
                </c:pt>
                <c:pt idx="11">
                  <c:v>H84027</c:v>
                </c:pt>
                <c:pt idx="12">
                  <c:v>H84034</c:v>
                </c:pt>
                <c:pt idx="13">
                  <c:v>H84637</c:v>
                </c:pt>
                <c:pt idx="14">
                  <c:v>H84058</c:v>
                </c:pt>
                <c:pt idx="15">
                  <c:v>H84008</c:v>
                </c:pt>
                <c:pt idx="16">
                  <c:v>H84635</c:v>
                </c:pt>
                <c:pt idx="17">
                  <c:v>H84050</c:v>
                </c:pt>
                <c:pt idx="18">
                  <c:v>H84062</c:v>
                </c:pt>
                <c:pt idx="19">
                  <c:v>H84033</c:v>
                </c:pt>
                <c:pt idx="20">
                  <c:v>H84053</c:v>
                </c:pt>
                <c:pt idx="21">
                  <c:v>H84607</c:v>
                </c:pt>
                <c:pt idx="22">
                  <c:v>H84049</c:v>
                </c:pt>
                <c:pt idx="23">
                  <c:v>H84015</c:v>
                </c:pt>
              </c:strCache>
            </c:strRef>
          </c:cat>
          <c:val>
            <c:numRef>
              <c:f>'Emergency Admissions 2008-09'!$F$3:$F$26</c:f>
              <c:numCache>
                <c:formatCode>0.00</c:formatCode>
                <c:ptCount val="24"/>
                <c:pt idx="0">
                  <c:v>200.32051282051282</c:v>
                </c:pt>
                <c:pt idx="1">
                  <c:v>239.0762500635841</c:v>
                </c:pt>
                <c:pt idx="2">
                  <c:v>271.6336825766395</c:v>
                </c:pt>
                <c:pt idx="3">
                  <c:v>320.22771748799096</c:v>
                </c:pt>
                <c:pt idx="4">
                  <c:v>321.78217821782169</c:v>
                </c:pt>
                <c:pt idx="5">
                  <c:v>325.73289902280135</c:v>
                </c:pt>
                <c:pt idx="6">
                  <c:v>347.44445460363931</c:v>
                </c:pt>
                <c:pt idx="7">
                  <c:v>394.7887879984205</c:v>
                </c:pt>
                <c:pt idx="8">
                  <c:v>406.1738424045493</c:v>
                </c:pt>
                <c:pt idx="9">
                  <c:v>411.00221308883965</c:v>
                </c:pt>
                <c:pt idx="10">
                  <c:v>450.98504628530725</c:v>
                </c:pt>
                <c:pt idx="11">
                  <c:v>472.89666854884229</c:v>
                </c:pt>
                <c:pt idx="12">
                  <c:v>515.39912005028282</c:v>
                </c:pt>
                <c:pt idx="13">
                  <c:v>546.94621695533249</c:v>
                </c:pt>
                <c:pt idx="14">
                  <c:v>586.66666666666663</c:v>
                </c:pt>
                <c:pt idx="15">
                  <c:v>605.23233112065668</c:v>
                </c:pt>
                <c:pt idx="16">
                  <c:v>619.00340451872569</c:v>
                </c:pt>
                <c:pt idx="17">
                  <c:v>619.0941674812633</c:v>
                </c:pt>
                <c:pt idx="18">
                  <c:v>690.23806169883085</c:v>
                </c:pt>
                <c:pt idx="19">
                  <c:v>769.78939724037912</c:v>
                </c:pt>
                <c:pt idx="20">
                  <c:v>821.56611039794518</c:v>
                </c:pt>
                <c:pt idx="21">
                  <c:v>914.70951792336291</c:v>
                </c:pt>
                <c:pt idx="22">
                  <c:v>1191.61105815062</c:v>
                </c:pt>
                <c:pt idx="23">
                  <c:v>1359.9134600525422</c:v>
                </c:pt>
              </c:numCache>
            </c:numRef>
          </c:val>
        </c:ser>
        <c:axId val="106768256"/>
        <c:axId val="106769792"/>
      </c:barChart>
      <c:lineChart>
        <c:grouping val="standard"/>
        <c:ser>
          <c:idx val="1"/>
          <c:order val="1"/>
          <c:tx>
            <c:strRef>
              <c:f>'Emergency Admissions 2008-09'!$K$1</c:f>
              <c:strCache>
                <c:ptCount val="1"/>
                <c:pt idx="0">
                  <c:v>PCT Average</c:v>
                </c:pt>
              </c:strCache>
            </c:strRef>
          </c:tx>
          <c:spPr>
            <a:ln w="19050">
              <a:solidFill>
                <a:srgbClr val="FF0000"/>
              </a:solidFill>
              <a:prstDash val="dash"/>
            </a:ln>
          </c:spPr>
          <c:marker>
            <c:symbol val="none"/>
          </c:marker>
          <c:val>
            <c:numRef>
              <c:f>'Emergency Admissions 2008-09'!$K$3:$K$26</c:f>
              <c:numCache>
                <c:formatCode>0.00</c:formatCode>
                <c:ptCount val="24"/>
                <c:pt idx="0">
                  <c:v>506.49852961942003</c:v>
                </c:pt>
                <c:pt idx="1">
                  <c:v>506.49852961942003</c:v>
                </c:pt>
                <c:pt idx="2">
                  <c:v>506.49852961942003</c:v>
                </c:pt>
                <c:pt idx="3">
                  <c:v>506.49852961942003</c:v>
                </c:pt>
                <c:pt idx="4">
                  <c:v>506.49852961942003</c:v>
                </c:pt>
                <c:pt idx="5">
                  <c:v>506.49852961942003</c:v>
                </c:pt>
                <c:pt idx="6">
                  <c:v>506.49852961942003</c:v>
                </c:pt>
                <c:pt idx="7">
                  <c:v>506.49852961942003</c:v>
                </c:pt>
                <c:pt idx="8">
                  <c:v>506.49852961942003</c:v>
                </c:pt>
                <c:pt idx="9">
                  <c:v>506.49852961942003</c:v>
                </c:pt>
                <c:pt idx="10">
                  <c:v>506.49852961942003</c:v>
                </c:pt>
                <c:pt idx="11">
                  <c:v>506.49852961942003</c:v>
                </c:pt>
                <c:pt idx="12">
                  <c:v>506.49852961942003</c:v>
                </c:pt>
                <c:pt idx="13">
                  <c:v>506.49852961942003</c:v>
                </c:pt>
                <c:pt idx="14">
                  <c:v>506.49852961942003</c:v>
                </c:pt>
                <c:pt idx="15">
                  <c:v>506.49852961942003</c:v>
                </c:pt>
                <c:pt idx="16">
                  <c:v>506.49852961942003</c:v>
                </c:pt>
                <c:pt idx="17">
                  <c:v>506.49852961942003</c:v>
                </c:pt>
                <c:pt idx="18">
                  <c:v>506.49852961942003</c:v>
                </c:pt>
                <c:pt idx="19">
                  <c:v>506.49852961942003</c:v>
                </c:pt>
                <c:pt idx="20">
                  <c:v>506.49852961942003</c:v>
                </c:pt>
                <c:pt idx="21">
                  <c:v>506.49852961942003</c:v>
                </c:pt>
                <c:pt idx="22">
                  <c:v>506.49852961942003</c:v>
                </c:pt>
                <c:pt idx="23">
                  <c:v>506.49852961942003</c:v>
                </c:pt>
              </c:numCache>
            </c:numRef>
          </c:val>
        </c:ser>
        <c:ser>
          <c:idx val="2"/>
          <c:order val="2"/>
          <c:tx>
            <c:strRef>
              <c:f>'Emergency Admissions 2008-09'!$L$1</c:f>
              <c:strCache>
                <c:ptCount val="1"/>
                <c:pt idx="0">
                  <c:v>England Average</c:v>
                </c:pt>
              </c:strCache>
            </c:strRef>
          </c:tx>
          <c:spPr>
            <a:ln w="19050">
              <a:solidFill>
                <a:srgbClr val="7030A0"/>
              </a:solidFill>
              <a:prstDash val="lgDashDotDot"/>
            </a:ln>
          </c:spPr>
          <c:marker>
            <c:symbol val="none"/>
          </c:marker>
          <c:val>
            <c:numRef>
              <c:f>'Emergency Admissions 2008-09'!$L$3:$L$26</c:f>
              <c:numCache>
                <c:formatCode>0.00</c:formatCode>
                <c:ptCount val="24"/>
                <c:pt idx="0">
                  <c:v>691.17811471455059</c:v>
                </c:pt>
                <c:pt idx="1">
                  <c:v>691.17811471455059</c:v>
                </c:pt>
                <c:pt idx="2">
                  <c:v>691.17811471455059</c:v>
                </c:pt>
                <c:pt idx="3">
                  <c:v>691.17811471455059</c:v>
                </c:pt>
                <c:pt idx="4">
                  <c:v>691.17811471455059</c:v>
                </c:pt>
                <c:pt idx="5">
                  <c:v>691.17811471455059</c:v>
                </c:pt>
                <c:pt idx="6">
                  <c:v>691.17811471455059</c:v>
                </c:pt>
                <c:pt idx="7">
                  <c:v>691.17811471455059</c:v>
                </c:pt>
                <c:pt idx="8">
                  <c:v>691.17811471455059</c:v>
                </c:pt>
                <c:pt idx="9">
                  <c:v>691.17811471455059</c:v>
                </c:pt>
                <c:pt idx="10">
                  <c:v>691.17811471455059</c:v>
                </c:pt>
                <c:pt idx="11">
                  <c:v>691.17811471455059</c:v>
                </c:pt>
                <c:pt idx="12">
                  <c:v>691.17811471455059</c:v>
                </c:pt>
                <c:pt idx="13">
                  <c:v>691.17811471455059</c:v>
                </c:pt>
                <c:pt idx="14">
                  <c:v>691.17811471455059</c:v>
                </c:pt>
                <c:pt idx="15">
                  <c:v>691.17811471455059</c:v>
                </c:pt>
                <c:pt idx="16">
                  <c:v>691.17811471455059</c:v>
                </c:pt>
                <c:pt idx="17">
                  <c:v>691.17811471455059</c:v>
                </c:pt>
                <c:pt idx="18">
                  <c:v>691.17811471455059</c:v>
                </c:pt>
                <c:pt idx="19">
                  <c:v>691.17811471455059</c:v>
                </c:pt>
                <c:pt idx="20">
                  <c:v>691.17811471455059</c:v>
                </c:pt>
                <c:pt idx="21">
                  <c:v>691.17811471455059</c:v>
                </c:pt>
                <c:pt idx="22">
                  <c:v>691.17811471455059</c:v>
                </c:pt>
                <c:pt idx="23">
                  <c:v>691.17811471455059</c:v>
                </c:pt>
              </c:numCache>
            </c:numRef>
          </c:val>
        </c:ser>
        <c:marker val="1"/>
        <c:axId val="106768256"/>
        <c:axId val="106769792"/>
      </c:lineChart>
      <c:catAx>
        <c:axId val="106768256"/>
        <c:scaling>
          <c:orientation val="minMax"/>
        </c:scaling>
        <c:axPos val="b"/>
        <c:numFmt formatCode="General" sourceLinked="1"/>
        <c:tickLblPos val="nextTo"/>
        <c:txPr>
          <a:bodyPr rot="-5400000" vert="horz"/>
          <a:lstStyle/>
          <a:p>
            <a:pPr>
              <a:defRPr sz="600" b="0" i="0" u="none" strike="noStrike" baseline="0">
                <a:solidFill>
                  <a:srgbClr val="000000"/>
                </a:solidFill>
                <a:latin typeface="Calibri"/>
                <a:ea typeface="Calibri"/>
                <a:cs typeface="Calibri"/>
              </a:defRPr>
            </a:pPr>
            <a:endParaRPr lang="en-US"/>
          </a:p>
        </c:txPr>
        <c:crossAx val="106769792"/>
        <c:crosses val="autoZero"/>
        <c:auto val="1"/>
        <c:lblAlgn val="ctr"/>
        <c:lblOffset val="100"/>
      </c:catAx>
      <c:valAx>
        <c:axId val="106769792"/>
        <c:scaling>
          <c:orientation val="minMax"/>
          <c:max val="1800"/>
        </c:scaling>
        <c:axPos val="l"/>
        <c:majorGridlines/>
        <c:numFmt formatCode="0.00" sourceLinked="1"/>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06768256"/>
        <c:crosses val="autoZero"/>
        <c:crossBetween val="between"/>
      </c:valAx>
    </c:plotArea>
    <c:legend>
      <c:legendPos val="r"/>
      <c:legendEntry>
        <c:idx val="0"/>
        <c:delete val="1"/>
      </c:legendEntry>
      <c:layout>
        <c:manualLayout>
          <c:xMode val="edge"/>
          <c:yMode val="edge"/>
          <c:x val="0.13578609883795897"/>
          <c:y val="5.0733814523184678E-2"/>
          <c:w val="0.32661790316962841"/>
          <c:h val="8.448490813648328E-2"/>
        </c:manualLayout>
      </c:layout>
      <c:txPr>
        <a:bodyPr/>
        <a:lstStyle/>
        <a:p>
          <a:pPr>
            <a:defRPr sz="550" b="0" i="0" u="none" strike="noStrike" baseline="0">
              <a:solidFill>
                <a:srgbClr val="000000"/>
              </a:solidFill>
              <a:latin typeface="Calibri"/>
              <a:ea typeface="Calibri"/>
              <a:cs typeface="Calibri"/>
            </a:defRPr>
          </a:pPr>
          <a:endParaRPr lang="en-US"/>
        </a:p>
      </c:txPr>
    </c:legend>
    <c:plotVisOnly val="1"/>
    <c:dispBlanksAs val="gap"/>
  </c:chart>
  <c:spPr>
    <a:ln>
      <a:solidFill>
        <a:schemeClr val="bg1"/>
      </a:solidFill>
    </a:ln>
  </c:spPr>
  <c:txPr>
    <a:bodyPr/>
    <a:lstStyle/>
    <a:p>
      <a:pPr>
        <a:defRPr sz="1000" b="0" i="0" u="none" strike="noStrike" baseline="0">
          <a:solidFill>
            <a:srgbClr val="000000"/>
          </a:solidFill>
          <a:latin typeface="Calibri"/>
          <a:ea typeface="Calibri"/>
          <a:cs typeface="Calibri"/>
        </a:defRPr>
      </a:pPr>
      <a:endParaRPr lang="en-US"/>
    </a:p>
  </c:txPr>
  <c:externalData r:id="rId1"/>
  <c:userShapes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0898065641481348"/>
          <c:y val="5.1400554097404488E-2"/>
          <c:w val="0.87481055463678437"/>
          <c:h val="0.70213436862058964"/>
        </c:manualLayout>
      </c:layout>
      <c:barChart>
        <c:barDir val="col"/>
        <c:grouping val="clustered"/>
        <c:ser>
          <c:idx val="0"/>
          <c:order val="0"/>
          <c:spPr>
            <a:solidFill>
              <a:schemeClr val="bg1">
                <a:lumMod val="50000"/>
              </a:schemeClr>
            </a:solidFill>
            <a:ln>
              <a:solidFill>
                <a:schemeClr val="tx1"/>
              </a:solidFill>
            </a:ln>
          </c:spPr>
          <c:errBars>
            <c:errBarType val="both"/>
            <c:errValType val="cust"/>
            <c:plus>
              <c:numRef>
                <c:f>'Emergency Admissions'!$J$4:$J$32</c:f>
                <c:numCache>
                  <c:formatCode>General</c:formatCode>
                  <c:ptCount val="29"/>
                  <c:pt idx="0">
                    <c:v>184.00814247812664</c:v>
                  </c:pt>
                  <c:pt idx="1">
                    <c:v>291.44735330259869</c:v>
                  </c:pt>
                  <c:pt idx="2">
                    <c:v>157.88583477614623</c:v>
                  </c:pt>
                  <c:pt idx="3">
                    <c:v>243.69321968758987</c:v>
                  </c:pt>
                  <c:pt idx="4">
                    <c:v>146.12625915778</c:v>
                  </c:pt>
                  <c:pt idx="5">
                    <c:v>357.13695915277043</c:v>
                  </c:pt>
                  <c:pt idx="6">
                    <c:v>243.54559968278477</c:v>
                  </c:pt>
                  <c:pt idx="7">
                    <c:v>372.91822728055899</c:v>
                  </c:pt>
                  <c:pt idx="8">
                    <c:v>119.73444744363997</c:v>
                  </c:pt>
                  <c:pt idx="9">
                    <c:v>284.08218759122269</c:v>
                  </c:pt>
                  <c:pt idx="10">
                    <c:v>177.06671733010853</c:v>
                  </c:pt>
                  <c:pt idx="11">
                    <c:v>139.45563628602704</c:v>
                  </c:pt>
                  <c:pt idx="12">
                    <c:v>259.53049054380148</c:v>
                  </c:pt>
                  <c:pt idx="13">
                    <c:v>222.60315297518531</c:v>
                  </c:pt>
                  <c:pt idx="14">
                    <c:v>156.46603445400859</c:v>
                  </c:pt>
                  <c:pt idx="15">
                    <c:v>186.42296546599107</c:v>
                  </c:pt>
                  <c:pt idx="16">
                    <c:v>138.91938445262221</c:v>
                  </c:pt>
                  <c:pt idx="17">
                    <c:v>185.98384790672841</c:v>
                  </c:pt>
                  <c:pt idx="18">
                    <c:v>330.6473865291141</c:v>
                  </c:pt>
                  <c:pt idx="19">
                    <c:v>168.1132379036485</c:v>
                  </c:pt>
                  <c:pt idx="20">
                    <c:v>180.25657613755402</c:v>
                  </c:pt>
                  <c:pt idx="21">
                    <c:v>156.99273808132028</c:v>
                  </c:pt>
                  <c:pt idx="22">
                    <c:v>205.28769173292878</c:v>
                  </c:pt>
                  <c:pt idx="23">
                    <c:v>246.47211746390968</c:v>
                  </c:pt>
                  <c:pt idx="24">
                    <c:v>330.1240526203494</c:v>
                  </c:pt>
                  <c:pt idx="25">
                    <c:v>236.23299056148278</c:v>
                  </c:pt>
                  <c:pt idx="26">
                    <c:v>312.71349604233961</c:v>
                  </c:pt>
                  <c:pt idx="27">
                    <c:v>330.94132214966089</c:v>
                  </c:pt>
                  <c:pt idx="28">
                    <c:v>332.52936281150483</c:v>
                  </c:pt>
                </c:numCache>
              </c:numRef>
            </c:plus>
            <c:minus>
              <c:numRef>
                <c:f>'Emergency Admissions'!$I$4:$I$32</c:f>
                <c:numCache>
                  <c:formatCode>General</c:formatCode>
                  <c:ptCount val="29"/>
                  <c:pt idx="0">
                    <c:v>119.20694789834434</c:v>
                  </c:pt>
                  <c:pt idx="1">
                    <c:v>170.99727613889979</c:v>
                  </c:pt>
                  <c:pt idx="2">
                    <c:v>115.53423962794733</c:v>
                  </c:pt>
                  <c:pt idx="3">
                    <c:v>157.87304056901445</c:v>
                  </c:pt>
                  <c:pt idx="4">
                    <c:v>112.18764752894289</c:v>
                  </c:pt>
                  <c:pt idx="5">
                    <c:v>209.53852053083193</c:v>
                  </c:pt>
                  <c:pt idx="6">
                    <c:v>165.27076683196418</c:v>
                  </c:pt>
                  <c:pt idx="7">
                    <c:v>218.79766745150258</c:v>
                  </c:pt>
                  <c:pt idx="8">
                    <c:v>97.553110488878076</c:v>
                  </c:pt>
                  <c:pt idx="9">
                    <c:v>190.13945972031695</c:v>
                  </c:pt>
                  <c:pt idx="10">
                    <c:v>135.36238431109462</c:v>
                  </c:pt>
                  <c:pt idx="11">
                    <c:v>112.43406361826788</c:v>
                  </c:pt>
                  <c:pt idx="12">
                    <c:v>180.36126022913396</c:v>
                  </c:pt>
                  <c:pt idx="13">
                    <c:v>162.89166190390387</c:v>
                  </c:pt>
                  <c:pt idx="14">
                    <c:v>124.26890936708816</c:v>
                  </c:pt>
                  <c:pt idx="15">
                    <c:v>143.70981643671917</c:v>
                  </c:pt>
                  <c:pt idx="16">
                    <c:v>114.21918872506961</c:v>
                  </c:pt>
                  <c:pt idx="17">
                    <c:v>144.98417852096645</c:v>
                  </c:pt>
                  <c:pt idx="18">
                    <c:v>229.78409666202833</c:v>
                  </c:pt>
                  <c:pt idx="19">
                    <c:v>137.23305215646775</c:v>
                  </c:pt>
                  <c:pt idx="20">
                    <c:v>148.93670332748223</c:v>
                  </c:pt>
                  <c:pt idx="21">
                    <c:v>133.45384762897743</c:v>
                  </c:pt>
                  <c:pt idx="22">
                    <c:v>167.57904884808923</c:v>
                  </c:pt>
                  <c:pt idx="23">
                    <c:v>194.63263759543651</c:v>
                  </c:pt>
                  <c:pt idx="24">
                    <c:v>251.24067509534632</c:v>
                  </c:pt>
                  <c:pt idx="25">
                    <c:v>197.95037726897829</c:v>
                  </c:pt>
                  <c:pt idx="26">
                    <c:v>249.69544996195611</c:v>
                  </c:pt>
                  <c:pt idx="27">
                    <c:v>268.55297143552696</c:v>
                  </c:pt>
                  <c:pt idx="28">
                    <c:v>278.64149145764065</c:v>
                  </c:pt>
                </c:numCache>
              </c:numRef>
            </c:minus>
          </c:errBars>
          <c:cat>
            <c:strRef>
              <c:f>'Emergency Admissions'!$B$4:$B$32</c:f>
              <c:strCache>
                <c:ptCount val="29"/>
                <c:pt idx="0">
                  <c:v>H84625</c:v>
                </c:pt>
                <c:pt idx="1">
                  <c:v>H84615</c:v>
                </c:pt>
                <c:pt idx="2">
                  <c:v>H84005</c:v>
                </c:pt>
                <c:pt idx="3">
                  <c:v>H84041</c:v>
                </c:pt>
                <c:pt idx="4">
                  <c:v>Y01206</c:v>
                </c:pt>
                <c:pt idx="5">
                  <c:v>H84630</c:v>
                </c:pt>
                <c:pt idx="6">
                  <c:v>H84014</c:v>
                </c:pt>
                <c:pt idx="7">
                  <c:v>H84608</c:v>
                </c:pt>
                <c:pt idx="8">
                  <c:v>H84017</c:v>
                </c:pt>
                <c:pt idx="9">
                  <c:v>H84633</c:v>
                </c:pt>
                <c:pt idx="10">
                  <c:v>H84623</c:v>
                </c:pt>
                <c:pt idx="11">
                  <c:v>H84012</c:v>
                </c:pt>
                <c:pt idx="12">
                  <c:v>H84632</c:v>
                </c:pt>
                <c:pt idx="13">
                  <c:v>H84043</c:v>
                </c:pt>
                <c:pt idx="14">
                  <c:v>H84023</c:v>
                </c:pt>
                <c:pt idx="15">
                  <c:v>H84044</c:v>
                </c:pt>
                <c:pt idx="16">
                  <c:v>H84002</c:v>
                </c:pt>
                <c:pt idx="17">
                  <c:v>H84007</c:v>
                </c:pt>
                <c:pt idx="18">
                  <c:v>H84036</c:v>
                </c:pt>
                <c:pt idx="19">
                  <c:v>H84055</c:v>
                </c:pt>
                <c:pt idx="20">
                  <c:v>H84039</c:v>
                </c:pt>
                <c:pt idx="21">
                  <c:v>H84040</c:v>
                </c:pt>
                <c:pt idx="22">
                  <c:v>H84006</c:v>
                </c:pt>
                <c:pt idx="23">
                  <c:v>H84048</c:v>
                </c:pt>
                <c:pt idx="24">
                  <c:v>H84059</c:v>
                </c:pt>
                <c:pt idx="25">
                  <c:v>H84032</c:v>
                </c:pt>
                <c:pt idx="26">
                  <c:v>H84031</c:v>
                </c:pt>
                <c:pt idx="27">
                  <c:v>H84018</c:v>
                </c:pt>
                <c:pt idx="28">
                  <c:v>H84060</c:v>
                </c:pt>
              </c:strCache>
            </c:strRef>
          </c:cat>
          <c:val>
            <c:numRef>
              <c:f>'Emergency Admissions'!$F$4:$F$32</c:f>
              <c:numCache>
                <c:formatCode>0.00</c:formatCode>
                <c:ptCount val="29"/>
                <c:pt idx="0">
                  <c:v>246.35598439745451</c:v>
                </c:pt>
                <c:pt idx="1">
                  <c:v>300.30030030030031</c:v>
                </c:pt>
                <c:pt idx="2">
                  <c:v>315.41415249588556</c:v>
                </c:pt>
                <c:pt idx="3">
                  <c:v>326.26427406199019</c:v>
                </c:pt>
                <c:pt idx="4">
                  <c:v>354.88521681268674</c:v>
                </c:pt>
                <c:pt idx="5">
                  <c:v>367.98528058877645</c:v>
                </c:pt>
                <c:pt idx="6">
                  <c:v>375</c:v>
                </c:pt>
                <c:pt idx="7">
                  <c:v>384.24591738712769</c:v>
                </c:pt>
                <c:pt idx="8">
                  <c:v>388.67703138750375</c:v>
                </c:pt>
                <c:pt idx="9">
                  <c:v>419.03621670158572</c:v>
                </c:pt>
                <c:pt idx="10">
                  <c:v>422.11328976034872</c:v>
                </c:pt>
                <c:pt idx="11">
                  <c:v>427.92190425247321</c:v>
                </c:pt>
                <c:pt idx="12">
                  <c:v>431.69121381411884</c:v>
                </c:pt>
                <c:pt idx="13">
                  <c:v>444.70224284609429</c:v>
                </c:pt>
                <c:pt idx="14">
                  <c:v>444.82101249735223</c:v>
                </c:pt>
                <c:pt idx="15">
                  <c:v>460.95823439027754</c:v>
                </c:pt>
                <c:pt idx="16">
                  <c:v>474.51525811993781</c:v>
                </c:pt>
                <c:pt idx="17">
                  <c:v>483.74092985756516</c:v>
                </c:pt>
                <c:pt idx="18">
                  <c:v>549.98382400517653</c:v>
                </c:pt>
                <c:pt idx="19">
                  <c:v>551.5269124706366</c:v>
                </c:pt>
                <c:pt idx="20">
                  <c:v>633.43717549324924</c:v>
                </c:pt>
                <c:pt idx="21">
                  <c:v>659.39241698720446</c:v>
                </c:pt>
                <c:pt idx="22">
                  <c:v>673.48465951608875</c:v>
                </c:pt>
                <c:pt idx="23">
                  <c:v>681.3149378300119</c:v>
                </c:pt>
                <c:pt idx="24">
                  <c:v>772.00205867215652</c:v>
                </c:pt>
                <c:pt idx="25">
                  <c:v>903.76782077393011</c:v>
                </c:pt>
                <c:pt idx="26">
                  <c:v>913.05250051877988</c:v>
                </c:pt>
                <c:pt idx="27">
                  <c:v>1051.1129431162408</c:v>
                </c:pt>
                <c:pt idx="28">
                  <c:v>1272.1734456190622</c:v>
                </c:pt>
              </c:numCache>
            </c:numRef>
          </c:val>
        </c:ser>
        <c:axId val="106807296"/>
        <c:axId val="106808832"/>
      </c:barChart>
      <c:lineChart>
        <c:grouping val="standard"/>
        <c:ser>
          <c:idx val="1"/>
          <c:order val="1"/>
          <c:tx>
            <c:strRef>
              <c:f>'Emergency Admissions'!$K$1</c:f>
              <c:strCache>
                <c:ptCount val="1"/>
                <c:pt idx="0">
                  <c:v>PCT Average</c:v>
                </c:pt>
              </c:strCache>
            </c:strRef>
          </c:tx>
          <c:spPr>
            <a:ln w="19050">
              <a:solidFill>
                <a:srgbClr val="FF0000"/>
              </a:solidFill>
              <a:prstDash val="dash"/>
            </a:ln>
          </c:spPr>
          <c:marker>
            <c:symbol val="none"/>
          </c:marker>
          <c:val>
            <c:numRef>
              <c:f>'Emergency Admissions'!$K$4:$K$32</c:f>
              <c:numCache>
                <c:formatCode>0.00</c:formatCode>
                <c:ptCount val="29"/>
                <c:pt idx="0">
                  <c:v>536.96861423525047</c:v>
                </c:pt>
                <c:pt idx="1">
                  <c:v>536.96861423525047</c:v>
                </c:pt>
                <c:pt idx="2">
                  <c:v>536.96861423525047</c:v>
                </c:pt>
                <c:pt idx="3">
                  <c:v>536.96861423525047</c:v>
                </c:pt>
                <c:pt idx="4">
                  <c:v>536.96861423525047</c:v>
                </c:pt>
                <c:pt idx="5">
                  <c:v>536.96861423525047</c:v>
                </c:pt>
                <c:pt idx="6">
                  <c:v>536.96861423525047</c:v>
                </c:pt>
                <c:pt idx="7">
                  <c:v>536.96861423525047</c:v>
                </c:pt>
                <c:pt idx="8">
                  <c:v>536.96861423525047</c:v>
                </c:pt>
                <c:pt idx="9">
                  <c:v>536.96861423525047</c:v>
                </c:pt>
                <c:pt idx="10">
                  <c:v>536.96861423525047</c:v>
                </c:pt>
                <c:pt idx="11">
                  <c:v>536.96861423525047</c:v>
                </c:pt>
                <c:pt idx="12">
                  <c:v>536.96861423525047</c:v>
                </c:pt>
                <c:pt idx="13">
                  <c:v>536.96861423525047</c:v>
                </c:pt>
                <c:pt idx="14">
                  <c:v>536.96861423525047</c:v>
                </c:pt>
                <c:pt idx="15">
                  <c:v>536.96861423525047</c:v>
                </c:pt>
                <c:pt idx="16">
                  <c:v>536.96861423525047</c:v>
                </c:pt>
                <c:pt idx="17">
                  <c:v>536.96861423525047</c:v>
                </c:pt>
                <c:pt idx="18">
                  <c:v>536.96861423525047</c:v>
                </c:pt>
                <c:pt idx="19">
                  <c:v>536.96861423525047</c:v>
                </c:pt>
                <c:pt idx="20">
                  <c:v>536.96861423525047</c:v>
                </c:pt>
                <c:pt idx="21">
                  <c:v>536.96861423525047</c:v>
                </c:pt>
                <c:pt idx="22">
                  <c:v>536.96861423525047</c:v>
                </c:pt>
                <c:pt idx="23">
                  <c:v>536.96861423525047</c:v>
                </c:pt>
                <c:pt idx="24">
                  <c:v>536.96861423525047</c:v>
                </c:pt>
                <c:pt idx="25">
                  <c:v>536.96861423525047</c:v>
                </c:pt>
                <c:pt idx="26">
                  <c:v>536.96861423525047</c:v>
                </c:pt>
                <c:pt idx="27">
                  <c:v>536.96861423525047</c:v>
                </c:pt>
                <c:pt idx="28">
                  <c:v>536.96861423525047</c:v>
                </c:pt>
              </c:numCache>
            </c:numRef>
          </c:val>
        </c:ser>
        <c:ser>
          <c:idx val="2"/>
          <c:order val="2"/>
          <c:tx>
            <c:strRef>
              <c:f>'Emergency Admissions'!$L$1</c:f>
              <c:strCache>
                <c:ptCount val="1"/>
                <c:pt idx="0">
                  <c:v>England Average</c:v>
                </c:pt>
              </c:strCache>
            </c:strRef>
          </c:tx>
          <c:spPr>
            <a:ln w="19050">
              <a:solidFill>
                <a:srgbClr val="7030A0"/>
              </a:solidFill>
              <a:prstDash val="lgDashDotDot"/>
            </a:ln>
          </c:spPr>
          <c:marker>
            <c:symbol val="none"/>
          </c:marker>
          <c:val>
            <c:numRef>
              <c:f>'Emergency Admissions'!$L$4:$L$32</c:f>
              <c:numCache>
                <c:formatCode>0.00</c:formatCode>
                <c:ptCount val="29"/>
                <c:pt idx="0">
                  <c:v>691.17811471455002</c:v>
                </c:pt>
                <c:pt idx="1">
                  <c:v>691.17811471455002</c:v>
                </c:pt>
                <c:pt idx="2">
                  <c:v>691.17811471455002</c:v>
                </c:pt>
                <c:pt idx="3">
                  <c:v>691.17811471455002</c:v>
                </c:pt>
                <c:pt idx="4">
                  <c:v>691.17811471455002</c:v>
                </c:pt>
                <c:pt idx="5">
                  <c:v>691.17811471455002</c:v>
                </c:pt>
                <c:pt idx="6">
                  <c:v>691.17811471455002</c:v>
                </c:pt>
                <c:pt idx="7">
                  <c:v>691.17811471455002</c:v>
                </c:pt>
                <c:pt idx="8">
                  <c:v>691.17811471455002</c:v>
                </c:pt>
                <c:pt idx="9">
                  <c:v>691.17811471455002</c:v>
                </c:pt>
                <c:pt idx="10">
                  <c:v>691.17811471455002</c:v>
                </c:pt>
                <c:pt idx="11">
                  <c:v>691.17811471455002</c:v>
                </c:pt>
                <c:pt idx="12">
                  <c:v>691.17811471455002</c:v>
                </c:pt>
                <c:pt idx="13">
                  <c:v>691.17811471455002</c:v>
                </c:pt>
                <c:pt idx="14">
                  <c:v>691.17811471455002</c:v>
                </c:pt>
                <c:pt idx="15">
                  <c:v>691.17811471455002</c:v>
                </c:pt>
                <c:pt idx="16">
                  <c:v>691.17811471455002</c:v>
                </c:pt>
                <c:pt idx="17">
                  <c:v>691.17811471455002</c:v>
                </c:pt>
                <c:pt idx="18">
                  <c:v>691.17811471455002</c:v>
                </c:pt>
                <c:pt idx="19">
                  <c:v>691.17811471455002</c:v>
                </c:pt>
                <c:pt idx="20">
                  <c:v>691.17811471455002</c:v>
                </c:pt>
                <c:pt idx="21">
                  <c:v>691.17811471455002</c:v>
                </c:pt>
                <c:pt idx="22">
                  <c:v>691.17811471455002</c:v>
                </c:pt>
                <c:pt idx="23">
                  <c:v>691.17811471455002</c:v>
                </c:pt>
                <c:pt idx="24">
                  <c:v>691.17811471455002</c:v>
                </c:pt>
                <c:pt idx="25">
                  <c:v>691.17811471455002</c:v>
                </c:pt>
                <c:pt idx="26">
                  <c:v>691.17811471455002</c:v>
                </c:pt>
                <c:pt idx="27">
                  <c:v>691.17811471455002</c:v>
                </c:pt>
                <c:pt idx="28">
                  <c:v>691.17811471455002</c:v>
                </c:pt>
              </c:numCache>
            </c:numRef>
          </c:val>
        </c:ser>
        <c:marker val="1"/>
        <c:axId val="106807296"/>
        <c:axId val="106808832"/>
      </c:lineChart>
      <c:catAx>
        <c:axId val="106807296"/>
        <c:scaling>
          <c:orientation val="minMax"/>
        </c:scaling>
        <c:axPos val="b"/>
        <c:numFmt formatCode="General" sourceLinked="1"/>
        <c:tickLblPos val="nextTo"/>
        <c:txPr>
          <a:bodyPr rot="-5400000" vert="horz"/>
          <a:lstStyle/>
          <a:p>
            <a:pPr>
              <a:defRPr sz="600" b="0" i="0" u="none" strike="noStrike" baseline="0">
                <a:solidFill>
                  <a:srgbClr val="000000"/>
                </a:solidFill>
                <a:latin typeface="Calibri"/>
                <a:ea typeface="Calibri"/>
                <a:cs typeface="Calibri"/>
              </a:defRPr>
            </a:pPr>
            <a:endParaRPr lang="en-US"/>
          </a:p>
        </c:txPr>
        <c:crossAx val="106808832"/>
        <c:crosses val="autoZero"/>
        <c:auto val="1"/>
        <c:lblAlgn val="ctr"/>
        <c:lblOffset val="100"/>
      </c:catAx>
      <c:valAx>
        <c:axId val="106808832"/>
        <c:scaling>
          <c:orientation val="minMax"/>
          <c:max val="1600"/>
        </c:scaling>
        <c:axPos val="l"/>
        <c:majorGridlines/>
        <c:numFmt formatCode="0.00" sourceLinked="1"/>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06807296"/>
        <c:crosses val="autoZero"/>
        <c:crossBetween val="between"/>
      </c:valAx>
    </c:plotArea>
    <c:legend>
      <c:legendPos val="r"/>
      <c:legendEntry>
        <c:idx val="0"/>
        <c:delete val="1"/>
      </c:legendEntry>
      <c:layout>
        <c:manualLayout>
          <c:xMode val="edge"/>
          <c:yMode val="edge"/>
          <c:x val="0.14832528379093712"/>
          <c:y val="5.0733814523184678E-2"/>
          <c:w val="0.32661790316962841"/>
          <c:h val="8.448490813648328E-2"/>
        </c:manualLayout>
      </c:layout>
      <c:txPr>
        <a:bodyPr/>
        <a:lstStyle/>
        <a:p>
          <a:pPr>
            <a:defRPr sz="505" b="0" i="0" u="none" strike="noStrike" baseline="0">
              <a:solidFill>
                <a:srgbClr val="000000"/>
              </a:solidFill>
              <a:latin typeface="Calibri"/>
              <a:ea typeface="Calibri"/>
              <a:cs typeface="Calibri"/>
            </a:defRPr>
          </a:pPr>
          <a:endParaRPr lang="en-US"/>
        </a:p>
      </c:txPr>
    </c:legend>
    <c:plotVisOnly val="1"/>
    <c:dispBlanksAs val="gap"/>
  </c:chart>
  <c:spPr>
    <a:ln>
      <a:solidFill>
        <a:schemeClr val="bg1"/>
      </a:solidFill>
    </a:ln>
  </c:spPr>
  <c:txPr>
    <a:bodyPr/>
    <a:lstStyle/>
    <a:p>
      <a:pPr>
        <a:defRPr sz="1000" b="0" i="0" u="none" strike="noStrike" baseline="0">
          <a:solidFill>
            <a:srgbClr val="000000"/>
          </a:solidFill>
          <a:latin typeface="Calibri"/>
          <a:ea typeface="Calibri"/>
          <a:cs typeface="Calibri"/>
        </a:defRPr>
      </a:pPr>
      <a:endParaRPr lang="en-US"/>
    </a:p>
  </c:txPr>
  <c:externalData r:id="rId1"/>
  <c:userShapes r:id="rId2"/>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0619417086970723"/>
          <c:y val="5.1400554097404488E-2"/>
          <c:w val="0.87759704018189033"/>
          <c:h val="0.70751883706844365"/>
        </c:manualLayout>
      </c:layout>
      <c:barChart>
        <c:barDir val="col"/>
        <c:grouping val="clustered"/>
        <c:ser>
          <c:idx val="0"/>
          <c:order val="0"/>
          <c:spPr>
            <a:solidFill>
              <a:schemeClr val="bg1">
                <a:lumMod val="50000"/>
              </a:schemeClr>
            </a:solidFill>
            <a:ln>
              <a:solidFill>
                <a:schemeClr val="tx1"/>
              </a:solidFill>
            </a:ln>
          </c:spPr>
          <c:errBars>
            <c:errBarType val="both"/>
            <c:errValType val="cust"/>
            <c:plus>
              <c:numRef>
                <c:f>'Emergency Admissions'!$J$3:$J$54</c:f>
                <c:numCache>
                  <c:formatCode>General</c:formatCode>
                  <c:ptCount val="52"/>
                  <c:pt idx="0">
                    <c:v>117.91868381856237</c:v>
                  </c:pt>
                  <c:pt idx="1">
                    <c:v>233.8968946352262</c:v>
                  </c:pt>
                  <c:pt idx="2">
                    <c:v>121.56276617417507</c:v>
                  </c:pt>
                  <c:pt idx="3">
                    <c:v>192.09902692314125</c:v>
                  </c:pt>
                  <c:pt idx="4">
                    <c:v>133.55217366226236</c:v>
                  </c:pt>
                  <c:pt idx="5">
                    <c:v>135.56659187095858</c:v>
                  </c:pt>
                  <c:pt idx="6">
                    <c:v>158.49566885979431</c:v>
                  </c:pt>
                  <c:pt idx="7">
                    <c:v>217.24932532996695</c:v>
                  </c:pt>
                  <c:pt idx="8">
                    <c:v>203.11638763162188</c:v>
                  </c:pt>
                  <c:pt idx="9">
                    <c:v>191.9869400310406</c:v>
                  </c:pt>
                  <c:pt idx="10">
                    <c:v>272.06090559814425</c:v>
                  </c:pt>
                  <c:pt idx="11">
                    <c:v>268.10888556177639</c:v>
                  </c:pt>
                  <c:pt idx="12">
                    <c:v>154.3428200305934</c:v>
                  </c:pt>
                  <c:pt idx="13">
                    <c:v>180.79298333759021</c:v>
                  </c:pt>
                  <c:pt idx="14">
                    <c:v>179.70821220309259</c:v>
                  </c:pt>
                  <c:pt idx="15">
                    <c:v>179.50817707348125</c:v>
                  </c:pt>
                  <c:pt idx="16">
                    <c:v>394.15288566884618</c:v>
                  </c:pt>
                  <c:pt idx="17">
                    <c:v>203.45315245066487</c:v>
                  </c:pt>
                  <c:pt idx="18">
                    <c:v>231.42515964981618</c:v>
                  </c:pt>
                  <c:pt idx="19">
                    <c:v>208.11190894502414</c:v>
                  </c:pt>
                  <c:pt idx="20">
                    <c:v>155.96886090744982</c:v>
                  </c:pt>
                  <c:pt idx="21">
                    <c:v>188.74891806874098</c:v>
                  </c:pt>
                  <c:pt idx="22">
                    <c:v>177.46777133825253</c:v>
                  </c:pt>
                  <c:pt idx="23">
                    <c:v>171.29808328447675</c:v>
                  </c:pt>
                  <c:pt idx="24">
                    <c:v>180.88970237183341</c:v>
                  </c:pt>
                  <c:pt idx="25">
                    <c:v>178.54222730178066</c:v>
                  </c:pt>
                  <c:pt idx="26">
                    <c:v>452.54462898295975</c:v>
                  </c:pt>
                  <c:pt idx="27">
                    <c:v>208.18124463938838</c:v>
                  </c:pt>
                  <c:pt idx="28">
                    <c:v>182.12493017459951</c:v>
                  </c:pt>
                  <c:pt idx="29">
                    <c:v>257.25547367056771</c:v>
                  </c:pt>
                  <c:pt idx="30">
                    <c:v>299.86178942588322</c:v>
                  </c:pt>
                  <c:pt idx="31">
                    <c:v>408.4856401924423</c:v>
                  </c:pt>
                  <c:pt idx="32">
                    <c:v>324.87537907136891</c:v>
                  </c:pt>
                  <c:pt idx="33">
                    <c:v>216.20133231050971</c:v>
                  </c:pt>
                  <c:pt idx="34">
                    <c:v>288.25097403261969</c:v>
                  </c:pt>
                  <c:pt idx="35">
                    <c:v>271.02916622127356</c:v>
                  </c:pt>
                  <c:pt idx="36">
                    <c:v>170.83611384756531</c:v>
                  </c:pt>
                  <c:pt idx="37">
                    <c:v>152.67952984831982</c:v>
                  </c:pt>
                  <c:pt idx="38">
                    <c:v>183.4099888649373</c:v>
                  </c:pt>
                  <c:pt idx="39">
                    <c:v>201.52481964082813</c:v>
                  </c:pt>
                  <c:pt idx="40">
                    <c:v>283.12615893345128</c:v>
                  </c:pt>
                  <c:pt idx="41">
                    <c:v>363.96823569807623</c:v>
                  </c:pt>
                  <c:pt idx="42">
                    <c:v>223.98618403496258</c:v>
                  </c:pt>
                  <c:pt idx="43">
                    <c:v>165.57419821388538</c:v>
                  </c:pt>
                  <c:pt idx="44">
                    <c:v>211.97356430936415</c:v>
                  </c:pt>
                  <c:pt idx="45">
                    <c:v>379.57963872896198</c:v>
                  </c:pt>
                  <c:pt idx="46">
                    <c:v>223.83105656608143</c:v>
                  </c:pt>
                  <c:pt idx="47">
                    <c:v>212.34273259800361</c:v>
                  </c:pt>
                  <c:pt idx="48">
                    <c:v>423.74853330153769</c:v>
                  </c:pt>
                  <c:pt idx="49">
                    <c:v>288.44363908159869</c:v>
                  </c:pt>
                  <c:pt idx="50">
                    <c:v>342.41662415531965</c:v>
                  </c:pt>
                  <c:pt idx="51">
                    <c:v>692.40618361858515</c:v>
                  </c:pt>
                </c:numCache>
              </c:numRef>
            </c:plus>
            <c:minus>
              <c:numRef>
                <c:f>'Emergency Admissions'!$I$3:$I$54</c:f>
                <c:numCache>
                  <c:formatCode>General</c:formatCode>
                  <c:ptCount val="52"/>
                  <c:pt idx="0">
                    <c:v>59.92378671415608</c:v>
                  </c:pt>
                  <c:pt idx="1">
                    <c:v>154.16377772321931</c:v>
                  </c:pt>
                  <c:pt idx="2">
                    <c:v>96.547934028144994</c:v>
                  </c:pt>
                  <c:pt idx="3">
                    <c:v>137.39084645659682</c:v>
                  </c:pt>
                  <c:pt idx="4">
                    <c:v>105.46268715485056</c:v>
                  </c:pt>
                  <c:pt idx="5">
                    <c:v>107.05342095960344</c:v>
                  </c:pt>
                  <c:pt idx="6">
                    <c:v>122.65790899178663</c:v>
                  </c:pt>
                  <c:pt idx="7">
                    <c:v>157.84923068035437</c:v>
                  </c:pt>
                  <c:pt idx="8">
                    <c:v>150.56070935588042</c:v>
                  </c:pt>
                  <c:pt idx="9">
                    <c:v>144.70297879042386</c:v>
                  </c:pt>
                  <c:pt idx="10">
                    <c:v>186.93706429433735</c:v>
                  </c:pt>
                  <c:pt idx="11">
                    <c:v>186.32283388833451</c:v>
                  </c:pt>
                  <c:pt idx="12">
                    <c:v>124.9840847985007</c:v>
                  </c:pt>
                  <c:pt idx="13">
                    <c:v>141.88595260721877</c:v>
                  </c:pt>
                  <c:pt idx="14">
                    <c:v>142.32657642496929</c:v>
                  </c:pt>
                  <c:pt idx="15">
                    <c:v>142.56950695553439</c:v>
                  </c:pt>
                  <c:pt idx="16">
                    <c:v>255.34610519473821</c:v>
                  </c:pt>
                  <c:pt idx="17">
                    <c:v>158.60241901411626</c:v>
                  </c:pt>
                  <c:pt idx="18">
                    <c:v>176.91784132064009</c:v>
                  </c:pt>
                  <c:pt idx="19">
                    <c:v>163.84220685760141</c:v>
                  </c:pt>
                  <c:pt idx="20">
                    <c:v>130.01004219954703</c:v>
                  </c:pt>
                  <c:pt idx="21">
                    <c:v>153.47851531124326</c:v>
                  </c:pt>
                  <c:pt idx="22">
                    <c:v>145.9135810813674</c:v>
                  </c:pt>
                  <c:pt idx="23">
                    <c:v>141.97116834104742</c:v>
                  </c:pt>
                  <c:pt idx="24">
                    <c:v>148.72708466885319</c:v>
                  </c:pt>
                  <c:pt idx="25">
                    <c:v>147.75024487163881</c:v>
                  </c:pt>
                  <c:pt idx="26">
                    <c:v>298.2766817027192</c:v>
                  </c:pt>
                  <c:pt idx="27">
                    <c:v>167.84307846767481</c:v>
                  </c:pt>
                  <c:pt idx="28">
                    <c:v>150.9444158693785</c:v>
                  </c:pt>
                  <c:pt idx="29">
                    <c:v>199.82992166294818</c:v>
                  </c:pt>
                  <c:pt idx="30">
                    <c:v>224.82736699837281</c:v>
                  </c:pt>
                  <c:pt idx="31">
                    <c:v>283.87795474913224</c:v>
                  </c:pt>
                  <c:pt idx="32">
                    <c:v>240.81497360004619</c:v>
                  </c:pt>
                  <c:pt idx="33">
                    <c:v>175.44351924130507</c:v>
                  </c:pt>
                  <c:pt idx="34">
                    <c:v>222.20703582515591</c:v>
                  </c:pt>
                  <c:pt idx="35">
                    <c:v>212.00559144625686</c:v>
                  </c:pt>
                  <c:pt idx="36">
                    <c:v>145.76886700091461</c:v>
                  </c:pt>
                  <c:pt idx="37">
                    <c:v>132.98808701170702</c:v>
                  </c:pt>
                  <c:pt idx="38">
                    <c:v>156.06077014933058</c:v>
                  </c:pt>
                  <c:pt idx="39">
                    <c:v>169.28230871143336</c:v>
                  </c:pt>
                  <c:pt idx="40">
                    <c:v>224.86528214719169</c:v>
                  </c:pt>
                  <c:pt idx="41">
                    <c:v>274.32745103438481</c:v>
                  </c:pt>
                  <c:pt idx="42">
                    <c:v>186.95982908348748</c:v>
                  </c:pt>
                  <c:pt idx="43">
                    <c:v>144.63870296250548</c:v>
                  </c:pt>
                  <c:pt idx="44">
                    <c:v>179.27450584416027</c:v>
                  </c:pt>
                  <c:pt idx="45">
                    <c:v>292.6105164591782</c:v>
                  </c:pt>
                  <c:pt idx="46">
                    <c:v>190.270684381146</c:v>
                  </c:pt>
                  <c:pt idx="47">
                    <c:v>184.6177225693524</c:v>
                  </c:pt>
                  <c:pt idx="48">
                    <c:v>327.93393918594359</c:v>
                  </c:pt>
                  <c:pt idx="49">
                    <c:v>241.70005654726344</c:v>
                  </c:pt>
                  <c:pt idx="50">
                    <c:v>279.51920400748429</c:v>
                  </c:pt>
                  <c:pt idx="51">
                    <c:v>543.39891482627763</c:v>
                  </c:pt>
                </c:numCache>
              </c:numRef>
            </c:minus>
          </c:errBars>
          <c:cat>
            <c:strRef>
              <c:f>'Emergency Admissions'!$B$3:$B$54</c:f>
              <c:strCache>
                <c:ptCount val="52"/>
                <c:pt idx="0">
                  <c:v>H85112</c:v>
                </c:pt>
                <c:pt idx="1">
                  <c:v>H85022</c:v>
                </c:pt>
                <c:pt idx="2">
                  <c:v>H85649</c:v>
                </c:pt>
                <c:pt idx="3">
                  <c:v>H85634</c:v>
                </c:pt>
                <c:pt idx="4">
                  <c:v>H85027</c:v>
                </c:pt>
                <c:pt idx="5">
                  <c:v>H85028</c:v>
                </c:pt>
                <c:pt idx="6">
                  <c:v>H85686</c:v>
                </c:pt>
                <c:pt idx="7">
                  <c:v>H85092</c:v>
                </c:pt>
                <c:pt idx="8">
                  <c:v>H85662</c:v>
                </c:pt>
                <c:pt idx="9">
                  <c:v>H85090</c:v>
                </c:pt>
                <c:pt idx="10">
                  <c:v>H85078</c:v>
                </c:pt>
                <c:pt idx="11">
                  <c:v>H85674</c:v>
                </c:pt>
                <c:pt idx="12">
                  <c:v>H85026</c:v>
                </c:pt>
                <c:pt idx="13">
                  <c:v>H85070</c:v>
                </c:pt>
                <c:pt idx="14">
                  <c:v>H85095</c:v>
                </c:pt>
                <c:pt idx="15">
                  <c:v>H85034</c:v>
                </c:pt>
                <c:pt idx="16">
                  <c:v>H85086</c:v>
                </c:pt>
                <c:pt idx="17">
                  <c:v>H85029</c:v>
                </c:pt>
                <c:pt idx="18">
                  <c:v>H85072</c:v>
                </c:pt>
                <c:pt idx="19">
                  <c:v>H85021</c:v>
                </c:pt>
                <c:pt idx="20">
                  <c:v>H85105</c:v>
                </c:pt>
                <c:pt idx="21">
                  <c:v>H85018</c:v>
                </c:pt>
                <c:pt idx="22">
                  <c:v>H85693</c:v>
                </c:pt>
                <c:pt idx="23">
                  <c:v>H85024</c:v>
                </c:pt>
                <c:pt idx="24">
                  <c:v>H85033</c:v>
                </c:pt>
                <c:pt idx="25">
                  <c:v>H85035</c:v>
                </c:pt>
                <c:pt idx="26">
                  <c:v>H85618</c:v>
                </c:pt>
                <c:pt idx="27">
                  <c:v>H85116</c:v>
                </c:pt>
                <c:pt idx="28">
                  <c:v>H85115</c:v>
                </c:pt>
                <c:pt idx="29">
                  <c:v>H85063</c:v>
                </c:pt>
                <c:pt idx="30">
                  <c:v>H85023</c:v>
                </c:pt>
                <c:pt idx="31">
                  <c:v>H85665</c:v>
                </c:pt>
                <c:pt idx="32">
                  <c:v>H85103</c:v>
                </c:pt>
                <c:pt idx="33">
                  <c:v>H85101</c:v>
                </c:pt>
                <c:pt idx="34">
                  <c:v>H85053</c:v>
                </c:pt>
                <c:pt idx="35">
                  <c:v>H85054</c:v>
                </c:pt>
                <c:pt idx="36">
                  <c:v>H85025</c:v>
                </c:pt>
                <c:pt idx="37">
                  <c:v>H85020</c:v>
                </c:pt>
                <c:pt idx="38">
                  <c:v>H85031</c:v>
                </c:pt>
                <c:pt idx="39">
                  <c:v>H85076</c:v>
                </c:pt>
                <c:pt idx="40">
                  <c:v>H85019</c:v>
                </c:pt>
                <c:pt idx="41">
                  <c:v>H85064</c:v>
                </c:pt>
                <c:pt idx="42">
                  <c:v>H85016</c:v>
                </c:pt>
                <c:pt idx="43">
                  <c:v>H85037</c:v>
                </c:pt>
                <c:pt idx="44">
                  <c:v>H85030</c:v>
                </c:pt>
                <c:pt idx="45">
                  <c:v>H85113</c:v>
                </c:pt>
                <c:pt idx="46">
                  <c:v>H85038</c:v>
                </c:pt>
                <c:pt idx="47">
                  <c:v>H85653</c:v>
                </c:pt>
                <c:pt idx="48">
                  <c:v>H85032</c:v>
                </c:pt>
                <c:pt idx="49">
                  <c:v>H85683</c:v>
                </c:pt>
                <c:pt idx="50">
                  <c:v>H85110</c:v>
                </c:pt>
                <c:pt idx="51">
                  <c:v>H85108</c:v>
                </c:pt>
              </c:strCache>
            </c:strRef>
          </c:cat>
          <c:val>
            <c:numRef>
              <c:f>'Emergency Admissions'!$F$3:$F$54</c:f>
              <c:numCache>
                <c:formatCode>0.00</c:formatCode>
                <c:ptCount val="52"/>
                <c:pt idx="0">
                  <c:v>88.417329796640246</c:v>
                </c:pt>
                <c:pt idx="1">
                  <c:v>329.36407398023817</c:v>
                </c:pt>
                <c:pt idx="2">
                  <c:v>345.59368057269774</c:v>
                </c:pt>
                <c:pt idx="3">
                  <c:v>352.79590756747177</c:v>
                </c:pt>
                <c:pt idx="4">
                  <c:v>369.173973234887</c:v>
                </c:pt>
                <c:pt idx="5">
                  <c:v>374.7423646243214</c:v>
                </c:pt>
                <c:pt idx="6">
                  <c:v>398.78020173586702</c:v>
                </c:pt>
                <c:pt idx="7">
                  <c:v>422.58932001536721</c:v>
                </c:pt>
                <c:pt idx="8">
                  <c:v>426.47560559535992</c:v>
                </c:pt>
                <c:pt idx="9">
                  <c:v>431.10084680523482</c:v>
                </c:pt>
                <c:pt idx="10">
                  <c:v>435.96730245231566</c:v>
                </c:pt>
                <c:pt idx="11">
                  <c:v>445.96012591815276</c:v>
                </c:pt>
                <c:pt idx="12">
                  <c:v>484.73097430925839</c:v>
                </c:pt>
                <c:pt idx="13">
                  <c:v>485.18896833503572</c:v>
                </c:pt>
                <c:pt idx="14">
                  <c:v>503.87120560403133</c:v>
                </c:pt>
                <c:pt idx="15">
                  <c:v>510.32806804374241</c:v>
                </c:pt>
                <c:pt idx="16">
                  <c:v>527.70448548812749</c:v>
                </c:pt>
                <c:pt idx="17">
                  <c:v>529.17830368954947</c:v>
                </c:pt>
                <c:pt idx="18">
                  <c:v>551.69959067449804</c:v>
                </c:pt>
                <c:pt idx="19">
                  <c:v>566.94286960313946</c:v>
                </c:pt>
                <c:pt idx="20">
                  <c:v>577.68580789791338</c:v>
                </c:pt>
                <c:pt idx="21">
                  <c:v>606.1312507285229</c:v>
                </c:pt>
                <c:pt idx="22">
                  <c:v>606.1872909699</c:v>
                </c:pt>
                <c:pt idx="23">
                  <c:v>612.95971978984244</c:v>
                </c:pt>
                <c:pt idx="24">
                  <c:v>617.87578566102127</c:v>
                </c:pt>
                <c:pt idx="25">
                  <c:v>633.16993464052302</c:v>
                </c:pt>
                <c:pt idx="26">
                  <c:v>637.25490196078454</c:v>
                </c:pt>
                <c:pt idx="27">
                  <c:v>638.80755922278331</c:v>
                </c:pt>
                <c:pt idx="28">
                  <c:v>651.70166545981169</c:v>
                </c:pt>
                <c:pt idx="29">
                  <c:v>658.26593943953344</c:v>
                </c:pt>
                <c:pt idx="30">
                  <c:v>659.01879423968876</c:v>
                </c:pt>
                <c:pt idx="31">
                  <c:v>679.45643485211826</c:v>
                </c:pt>
                <c:pt idx="32">
                  <c:v>682.12824010914051</c:v>
                </c:pt>
                <c:pt idx="33">
                  <c:v>686.68372155648422</c:v>
                </c:pt>
                <c:pt idx="34">
                  <c:v>712.74298056155578</c:v>
                </c:pt>
                <c:pt idx="35">
                  <c:v>716.22144792876554</c:v>
                </c:pt>
                <c:pt idx="36">
                  <c:v>736.21684932652954</c:v>
                </c:pt>
                <c:pt idx="37">
                  <c:v>765.62603128506339</c:v>
                </c:pt>
                <c:pt idx="38">
                  <c:v>775.40594781974096</c:v>
                </c:pt>
                <c:pt idx="39">
                  <c:v>783.00976080660803</c:v>
                </c:pt>
                <c:pt idx="40">
                  <c:v>804.90609428899938</c:v>
                </c:pt>
                <c:pt idx="41">
                  <c:v>817.27962638645658</c:v>
                </c:pt>
                <c:pt idx="42">
                  <c:v>836.51125599704756</c:v>
                </c:pt>
                <c:pt idx="43">
                  <c:v>849.59977531245693</c:v>
                </c:pt>
                <c:pt idx="44">
                  <c:v>860.56644880174247</c:v>
                </c:pt>
                <c:pt idx="45">
                  <c:v>938.56655290102321</c:v>
                </c:pt>
                <c:pt idx="46">
                  <c:v>940.12311135982156</c:v>
                </c:pt>
                <c:pt idx="47">
                  <c:v>1049.6980956804459</c:v>
                </c:pt>
                <c:pt idx="48">
                  <c:v>1066.1649419880828</c:v>
                </c:pt>
                <c:pt idx="49">
                  <c:v>1103.5125893689781</c:v>
                </c:pt>
                <c:pt idx="50">
                  <c:v>1123.3617640940295</c:v>
                </c:pt>
                <c:pt idx="51">
                  <c:v>1858.1907090464547</c:v>
                </c:pt>
              </c:numCache>
            </c:numRef>
          </c:val>
        </c:ser>
        <c:axId val="106904960"/>
        <c:axId val="106914944"/>
      </c:barChart>
      <c:lineChart>
        <c:grouping val="standard"/>
        <c:ser>
          <c:idx val="1"/>
          <c:order val="1"/>
          <c:tx>
            <c:strRef>
              <c:f>'Emergency Admissions'!$K$1</c:f>
              <c:strCache>
                <c:ptCount val="1"/>
                <c:pt idx="0">
                  <c:v>PCT Average</c:v>
                </c:pt>
              </c:strCache>
            </c:strRef>
          </c:tx>
          <c:spPr>
            <a:ln w="19050">
              <a:solidFill>
                <a:srgbClr val="FF0000"/>
              </a:solidFill>
              <a:prstDash val="dash"/>
            </a:ln>
          </c:spPr>
          <c:marker>
            <c:symbol val="none"/>
          </c:marker>
          <c:val>
            <c:numRef>
              <c:f>'Emergency Admissions'!$K$3:$K$54</c:f>
              <c:numCache>
                <c:formatCode>0.00</c:formatCode>
                <c:ptCount val="52"/>
                <c:pt idx="0">
                  <c:v>634.87252909179199</c:v>
                </c:pt>
                <c:pt idx="1">
                  <c:v>634.87252909179199</c:v>
                </c:pt>
                <c:pt idx="2">
                  <c:v>634.87252909179199</c:v>
                </c:pt>
                <c:pt idx="3">
                  <c:v>634.87252909179199</c:v>
                </c:pt>
                <c:pt idx="4">
                  <c:v>634.87252909179199</c:v>
                </c:pt>
                <c:pt idx="5">
                  <c:v>634.87252909179199</c:v>
                </c:pt>
                <c:pt idx="6">
                  <c:v>634.87252909179199</c:v>
                </c:pt>
                <c:pt idx="7">
                  <c:v>634.87252909179199</c:v>
                </c:pt>
                <c:pt idx="8">
                  <c:v>634.87252909179199</c:v>
                </c:pt>
                <c:pt idx="9">
                  <c:v>634.87252909179199</c:v>
                </c:pt>
                <c:pt idx="10">
                  <c:v>634.87252909179199</c:v>
                </c:pt>
                <c:pt idx="11">
                  <c:v>634.87252909179199</c:v>
                </c:pt>
                <c:pt idx="12">
                  <c:v>634.87252909179199</c:v>
                </c:pt>
                <c:pt idx="13">
                  <c:v>634.87252909179199</c:v>
                </c:pt>
                <c:pt idx="14">
                  <c:v>634.87252909179199</c:v>
                </c:pt>
                <c:pt idx="15">
                  <c:v>634.87252909179199</c:v>
                </c:pt>
                <c:pt idx="16">
                  <c:v>634.87252909179199</c:v>
                </c:pt>
                <c:pt idx="17">
                  <c:v>634.87252909179199</c:v>
                </c:pt>
                <c:pt idx="18">
                  <c:v>634.87252909179199</c:v>
                </c:pt>
                <c:pt idx="19">
                  <c:v>634.87252909179199</c:v>
                </c:pt>
                <c:pt idx="20">
                  <c:v>634.87252909179199</c:v>
                </c:pt>
                <c:pt idx="21">
                  <c:v>634.87252909179199</c:v>
                </c:pt>
                <c:pt idx="22">
                  <c:v>634.87252909179199</c:v>
                </c:pt>
                <c:pt idx="23">
                  <c:v>634.87252909179199</c:v>
                </c:pt>
                <c:pt idx="24">
                  <c:v>634.87252909179199</c:v>
                </c:pt>
                <c:pt idx="25">
                  <c:v>634.87252909179199</c:v>
                </c:pt>
                <c:pt idx="26">
                  <c:v>634.87252909179199</c:v>
                </c:pt>
                <c:pt idx="27">
                  <c:v>634.87252909179199</c:v>
                </c:pt>
                <c:pt idx="28">
                  <c:v>634.87252909179199</c:v>
                </c:pt>
                <c:pt idx="29">
                  <c:v>634.87252909179199</c:v>
                </c:pt>
                <c:pt idx="30">
                  <c:v>634.87252909179199</c:v>
                </c:pt>
                <c:pt idx="31">
                  <c:v>634.87252909179199</c:v>
                </c:pt>
                <c:pt idx="32">
                  <c:v>634.87252909179199</c:v>
                </c:pt>
                <c:pt idx="33">
                  <c:v>634.87252909179199</c:v>
                </c:pt>
                <c:pt idx="34">
                  <c:v>634.87252909179199</c:v>
                </c:pt>
                <c:pt idx="35">
                  <c:v>634.87252909179199</c:v>
                </c:pt>
                <c:pt idx="36">
                  <c:v>634.87252909179199</c:v>
                </c:pt>
                <c:pt idx="37">
                  <c:v>634.87252909179199</c:v>
                </c:pt>
                <c:pt idx="38">
                  <c:v>634.87252909179199</c:v>
                </c:pt>
                <c:pt idx="39">
                  <c:v>634.87252909179199</c:v>
                </c:pt>
                <c:pt idx="40">
                  <c:v>634.87252909179199</c:v>
                </c:pt>
                <c:pt idx="41">
                  <c:v>634.87252909179199</c:v>
                </c:pt>
                <c:pt idx="42">
                  <c:v>634.87252909179199</c:v>
                </c:pt>
                <c:pt idx="43">
                  <c:v>634.87252909179199</c:v>
                </c:pt>
                <c:pt idx="44">
                  <c:v>634.87252909179199</c:v>
                </c:pt>
                <c:pt idx="45">
                  <c:v>634.87252909179199</c:v>
                </c:pt>
                <c:pt idx="46">
                  <c:v>634.87252909179199</c:v>
                </c:pt>
                <c:pt idx="47">
                  <c:v>634.87252909179199</c:v>
                </c:pt>
                <c:pt idx="48">
                  <c:v>634.87252909179199</c:v>
                </c:pt>
                <c:pt idx="49">
                  <c:v>634.87252909179199</c:v>
                </c:pt>
                <c:pt idx="50">
                  <c:v>634.87252909179199</c:v>
                </c:pt>
                <c:pt idx="51">
                  <c:v>634.87252909179199</c:v>
                </c:pt>
              </c:numCache>
            </c:numRef>
          </c:val>
        </c:ser>
        <c:ser>
          <c:idx val="2"/>
          <c:order val="2"/>
          <c:tx>
            <c:strRef>
              <c:f>'Emergency Admissions'!$L$1</c:f>
              <c:strCache>
                <c:ptCount val="1"/>
                <c:pt idx="0">
                  <c:v>England Average</c:v>
                </c:pt>
              </c:strCache>
            </c:strRef>
          </c:tx>
          <c:spPr>
            <a:ln w="19050">
              <a:solidFill>
                <a:srgbClr val="7030A0"/>
              </a:solidFill>
              <a:prstDash val="lgDashDotDot"/>
            </a:ln>
          </c:spPr>
          <c:marker>
            <c:symbol val="none"/>
          </c:marker>
          <c:val>
            <c:numRef>
              <c:f>'Emergency Admissions'!$L$3:$L$54</c:f>
              <c:numCache>
                <c:formatCode>0.00</c:formatCode>
                <c:ptCount val="52"/>
                <c:pt idx="0">
                  <c:v>691.17811471455059</c:v>
                </c:pt>
                <c:pt idx="1">
                  <c:v>691.17811471455059</c:v>
                </c:pt>
                <c:pt idx="2">
                  <c:v>691.17811471455059</c:v>
                </c:pt>
                <c:pt idx="3">
                  <c:v>691.17811471455059</c:v>
                </c:pt>
                <c:pt idx="4">
                  <c:v>691.17811471455059</c:v>
                </c:pt>
                <c:pt idx="5">
                  <c:v>691.17811471455059</c:v>
                </c:pt>
                <c:pt idx="6">
                  <c:v>691.17811471455059</c:v>
                </c:pt>
                <c:pt idx="7">
                  <c:v>691.17811471455059</c:v>
                </c:pt>
                <c:pt idx="8">
                  <c:v>691.17811471455059</c:v>
                </c:pt>
                <c:pt idx="9">
                  <c:v>691.17811471455059</c:v>
                </c:pt>
                <c:pt idx="10">
                  <c:v>691.17811471455059</c:v>
                </c:pt>
                <c:pt idx="11">
                  <c:v>691.17811471455059</c:v>
                </c:pt>
                <c:pt idx="12">
                  <c:v>691.17811471455059</c:v>
                </c:pt>
                <c:pt idx="13">
                  <c:v>691.17811471455059</c:v>
                </c:pt>
                <c:pt idx="14">
                  <c:v>691.17811471455059</c:v>
                </c:pt>
                <c:pt idx="15">
                  <c:v>691.17811471455059</c:v>
                </c:pt>
                <c:pt idx="16">
                  <c:v>691.17811471455059</c:v>
                </c:pt>
                <c:pt idx="17">
                  <c:v>691.17811471455059</c:v>
                </c:pt>
                <c:pt idx="18">
                  <c:v>691.17811471455059</c:v>
                </c:pt>
                <c:pt idx="19">
                  <c:v>691.17811471455059</c:v>
                </c:pt>
                <c:pt idx="20">
                  <c:v>691.17811471455059</c:v>
                </c:pt>
                <c:pt idx="21">
                  <c:v>691.17811471455059</c:v>
                </c:pt>
                <c:pt idx="22">
                  <c:v>691.17811471455059</c:v>
                </c:pt>
                <c:pt idx="23">
                  <c:v>691.17811471455059</c:v>
                </c:pt>
                <c:pt idx="24">
                  <c:v>691.17811471455059</c:v>
                </c:pt>
                <c:pt idx="25">
                  <c:v>691.17811471455059</c:v>
                </c:pt>
                <c:pt idx="26">
                  <c:v>691.17811471455059</c:v>
                </c:pt>
                <c:pt idx="27">
                  <c:v>691.17811471455059</c:v>
                </c:pt>
                <c:pt idx="28">
                  <c:v>691.17811471455059</c:v>
                </c:pt>
                <c:pt idx="29">
                  <c:v>691.17811471455059</c:v>
                </c:pt>
                <c:pt idx="30">
                  <c:v>691.17811471455059</c:v>
                </c:pt>
                <c:pt idx="31">
                  <c:v>691.17811471455059</c:v>
                </c:pt>
                <c:pt idx="32">
                  <c:v>691.17811471455059</c:v>
                </c:pt>
                <c:pt idx="33">
                  <c:v>691.17811471455059</c:v>
                </c:pt>
                <c:pt idx="34">
                  <c:v>691.17811471455059</c:v>
                </c:pt>
                <c:pt idx="35">
                  <c:v>691.17811471455059</c:v>
                </c:pt>
                <c:pt idx="36">
                  <c:v>691.17811471455059</c:v>
                </c:pt>
                <c:pt idx="37">
                  <c:v>691.17811471455059</c:v>
                </c:pt>
                <c:pt idx="38">
                  <c:v>691.17811471455059</c:v>
                </c:pt>
                <c:pt idx="39">
                  <c:v>691.17811471455059</c:v>
                </c:pt>
                <c:pt idx="40">
                  <c:v>691.17811471455059</c:v>
                </c:pt>
                <c:pt idx="41">
                  <c:v>691.17811471455059</c:v>
                </c:pt>
                <c:pt idx="42">
                  <c:v>691.17811471455059</c:v>
                </c:pt>
                <c:pt idx="43">
                  <c:v>691.17811471455059</c:v>
                </c:pt>
                <c:pt idx="44">
                  <c:v>691.17811471455059</c:v>
                </c:pt>
                <c:pt idx="45">
                  <c:v>691.17811471455059</c:v>
                </c:pt>
                <c:pt idx="46">
                  <c:v>691.17811471455059</c:v>
                </c:pt>
                <c:pt idx="47">
                  <c:v>691.17811471455059</c:v>
                </c:pt>
                <c:pt idx="48">
                  <c:v>691.17811471455059</c:v>
                </c:pt>
                <c:pt idx="49">
                  <c:v>691.17811471455059</c:v>
                </c:pt>
                <c:pt idx="50">
                  <c:v>691.17811471455059</c:v>
                </c:pt>
                <c:pt idx="51">
                  <c:v>691.17811471455059</c:v>
                </c:pt>
              </c:numCache>
            </c:numRef>
          </c:val>
        </c:ser>
        <c:marker val="1"/>
        <c:axId val="106904960"/>
        <c:axId val="106914944"/>
      </c:lineChart>
      <c:catAx>
        <c:axId val="106904960"/>
        <c:scaling>
          <c:orientation val="minMax"/>
        </c:scaling>
        <c:axPos val="b"/>
        <c:numFmt formatCode="General" sourceLinked="1"/>
        <c:tickLblPos val="nextTo"/>
        <c:txPr>
          <a:bodyPr rot="-5400000" vert="horz"/>
          <a:lstStyle/>
          <a:p>
            <a:pPr>
              <a:defRPr sz="600" b="0" i="0" u="none" strike="noStrike" baseline="0">
                <a:solidFill>
                  <a:srgbClr val="000000"/>
                </a:solidFill>
                <a:latin typeface="Calibri"/>
                <a:ea typeface="Calibri"/>
                <a:cs typeface="Calibri"/>
              </a:defRPr>
            </a:pPr>
            <a:endParaRPr lang="en-US"/>
          </a:p>
        </c:txPr>
        <c:crossAx val="106914944"/>
        <c:crosses val="autoZero"/>
        <c:auto val="1"/>
        <c:lblAlgn val="ctr"/>
        <c:lblOffset val="100"/>
      </c:catAx>
      <c:valAx>
        <c:axId val="106914944"/>
        <c:scaling>
          <c:orientation val="minMax"/>
          <c:max val="2600"/>
          <c:min val="0"/>
        </c:scaling>
        <c:axPos val="l"/>
        <c:majorGridlines/>
        <c:numFmt formatCode="0.00" sourceLinked="1"/>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06904960"/>
        <c:crosses val="autoZero"/>
        <c:crossBetween val="between"/>
      </c:valAx>
    </c:plotArea>
    <c:legend>
      <c:legendPos val="r"/>
      <c:legendEntry>
        <c:idx val="0"/>
        <c:delete val="1"/>
      </c:legendEntry>
      <c:layout>
        <c:manualLayout>
          <c:xMode val="edge"/>
          <c:yMode val="edge"/>
          <c:x val="0.13021312774774629"/>
          <c:y val="8.1033070866141699E-2"/>
          <c:w val="0.32661790316962847"/>
          <c:h val="8.4485039370078757E-2"/>
        </c:manualLayout>
      </c:layout>
      <c:txPr>
        <a:bodyPr/>
        <a:lstStyle/>
        <a:p>
          <a:pPr>
            <a:defRPr sz="550" b="0" i="0" u="none" strike="noStrike" baseline="0">
              <a:solidFill>
                <a:srgbClr val="000000"/>
              </a:solidFill>
              <a:latin typeface="Calibri"/>
              <a:ea typeface="Calibri"/>
              <a:cs typeface="Calibri"/>
            </a:defRPr>
          </a:pPr>
          <a:endParaRPr lang="en-US"/>
        </a:p>
      </c:txPr>
    </c:legend>
    <c:plotVisOnly val="1"/>
    <c:dispBlanksAs val="gap"/>
  </c:chart>
  <c:spPr>
    <a:ln>
      <a:solidFill>
        <a:schemeClr val="bg1"/>
      </a:solidFill>
    </a:ln>
  </c:spPr>
  <c:txPr>
    <a:bodyPr/>
    <a:lstStyle/>
    <a:p>
      <a:pPr>
        <a:defRPr sz="1000" b="0" i="0" u="none" strike="noStrike" baseline="0">
          <a:solidFill>
            <a:srgbClr val="000000"/>
          </a:solidFill>
          <a:latin typeface="Calibri"/>
          <a:ea typeface="Calibri"/>
          <a:cs typeface="Calibri"/>
        </a:defRPr>
      </a:pPr>
      <a:endParaRPr lang="en-US"/>
    </a:p>
  </c:tx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288461982405163"/>
          <c:y val="5.0925925925925999E-2"/>
          <c:w val="0.84311046205266349"/>
          <c:h val="0.79372703412073564"/>
        </c:manualLayout>
      </c:layout>
      <c:barChart>
        <c:barDir val="col"/>
        <c:grouping val="clustered"/>
        <c:ser>
          <c:idx val="0"/>
          <c:order val="0"/>
          <c:spPr>
            <a:solidFill>
              <a:schemeClr val="bg1">
                <a:lumMod val="75000"/>
              </a:schemeClr>
            </a:solidFill>
            <a:ln>
              <a:solidFill>
                <a:schemeClr val="tx1"/>
              </a:solidFill>
            </a:ln>
          </c:spPr>
          <c:errBars>
            <c:errBarType val="both"/>
            <c:errValType val="cust"/>
            <c:plus>
              <c:numRef>
                <c:f>(London!$G$17,London!$G$18,London!$G$19,London!$G$24,London!$G$28,London!$G$33,London!$K$7,London!$G$7)</c:f>
                <c:numCache>
                  <c:formatCode>General</c:formatCode>
                  <c:ptCount val="8"/>
                  <c:pt idx="0">
                    <c:v>3.6457599999999988</c:v>
                  </c:pt>
                  <c:pt idx="1">
                    <c:v>2.3567599999999276</c:v>
                  </c:pt>
                  <c:pt idx="2">
                    <c:v>3.2606800000000011</c:v>
                  </c:pt>
                  <c:pt idx="3">
                    <c:v>2.4424300000000017</c:v>
                  </c:pt>
                  <c:pt idx="4">
                    <c:v>3.4991899999999987</c:v>
                  </c:pt>
                  <c:pt idx="5">
                    <c:v>3.6197000000000017</c:v>
                  </c:pt>
                  <c:pt idx="6">
                    <c:v>1.7465530000000009</c:v>
                  </c:pt>
                  <c:pt idx="7">
                    <c:v>0.68641099999999156</c:v>
                  </c:pt>
                </c:numCache>
              </c:numRef>
            </c:plus>
            <c:minus>
              <c:numRef>
                <c:f>(London!$F$17,London!$F$18,London!$F$19,London!$F$24,London!$F$28,London!$F$33,London!$L$7,London!$H$7)</c:f>
                <c:numCache>
                  <c:formatCode>General</c:formatCode>
                  <c:ptCount val="8"/>
                  <c:pt idx="0">
                    <c:v>3.1822000000000017</c:v>
                  </c:pt>
                  <c:pt idx="1">
                    <c:v>2.1735299999999995</c:v>
                  </c:pt>
                  <c:pt idx="2">
                    <c:v>2.935570000000002</c:v>
                  </c:pt>
                  <c:pt idx="3">
                    <c:v>2.2721899999999984</c:v>
                  </c:pt>
                  <c:pt idx="4">
                    <c:v>3.1788399999999997</c:v>
                  </c:pt>
                  <c:pt idx="5">
                    <c:v>3.3020999999999967</c:v>
                  </c:pt>
                  <c:pt idx="6">
                    <c:v>1.7465470000000021</c:v>
                  </c:pt>
                  <c:pt idx="7">
                    <c:v>0.68640900000000271</c:v>
                  </c:pt>
                </c:numCache>
              </c:numRef>
            </c:minus>
          </c:errBars>
          <c:cat>
            <c:strRef>
              <c:f>(London!$A$17,London!$A$18,London!$A$19,London!$A$24,London!$A$28,London!$A$33,London!$J$6,London!$F$6)</c:f>
              <c:strCache>
                <c:ptCount val="8"/>
                <c:pt idx="0">
                  <c:v>Richmond upon Thames</c:v>
                </c:pt>
                <c:pt idx="1">
                  <c:v>Merton</c:v>
                </c:pt>
                <c:pt idx="2">
                  <c:v>Kingston upon Thames</c:v>
                </c:pt>
                <c:pt idx="3">
                  <c:v>Croydon</c:v>
                </c:pt>
                <c:pt idx="4">
                  <c:v>Wandsworth</c:v>
                </c:pt>
                <c:pt idx="5">
                  <c:v>Sutton</c:v>
                </c:pt>
                <c:pt idx="6">
                  <c:v>London</c:v>
                </c:pt>
                <c:pt idx="7">
                  <c:v>England</c:v>
                </c:pt>
              </c:strCache>
            </c:strRef>
          </c:cat>
          <c:val>
            <c:numRef>
              <c:f>(London!$E$17,London!$E$18,London!$E$19,London!$E$24,London!$E$28,London!$E$33,London!$M$6,London!$I$6)</c:f>
              <c:numCache>
                <c:formatCode>0.0</c:formatCode>
                <c:ptCount val="8"/>
                <c:pt idx="0">
                  <c:v>19.316410000000001</c:v>
                </c:pt>
                <c:pt idx="1">
                  <c:v>20.915739999999431</c:v>
                </c:pt>
                <c:pt idx="2">
                  <c:v>21.683820000000001</c:v>
                </c:pt>
                <c:pt idx="3">
                  <c:v>23.224229999999789</c:v>
                </c:pt>
                <c:pt idx="4">
                  <c:v>24.192550000000001</c:v>
                </c:pt>
                <c:pt idx="5">
                  <c:v>25.442049999999277</c:v>
                </c:pt>
                <c:pt idx="6">
                  <c:v>23.306587</c:v>
                </c:pt>
                <c:pt idx="7">
                  <c:v>24.054879000000035</c:v>
                </c:pt>
              </c:numCache>
            </c:numRef>
          </c:val>
        </c:ser>
        <c:axId val="106343040"/>
        <c:axId val="106361216"/>
      </c:barChart>
      <c:catAx>
        <c:axId val="106343040"/>
        <c:scaling>
          <c:orientation val="minMax"/>
        </c:scaling>
        <c:axPos val="b"/>
        <c:tickLblPos val="nextTo"/>
        <c:txPr>
          <a:bodyPr/>
          <a:lstStyle/>
          <a:p>
            <a:pPr>
              <a:defRPr sz="600"/>
            </a:pPr>
            <a:endParaRPr lang="en-US"/>
          </a:p>
        </c:txPr>
        <c:crossAx val="106361216"/>
        <c:crosses val="autoZero"/>
        <c:auto val="1"/>
        <c:lblAlgn val="ctr"/>
        <c:lblOffset val="100"/>
      </c:catAx>
      <c:valAx>
        <c:axId val="106361216"/>
        <c:scaling>
          <c:orientation val="minMax"/>
          <c:max val="30"/>
        </c:scaling>
        <c:axPos val="l"/>
        <c:majorGridlines/>
        <c:numFmt formatCode="0.0" sourceLinked="1"/>
        <c:tickLblPos val="nextTo"/>
        <c:txPr>
          <a:bodyPr/>
          <a:lstStyle/>
          <a:p>
            <a:pPr>
              <a:defRPr sz="600"/>
            </a:pPr>
            <a:endParaRPr lang="en-US"/>
          </a:p>
        </c:txPr>
        <c:crossAx val="106343040"/>
        <c:crosses val="autoZero"/>
        <c:crossBetween val="between"/>
      </c:valAx>
    </c:plotArea>
    <c:plotVisOnly val="1"/>
  </c:chart>
  <c:spPr>
    <a:ln>
      <a:solidFill>
        <a:schemeClr val="bg1"/>
      </a:solidFill>
    </a:ln>
  </c:spPr>
  <c:externalData r:id="rId1"/>
  <c:userShapes r:id="rId2"/>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9.7834714234388359E-2"/>
          <c:y val="5.1400554097404488E-2"/>
          <c:w val="0.88595649681720756"/>
          <c:h val="0.7584521697633636"/>
        </c:manualLayout>
      </c:layout>
      <c:barChart>
        <c:barDir val="col"/>
        <c:grouping val="clustered"/>
        <c:ser>
          <c:idx val="0"/>
          <c:order val="0"/>
          <c:spPr>
            <a:solidFill>
              <a:schemeClr val="bg1">
                <a:lumMod val="50000"/>
              </a:schemeClr>
            </a:solidFill>
            <a:ln>
              <a:solidFill>
                <a:schemeClr val="tx1"/>
              </a:solidFill>
            </a:ln>
          </c:spPr>
          <c:errBars>
            <c:errBarType val="both"/>
            <c:errValType val="cust"/>
            <c:plus>
              <c:numRef>
                <c:f>'Emergency Admissions'!$J$4:$J$46</c:f>
                <c:numCache>
                  <c:formatCode>General</c:formatCode>
                  <c:ptCount val="43"/>
                  <c:pt idx="0">
                    <c:v>107.0623550874104</c:v>
                  </c:pt>
                  <c:pt idx="1">
                    <c:v>87.781499874415175</c:v>
                  </c:pt>
                  <c:pt idx="2">
                    <c:v>268.55825895850535</c:v>
                  </c:pt>
                  <c:pt idx="3">
                    <c:v>135.32983512404272</c:v>
                  </c:pt>
                  <c:pt idx="4">
                    <c:v>204.37474120921851</c:v>
                  </c:pt>
                  <c:pt idx="5">
                    <c:v>90.376126248242713</c:v>
                  </c:pt>
                  <c:pt idx="6">
                    <c:v>155.47456302245979</c:v>
                  </c:pt>
                  <c:pt idx="7">
                    <c:v>118.75053859878503</c:v>
                  </c:pt>
                  <c:pt idx="8">
                    <c:v>163.0316828795261</c:v>
                  </c:pt>
                  <c:pt idx="9">
                    <c:v>130.77010982223624</c:v>
                  </c:pt>
                  <c:pt idx="10">
                    <c:v>170.88591048323457</c:v>
                  </c:pt>
                  <c:pt idx="11">
                    <c:v>146.2665428326174</c:v>
                  </c:pt>
                  <c:pt idx="12">
                    <c:v>202.58296764350661</c:v>
                  </c:pt>
                  <c:pt idx="13">
                    <c:v>119.21258899043085</c:v>
                  </c:pt>
                  <c:pt idx="14">
                    <c:v>298.60421731134232</c:v>
                  </c:pt>
                  <c:pt idx="15">
                    <c:v>233.55371840984674</c:v>
                  </c:pt>
                  <c:pt idx="16">
                    <c:v>237.7922456401792</c:v>
                  </c:pt>
                  <c:pt idx="17">
                    <c:v>136.77312919114473</c:v>
                  </c:pt>
                  <c:pt idx="18">
                    <c:v>226.54544220907343</c:v>
                  </c:pt>
                  <c:pt idx="19">
                    <c:v>134.97919339204094</c:v>
                  </c:pt>
                  <c:pt idx="20">
                    <c:v>407.78138088136751</c:v>
                  </c:pt>
                  <c:pt idx="21">
                    <c:v>125.00722095980228</c:v>
                  </c:pt>
                  <c:pt idx="22">
                    <c:v>217.79189030484108</c:v>
                  </c:pt>
                  <c:pt idx="23">
                    <c:v>138.51016004967562</c:v>
                  </c:pt>
                  <c:pt idx="24">
                    <c:v>261.64637858468865</c:v>
                  </c:pt>
                  <c:pt idx="25">
                    <c:v>160.97391009003098</c:v>
                  </c:pt>
                  <c:pt idx="26">
                    <c:v>352.49753460299218</c:v>
                  </c:pt>
                  <c:pt idx="27">
                    <c:v>183.95906156099306</c:v>
                  </c:pt>
                  <c:pt idx="28">
                    <c:v>160.16631896378141</c:v>
                  </c:pt>
                  <c:pt idx="29">
                    <c:v>154.71016695938954</c:v>
                  </c:pt>
                  <c:pt idx="30">
                    <c:v>184.85092743868481</c:v>
                  </c:pt>
                  <c:pt idx="31">
                    <c:v>294.1482412660103</c:v>
                  </c:pt>
                  <c:pt idx="32">
                    <c:v>255.62836726150238</c:v>
                  </c:pt>
                  <c:pt idx="33">
                    <c:v>152.03132414606443</c:v>
                  </c:pt>
                  <c:pt idx="34">
                    <c:v>418.66722044211525</c:v>
                  </c:pt>
                  <c:pt idx="35">
                    <c:v>266.74577037082634</c:v>
                  </c:pt>
                  <c:pt idx="36">
                    <c:v>157.4872276094344</c:v>
                  </c:pt>
                  <c:pt idx="37">
                    <c:v>217.75526106185961</c:v>
                  </c:pt>
                  <c:pt idx="38">
                    <c:v>431.86138561643168</c:v>
                  </c:pt>
                  <c:pt idx="39">
                    <c:v>341.16688036652147</c:v>
                  </c:pt>
                  <c:pt idx="40">
                    <c:v>173.27629604074662</c:v>
                  </c:pt>
                  <c:pt idx="41">
                    <c:v>368.15515471316871</c:v>
                  </c:pt>
                  <c:pt idx="42">
                    <c:v>280.63701006541726</c:v>
                  </c:pt>
                </c:numCache>
              </c:numRef>
            </c:plus>
            <c:minus>
              <c:numRef>
                <c:f>'Emergency Admissions'!$I$4:$I$46</c:f>
                <c:numCache>
                  <c:formatCode>General</c:formatCode>
                  <c:ptCount val="43"/>
                  <c:pt idx="0">
                    <c:v>73.564124593632826</c:v>
                  </c:pt>
                  <c:pt idx="1">
                    <c:v>65.068333695382663</c:v>
                  </c:pt>
                  <c:pt idx="2">
                    <c:v>136.47563989873242</c:v>
                  </c:pt>
                  <c:pt idx="3">
                    <c:v>92.987127400409221</c:v>
                  </c:pt>
                  <c:pt idx="4">
                    <c:v>126.95128554472477</c:v>
                  </c:pt>
                  <c:pt idx="5">
                    <c:v>71.576721407291359</c:v>
                  </c:pt>
                  <c:pt idx="6">
                    <c:v>109.17442363218723</c:v>
                  </c:pt>
                  <c:pt idx="7">
                    <c:v>90.37501281315518</c:v>
                  </c:pt>
                  <c:pt idx="8">
                    <c:v>117.55834563507835</c:v>
                  </c:pt>
                  <c:pt idx="9">
                    <c:v>99.969966852441289</c:v>
                  </c:pt>
                  <c:pt idx="10">
                    <c:v>123.22184604815817</c:v>
                  </c:pt>
                  <c:pt idx="11">
                    <c:v>110.79215232666314</c:v>
                  </c:pt>
                  <c:pt idx="12">
                    <c:v>140.78545942167085</c:v>
                  </c:pt>
                  <c:pt idx="13">
                    <c:v>95.188859533792026</c:v>
                  </c:pt>
                  <c:pt idx="14">
                    <c:v>189.6968672974283</c:v>
                  </c:pt>
                  <c:pt idx="15">
                    <c:v>162.30864780217789</c:v>
                  </c:pt>
                  <c:pt idx="16">
                    <c:v>165.25422121506037</c:v>
                  </c:pt>
                  <c:pt idx="17">
                    <c:v>109.21059841774064</c:v>
                  </c:pt>
                  <c:pt idx="18">
                    <c:v>160.60563241332878</c:v>
                  </c:pt>
                  <c:pt idx="19">
                    <c:v>108.82499711848358</c:v>
                  </c:pt>
                  <c:pt idx="20">
                    <c:v>239.25249140442693</c:v>
                  </c:pt>
                  <c:pt idx="21">
                    <c:v>103.60548624036385</c:v>
                  </c:pt>
                  <c:pt idx="22">
                    <c:v>161.43897535104634</c:v>
                  </c:pt>
                  <c:pt idx="23">
                    <c:v>113.48543642723881</c:v>
                  </c:pt>
                  <c:pt idx="24">
                    <c:v>185.48985886226819</c:v>
                  </c:pt>
                  <c:pt idx="25">
                    <c:v>128.86100571256441</c:v>
                  </c:pt>
                  <c:pt idx="26">
                    <c:v>232.33464325068621</c:v>
                  </c:pt>
                  <c:pt idx="27">
                    <c:v>147.26081803834575</c:v>
                  </c:pt>
                  <c:pt idx="28">
                    <c:v>131.90979082540309</c:v>
                  </c:pt>
                  <c:pt idx="29">
                    <c:v>128.22316943842571</c:v>
                  </c:pt>
                  <c:pt idx="30">
                    <c:v>148.33832138239291</c:v>
                  </c:pt>
                  <c:pt idx="31">
                    <c:v>213.72252143613125</c:v>
                  </c:pt>
                  <c:pt idx="32">
                    <c:v>192.67032538823364</c:v>
                  </c:pt>
                  <c:pt idx="33">
                    <c:v>127.39396770910896</c:v>
                  </c:pt>
                  <c:pt idx="34">
                    <c:v>280.21876264913095</c:v>
                  </c:pt>
                  <c:pt idx="35">
                    <c:v>206.43137229845513</c:v>
                  </c:pt>
                  <c:pt idx="36">
                    <c:v>134.49973970419418</c:v>
                  </c:pt>
                  <c:pt idx="37">
                    <c:v>176.70450466574067</c:v>
                  </c:pt>
                  <c:pt idx="38">
                    <c:v>296.73833302777609</c:v>
                  </c:pt>
                  <c:pt idx="39">
                    <c:v>254.38190715933504</c:v>
                  </c:pt>
                  <c:pt idx="40">
                    <c:v>149.32068894379395</c:v>
                  </c:pt>
                  <c:pt idx="41">
                    <c:v>276.03168192757903</c:v>
                  </c:pt>
                  <c:pt idx="42">
                    <c:v>225.20429606546679</c:v>
                  </c:pt>
                </c:numCache>
              </c:numRef>
            </c:minus>
          </c:errBars>
          <c:cat>
            <c:strRef>
              <c:f>'Emergency Admissions'!$B$4:$B$46</c:f>
              <c:strCache>
                <c:ptCount val="43"/>
                <c:pt idx="0">
                  <c:v>Y01132</c:v>
                </c:pt>
                <c:pt idx="1">
                  <c:v>H85012</c:v>
                </c:pt>
                <c:pt idx="2">
                  <c:v>H85107</c:v>
                </c:pt>
                <c:pt idx="3">
                  <c:v>H85049</c:v>
                </c:pt>
                <c:pt idx="4">
                  <c:v>H85680</c:v>
                </c:pt>
                <c:pt idx="5">
                  <c:v>H85048</c:v>
                </c:pt>
                <c:pt idx="6">
                  <c:v>H85057</c:v>
                </c:pt>
                <c:pt idx="7">
                  <c:v>H85087</c:v>
                </c:pt>
                <c:pt idx="8">
                  <c:v>H85077</c:v>
                </c:pt>
                <c:pt idx="9">
                  <c:v>H85114</c:v>
                </c:pt>
                <c:pt idx="10">
                  <c:v>H85682</c:v>
                </c:pt>
                <c:pt idx="11">
                  <c:v>H85001</c:v>
                </c:pt>
                <c:pt idx="12">
                  <c:v>H85688</c:v>
                </c:pt>
                <c:pt idx="13">
                  <c:v>H85066</c:v>
                </c:pt>
                <c:pt idx="14">
                  <c:v>H85659</c:v>
                </c:pt>
                <c:pt idx="15">
                  <c:v>H85004</c:v>
                </c:pt>
                <c:pt idx="16">
                  <c:v>H85088</c:v>
                </c:pt>
                <c:pt idx="17">
                  <c:v>H85009</c:v>
                </c:pt>
                <c:pt idx="18">
                  <c:v>H85100</c:v>
                </c:pt>
                <c:pt idx="19">
                  <c:v>H85041</c:v>
                </c:pt>
                <c:pt idx="20">
                  <c:v>H85664</c:v>
                </c:pt>
                <c:pt idx="21">
                  <c:v>H85061</c:v>
                </c:pt>
                <c:pt idx="22">
                  <c:v>H85039</c:v>
                </c:pt>
                <c:pt idx="23">
                  <c:v>H85069</c:v>
                </c:pt>
                <c:pt idx="24">
                  <c:v>H85065</c:v>
                </c:pt>
                <c:pt idx="25">
                  <c:v>H85111</c:v>
                </c:pt>
                <c:pt idx="26">
                  <c:v>H85056</c:v>
                </c:pt>
                <c:pt idx="27">
                  <c:v>H85011</c:v>
                </c:pt>
                <c:pt idx="28">
                  <c:v>H85002</c:v>
                </c:pt>
                <c:pt idx="29">
                  <c:v>H85047</c:v>
                </c:pt>
                <c:pt idx="30">
                  <c:v>H85003</c:v>
                </c:pt>
                <c:pt idx="31">
                  <c:v>H85695</c:v>
                </c:pt>
                <c:pt idx="32">
                  <c:v>H85052</c:v>
                </c:pt>
                <c:pt idx="33">
                  <c:v>H85007</c:v>
                </c:pt>
                <c:pt idx="34">
                  <c:v>H85075</c:v>
                </c:pt>
                <c:pt idx="35">
                  <c:v>H85082</c:v>
                </c:pt>
                <c:pt idx="36">
                  <c:v>H85045</c:v>
                </c:pt>
                <c:pt idx="37">
                  <c:v>H85008</c:v>
                </c:pt>
                <c:pt idx="38">
                  <c:v>H85637</c:v>
                </c:pt>
                <c:pt idx="39">
                  <c:v>H85067</c:v>
                </c:pt>
                <c:pt idx="40">
                  <c:v>H85005</c:v>
                </c:pt>
                <c:pt idx="41">
                  <c:v>H85643</c:v>
                </c:pt>
                <c:pt idx="42">
                  <c:v>H85006</c:v>
                </c:pt>
              </c:strCache>
            </c:strRef>
          </c:cat>
          <c:val>
            <c:numRef>
              <c:f>'Emergency Admissions'!$F$4:$F$46</c:f>
              <c:numCache>
                <c:formatCode>0.00</c:formatCode>
                <c:ptCount val="43"/>
                <c:pt idx="0">
                  <c:v>171.56337122024431</c:v>
                </c:pt>
                <c:pt idx="1">
                  <c:v>184.31141256266605</c:v>
                </c:pt>
                <c:pt idx="2">
                  <c:v>201.36931131695547</c:v>
                </c:pt>
                <c:pt idx="3">
                  <c:v>216.86093792355661</c:v>
                </c:pt>
                <c:pt idx="4">
                  <c:v>243.54603019970756</c:v>
                </c:pt>
                <c:pt idx="5">
                  <c:v>253.39925834363441</c:v>
                </c:pt>
                <c:pt idx="6">
                  <c:v>267.81728909388482</c:v>
                </c:pt>
                <c:pt idx="7">
                  <c:v>277.70063871146903</c:v>
                </c:pt>
                <c:pt idx="8">
                  <c:v>308.37004405286342</c:v>
                </c:pt>
                <c:pt idx="9">
                  <c:v>311.74577634754627</c:v>
                </c:pt>
                <c:pt idx="10">
                  <c:v>323.22610435585653</c:v>
                </c:pt>
                <c:pt idx="11">
                  <c:v>335.29887848306174</c:v>
                </c:pt>
                <c:pt idx="12">
                  <c:v>336.96729435084239</c:v>
                </c:pt>
                <c:pt idx="13">
                  <c:v>348.07372834427622</c:v>
                </c:pt>
                <c:pt idx="14">
                  <c:v>378.26685006877563</c:v>
                </c:pt>
                <c:pt idx="15">
                  <c:v>388.48263254113323</c:v>
                </c:pt>
                <c:pt idx="16">
                  <c:v>395.53280595625864</c:v>
                </c:pt>
                <c:pt idx="17">
                  <c:v>399.34652387003086</c:v>
                </c:pt>
                <c:pt idx="18">
                  <c:v>403.31139885374671</c:v>
                </c:pt>
                <c:pt idx="19">
                  <c:v>414.18586590732627</c:v>
                </c:pt>
                <c:pt idx="20">
                  <c:v>420.16806722689074</c:v>
                </c:pt>
                <c:pt idx="21">
                  <c:v>447.31610337972171</c:v>
                </c:pt>
                <c:pt idx="22">
                  <c:v>457.28918968355623</c:v>
                </c:pt>
                <c:pt idx="23">
                  <c:v>463.84494326182408</c:v>
                </c:pt>
                <c:pt idx="24">
                  <c:v>465.8004412846289</c:v>
                </c:pt>
                <c:pt idx="25">
                  <c:v>476.08971646212387</c:v>
                </c:pt>
                <c:pt idx="26">
                  <c:v>496.37266132111534</c:v>
                </c:pt>
                <c:pt idx="27">
                  <c:v>544.069640914037</c:v>
                </c:pt>
                <c:pt idx="28">
                  <c:v>552.38273569890441</c:v>
                </c:pt>
                <c:pt idx="29">
                  <c:v>553.60281195079085</c:v>
                </c:pt>
                <c:pt idx="30">
                  <c:v>553.6165603562406</c:v>
                </c:pt>
                <c:pt idx="31">
                  <c:v>572.17165149544769</c:v>
                </c:pt>
                <c:pt idx="32">
                  <c:v>574.00574005740054</c:v>
                </c:pt>
                <c:pt idx="33">
                  <c:v>581.63348898173183</c:v>
                </c:pt>
                <c:pt idx="34">
                  <c:v>617.55624172915759</c:v>
                </c:pt>
                <c:pt idx="35">
                  <c:v>671.14093959731554</c:v>
                </c:pt>
                <c:pt idx="36">
                  <c:v>682.93431553100061</c:v>
                </c:pt>
                <c:pt idx="37">
                  <c:v>691.61920260374291</c:v>
                </c:pt>
                <c:pt idx="38">
                  <c:v>692.04152249134836</c:v>
                </c:pt>
                <c:pt idx="39">
                  <c:v>733.22053017484484</c:v>
                </c:pt>
                <c:pt idx="40">
                  <c:v>801.15366127223251</c:v>
                </c:pt>
                <c:pt idx="41">
                  <c:v>809.10997902307463</c:v>
                </c:pt>
                <c:pt idx="42">
                  <c:v>840.48967659418963</c:v>
                </c:pt>
              </c:numCache>
            </c:numRef>
          </c:val>
        </c:ser>
        <c:axId val="106972288"/>
        <c:axId val="106973824"/>
      </c:barChart>
      <c:lineChart>
        <c:grouping val="standard"/>
        <c:ser>
          <c:idx val="1"/>
          <c:order val="1"/>
          <c:tx>
            <c:strRef>
              <c:f>'Emergency Admissions'!$K$1</c:f>
              <c:strCache>
                <c:ptCount val="1"/>
                <c:pt idx="0">
                  <c:v>PCT Average</c:v>
                </c:pt>
              </c:strCache>
            </c:strRef>
          </c:tx>
          <c:spPr>
            <a:ln w="19050">
              <a:solidFill>
                <a:srgbClr val="FF0000"/>
              </a:solidFill>
              <a:prstDash val="dash"/>
            </a:ln>
          </c:spPr>
          <c:marker>
            <c:symbol val="none"/>
          </c:marker>
          <c:val>
            <c:numRef>
              <c:f>'Emergency Admissions'!$K$4:$K$46</c:f>
              <c:numCache>
                <c:formatCode>0.00</c:formatCode>
                <c:ptCount val="43"/>
                <c:pt idx="0">
                  <c:v>443.07171878734363</c:v>
                </c:pt>
                <c:pt idx="1">
                  <c:v>443.07171878734363</c:v>
                </c:pt>
                <c:pt idx="2">
                  <c:v>443.07171878734363</c:v>
                </c:pt>
                <c:pt idx="3">
                  <c:v>443.07171878734363</c:v>
                </c:pt>
                <c:pt idx="4">
                  <c:v>443.07171878734363</c:v>
                </c:pt>
                <c:pt idx="5">
                  <c:v>443.07171878734363</c:v>
                </c:pt>
                <c:pt idx="6">
                  <c:v>443.07171878734363</c:v>
                </c:pt>
                <c:pt idx="7">
                  <c:v>443.07171878734363</c:v>
                </c:pt>
                <c:pt idx="8">
                  <c:v>443.07171878734363</c:v>
                </c:pt>
                <c:pt idx="9">
                  <c:v>443.07171878734363</c:v>
                </c:pt>
                <c:pt idx="10">
                  <c:v>443.07171878734363</c:v>
                </c:pt>
                <c:pt idx="11">
                  <c:v>443.07171878734363</c:v>
                </c:pt>
                <c:pt idx="12">
                  <c:v>443.07171878734363</c:v>
                </c:pt>
                <c:pt idx="13">
                  <c:v>443.07171878734363</c:v>
                </c:pt>
                <c:pt idx="14">
                  <c:v>443.07171878734363</c:v>
                </c:pt>
                <c:pt idx="15">
                  <c:v>443.07171878734363</c:v>
                </c:pt>
                <c:pt idx="16">
                  <c:v>443.07171878734363</c:v>
                </c:pt>
                <c:pt idx="17">
                  <c:v>443.07171878734363</c:v>
                </c:pt>
                <c:pt idx="18">
                  <c:v>443.07171878734363</c:v>
                </c:pt>
                <c:pt idx="19">
                  <c:v>443.07171878734363</c:v>
                </c:pt>
                <c:pt idx="20">
                  <c:v>443.07171878734363</c:v>
                </c:pt>
                <c:pt idx="21">
                  <c:v>443.07171878734363</c:v>
                </c:pt>
                <c:pt idx="22">
                  <c:v>443.07171878734363</c:v>
                </c:pt>
                <c:pt idx="23">
                  <c:v>443.07171878734363</c:v>
                </c:pt>
                <c:pt idx="24">
                  <c:v>443.07171878734363</c:v>
                </c:pt>
                <c:pt idx="25">
                  <c:v>443.07171878734363</c:v>
                </c:pt>
                <c:pt idx="26">
                  <c:v>443.07171878734363</c:v>
                </c:pt>
                <c:pt idx="27">
                  <c:v>443.07171878734363</c:v>
                </c:pt>
                <c:pt idx="28">
                  <c:v>443.07171878734363</c:v>
                </c:pt>
                <c:pt idx="29">
                  <c:v>443.07171878734363</c:v>
                </c:pt>
                <c:pt idx="30">
                  <c:v>443.07171878734363</c:v>
                </c:pt>
                <c:pt idx="31">
                  <c:v>443.07171878734363</c:v>
                </c:pt>
                <c:pt idx="32">
                  <c:v>443.07171878734363</c:v>
                </c:pt>
                <c:pt idx="33">
                  <c:v>443.07171878734363</c:v>
                </c:pt>
                <c:pt idx="34">
                  <c:v>443.07171878734363</c:v>
                </c:pt>
                <c:pt idx="35">
                  <c:v>443.07171878734363</c:v>
                </c:pt>
                <c:pt idx="36">
                  <c:v>443.07171878734363</c:v>
                </c:pt>
                <c:pt idx="37">
                  <c:v>443.07171878734363</c:v>
                </c:pt>
                <c:pt idx="38">
                  <c:v>443.07171878734363</c:v>
                </c:pt>
                <c:pt idx="39">
                  <c:v>443.07171878734363</c:v>
                </c:pt>
                <c:pt idx="40">
                  <c:v>443.07171878734363</c:v>
                </c:pt>
                <c:pt idx="41">
                  <c:v>443.07171878734363</c:v>
                </c:pt>
                <c:pt idx="42">
                  <c:v>443.07171878734363</c:v>
                </c:pt>
              </c:numCache>
            </c:numRef>
          </c:val>
        </c:ser>
        <c:ser>
          <c:idx val="2"/>
          <c:order val="2"/>
          <c:tx>
            <c:strRef>
              <c:f>'Emergency Admissions'!$L$1</c:f>
              <c:strCache>
                <c:ptCount val="1"/>
                <c:pt idx="0">
                  <c:v>England Average</c:v>
                </c:pt>
              </c:strCache>
            </c:strRef>
          </c:tx>
          <c:spPr>
            <a:ln w="19050">
              <a:solidFill>
                <a:srgbClr val="7030A0"/>
              </a:solidFill>
              <a:prstDash val="lgDashDotDot"/>
            </a:ln>
          </c:spPr>
          <c:marker>
            <c:symbol val="none"/>
          </c:marker>
          <c:val>
            <c:numRef>
              <c:f>'Emergency Admissions'!$L$4:$L$46</c:f>
              <c:numCache>
                <c:formatCode>0.00</c:formatCode>
                <c:ptCount val="43"/>
                <c:pt idx="0">
                  <c:v>691.17811471455059</c:v>
                </c:pt>
                <c:pt idx="1">
                  <c:v>691.17811471455059</c:v>
                </c:pt>
                <c:pt idx="2">
                  <c:v>691.17811471455059</c:v>
                </c:pt>
                <c:pt idx="3">
                  <c:v>691.17811471455059</c:v>
                </c:pt>
                <c:pt idx="4">
                  <c:v>691.17811471455059</c:v>
                </c:pt>
                <c:pt idx="5">
                  <c:v>691.17811471455059</c:v>
                </c:pt>
                <c:pt idx="6">
                  <c:v>691.17811471455059</c:v>
                </c:pt>
                <c:pt idx="7">
                  <c:v>691.17811471455059</c:v>
                </c:pt>
                <c:pt idx="8">
                  <c:v>691.17811471455059</c:v>
                </c:pt>
                <c:pt idx="9">
                  <c:v>691.17811471455059</c:v>
                </c:pt>
                <c:pt idx="10">
                  <c:v>691.17811471455059</c:v>
                </c:pt>
                <c:pt idx="11">
                  <c:v>691.17811471455059</c:v>
                </c:pt>
                <c:pt idx="12">
                  <c:v>691.17811471455059</c:v>
                </c:pt>
                <c:pt idx="13">
                  <c:v>691.17811471455059</c:v>
                </c:pt>
                <c:pt idx="14">
                  <c:v>691.17811471455059</c:v>
                </c:pt>
                <c:pt idx="15">
                  <c:v>691.17811471455059</c:v>
                </c:pt>
                <c:pt idx="16">
                  <c:v>691.17811471455059</c:v>
                </c:pt>
                <c:pt idx="17">
                  <c:v>691.17811471455059</c:v>
                </c:pt>
                <c:pt idx="18">
                  <c:v>691.17811471455059</c:v>
                </c:pt>
                <c:pt idx="19">
                  <c:v>691.17811471455059</c:v>
                </c:pt>
                <c:pt idx="20">
                  <c:v>691.17811471455059</c:v>
                </c:pt>
                <c:pt idx="21">
                  <c:v>691.17811471455059</c:v>
                </c:pt>
                <c:pt idx="22">
                  <c:v>691.17811471455059</c:v>
                </c:pt>
                <c:pt idx="23">
                  <c:v>691.17811471455059</c:v>
                </c:pt>
                <c:pt idx="24">
                  <c:v>691.17811471455059</c:v>
                </c:pt>
                <c:pt idx="25">
                  <c:v>691.17811471455059</c:v>
                </c:pt>
                <c:pt idx="26">
                  <c:v>691.17811471455059</c:v>
                </c:pt>
                <c:pt idx="27">
                  <c:v>691.17811471455059</c:v>
                </c:pt>
                <c:pt idx="28">
                  <c:v>691.17811471455059</c:v>
                </c:pt>
                <c:pt idx="29">
                  <c:v>691.17811471455059</c:v>
                </c:pt>
                <c:pt idx="30">
                  <c:v>691.17811471455059</c:v>
                </c:pt>
                <c:pt idx="31">
                  <c:v>691.17811471455059</c:v>
                </c:pt>
                <c:pt idx="32">
                  <c:v>691.17811471455059</c:v>
                </c:pt>
                <c:pt idx="33">
                  <c:v>691.17811471455059</c:v>
                </c:pt>
                <c:pt idx="34">
                  <c:v>691.17811471455059</c:v>
                </c:pt>
                <c:pt idx="35">
                  <c:v>691.17811471455059</c:v>
                </c:pt>
                <c:pt idx="36">
                  <c:v>691.17811471455059</c:v>
                </c:pt>
                <c:pt idx="37">
                  <c:v>691.17811471455059</c:v>
                </c:pt>
                <c:pt idx="38">
                  <c:v>691.17811471455059</c:v>
                </c:pt>
                <c:pt idx="39">
                  <c:v>691.17811471455059</c:v>
                </c:pt>
                <c:pt idx="40">
                  <c:v>691.17811471455059</c:v>
                </c:pt>
                <c:pt idx="41">
                  <c:v>691.17811471455059</c:v>
                </c:pt>
                <c:pt idx="42">
                  <c:v>691.17811471455059</c:v>
                </c:pt>
              </c:numCache>
            </c:numRef>
          </c:val>
        </c:ser>
        <c:marker val="1"/>
        <c:axId val="106972288"/>
        <c:axId val="106973824"/>
      </c:lineChart>
      <c:catAx>
        <c:axId val="106972288"/>
        <c:scaling>
          <c:orientation val="minMax"/>
        </c:scaling>
        <c:axPos val="b"/>
        <c:numFmt formatCode="General" sourceLinked="1"/>
        <c:tickLblPos val="nextTo"/>
        <c:txPr>
          <a:bodyPr rot="-5400000" vert="horz"/>
          <a:lstStyle/>
          <a:p>
            <a:pPr>
              <a:defRPr sz="600" b="0" i="0" u="none" strike="noStrike" baseline="0">
                <a:solidFill>
                  <a:srgbClr val="000000"/>
                </a:solidFill>
                <a:latin typeface="Calibri"/>
                <a:ea typeface="Calibri"/>
                <a:cs typeface="Calibri"/>
              </a:defRPr>
            </a:pPr>
            <a:endParaRPr lang="en-US"/>
          </a:p>
        </c:txPr>
        <c:crossAx val="106973824"/>
        <c:crosses val="autoZero"/>
        <c:auto val="1"/>
        <c:lblAlgn val="ctr"/>
        <c:lblOffset val="100"/>
      </c:catAx>
      <c:valAx>
        <c:axId val="106973824"/>
        <c:scaling>
          <c:orientation val="minMax"/>
          <c:max val="1200"/>
          <c:min val="0"/>
        </c:scaling>
        <c:axPos val="l"/>
        <c:majorGridlines/>
        <c:numFmt formatCode="0.00" sourceLinked="1"/>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06972288"/>
        <c:crosses val="autoZero"/>
        <c:crossBetween val="between"/>
      </c:valAx>
    </c:plotArea>
    <c:legend>
      <c:legendPos val="r"/>
      <c:legendEntry>
        <c:idx val="0"/>
        <c:delete val="1"/>
      </c:legendEntry>
      <c:layout>
        <c:manualLayout>
          <c:xMode val="edge"/>
          <c:yMode val="edge"/>
          <c:x val="0.12603339943008693"/>
          <c:y val="8.9238199071270161E-2"/>
          <c:w val="0.32661790316962847"/>
          <c:h val="8.4485039370078743E-2"/>
        </c:manualLayout>
      </c:layout>
      <c:txPr>
        <a:bodyPr/>
        <a:lstStyle/>
        <a:p>
          <a:pPr>
            <a:defRPr sz="550" b="0" i="0" u="none" strike="noStrike" baseline="0">
              <a:solidFill>
                <a:srgbClr val="000000"/>
              </a:solidFill>
              <a:latin typeface="Calibri"/>
              <a:ea typeface="Calibri"/>
              <a:cs typeface="Calibri"/>
            </a:defRPr>
          </a:pPr>
          <a:endParaRPr lang="en-US"/>
        </a:p>
      </c:txPr>
    </c:legend>
    <c:plotVisOnly val="1"/>
    <c:dispBlanksAs val="gap"/>
  </c:chart>
  <c:spPr>
    <a:ln>
      <a:solidFill>
        <a:schemeClr val="bg1"/>
      </a:solidFill>
    </a:ln>
  </c:spPr>
  <c:txPr>
    <a:bodyPr/>
    <a:lstStyle/>
    <a:p>
      <a:pPr>
        <a:defRPr sz="1000" b="0" i="0" u="none" strike="noStrike" baseline="0">
          <a:solidFill>
            <a:srgbClr val="000000"/>
          </a:solidFill>
          <a:latin typeface="Calibri"/>
          <a:ea typeface="Calibri"/>
          <a:cs typeface="Calibri"/>
        </a:defRPr>
      </a:pPr>
      <a:endParaRPr lang="en-US"/>
    </a:p>
  </c:txPr>
  <c:externalData r:id="rId1"/>
  <c:userShapes r:id="rId2"/>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1410046997539094"/>
          <c:y val="4.4579519715507956E-2"/>
          <c:w val="0.86308978776653278"/>
          <c:h val="0.81943284128861249"/>
        </c:manualLayout>
      </c:layout>
      <c:barChart>
        <c:barDir val="col"/>
        <c:grouping val="clustered"/>
        <c:ser>
          <c:idx val="0"/>
          <c:order val="0"/>
          <c:spPr>
            <a:solidFill>
              <a:schemeClr val="bg1">
                <a:lumMod val="65000"/>
              </a:schemeClr>
            </a:solidFill>
            <a:ln>
              <a:solidFill>
                <a:prstClr val="black"/>
              </a:solidFill>
            </a:ln>
          </c:spPr>
          <c:cat>
            <c:strRef>
              <c:f>CRC!$A$2:$A$11</c:f>
              <c:strCache>
                <c:ptCount val="10"/>
                <c:pt idx="0">
                  <c:v>Kingston</c:v>
                </c:pt>
                <c:pt idx="1">
                  <c:v>Richmond &amp; Twickenham</c:v>
                </c:pt>
                <c:pt idx="2">
                  <c:v>Croydon</c:v>
                </c:pt>
                <c:pt idx="3">
                  <c:v>Wandsworth</c:v>
                </c:pt>
                <c:pt idx="4">
                  <c:v>Sutton &amp; Merton</c:v>
                </c:pt>
                <c:pt idx="5">
                  <c:v>NELCN</c:v>
                </c:pt>
                <c:pt idx="6">
                  <c:v>NLCN</c:v>
                </c:pt>
                <c:pt idx="7">
                  <c:v>SELCN</c:v>
                </c:pt>
                <c:pt idx="8">
                  <c:v>(N)WLCN</c:v>
                </c:pt>
                <c:pt idx="9">
                  <c:v>SWLCN</c:v>
                </c:pt>
              </c:strCache>
            </c:strRef>
          </c:cat>
          <c:val>
            <c:numRef>
              <c:f>CRC!$B$2:$B$11</c:f>
              <c:numCache>
                <c:formatCode>General</c:formatCode>
                <c:ptCount val="10"/>
                <c:pt idx="0">
                  <c:v>383</c:v>
                </c:pt>
                <c:pt idx="1">
                  <c:v>393</c:v>
                </c:pt>
                <c:pt idx="2">
                  <c:v>410</c:v>
                </c:pt>
                <c:pt idx="3">
                  <c:v>415</c:v>
                </c:pt>
                <c:pt idx="4">
                  <c:v>448</c:v>
                </c:pt>
                <c:pt idx="5">
                  <c:v>227</c:v>
                </c:pt>
                <c:pt idx="6">
                  <c:v>270</c:v>
                </c:pt>
                <c:pt idx="7">
                  <c:v>279</c:v>
                </c:pt>
                <c:pt idx="8">
                  <c:v>321</c:v>
                </c:pt>
                <c:pt idx="9">
                  <c:v>404</c:v>
                </c:pt>
              </c:numCache>
            </c:numRef>
          </c:val>
        </c:ser>
        <c:axId val="106986880"/>
        <c:axId val="107000960"/>
      </c:barChart>
      <c:lineChart>
        <c:grouping val="standard"/>
        <c:ser>
          <c:idx val="1"/>
          <c:order val="1"/>
          <c:tx>
            <c:strRef>
              <c:f>CRC!$C$1</c:f>
              <c:strCache>
                <c:ptCount val="1"/>
                <c:pt idx="0">
                  <c:v>England Average</c:v>
                </c:pt>
              </c:strCache>
            </c:strRef>
          </c:tx>
          <c:spPr>
            <a:ln w="19050">
              <a:solidFill>
                <a:srgbClr val="7030A0"/>
              </a:solidFill>
              <a:prstDash val="lgDashDotDot"/>
            </a:ln>
          </c:spPr>
          <c:marker>
            <c:symbol val="none"/>
          </c:marker>
          <c:val>
            <c:numRef>
              <c:f>CRC!$C$2:$C$11</c:f>
              <c:numCache>
                <c:formatCode>General</c:formatCode>
                <c:ptCount val="10"/>
                <c:pt idx="0">
                  <c:v>374</c:v>
                </c:pt>
                <c:pt idx="1">
                  <c:v>374</c:v>
                </c:pt>
                <c:pt idx="2">
                  <c:v>374</c:v>
                </c:pt>
                <c:pt idx="3">
                  <c:v>374</c:v>
                </c:pt>
                <c:pt idx="4">
                  <c:v>374</c:v>
                </c:pt>
                <c:pt idx="5">
                  <c:v>374</c:v>
                </c:pt>
                <c:pt idx="6">
                  <c:v>374</c:v>
                </c:pt>
                <c:pt idx="7">
                  <c:v>374</c:v>
                </c:pt>
                <c:pt idx="8">
                  <c:v>374</c:v>
                </c:pt>
                <c:pt idx="9">
                  <c:v>374</c:v>
                </c:pt>
              </c:numCache>
            </c:numRef>
          </c:val>
        </c:ser>
        <c:marker val="1"/>
        <c:axId val="106986880"/>
        <c:axId val="107000960"/>
      </c:lineChart>
      <c:catAx>
        <c:axId val="106986880"/>
        <c:scaling>
          <c:orientation val="minMax"/>
        </c:scaling>
        <c:axPos val="b"/>
        <c:tickLblPos val="nextTo"/>
        <c:txPr>
          <a:bodyPr/>
          <a:lstStyle/>
          <a:p>
            <a:pPr>
              <a:defRPr sz="600"/>
            </a:pPr>
            <a:endParaRPr lang="en-US"/>
          </a:p>
        </c:txPr>
        <c:crossAx val="107000960"/>
        <c:crosses val="autoZero"/>
        <c:auto val="1"/>
        <c:lblAlgn val="ctr"/>
        <c:lblOffset val="100"/>
      </c:catAx>
      <c:valAx>
        <c:axId val="107000960"/>
        <c:scaling>
          <c:orientation val="minMax"/>
        </c:scaling>
        <c:axPos val="l"/>
        <c:majorGridlines/>
        <c:numFmt formatCode="General" sourceLinked="1"/>
        <c:tickLblPos val="nextTo"/>
        <c:txPr>
          <a:bodyPr/>
          <a:lstStyle/>
          <a:p>
            <a:pPr>
              <a:defRPr sz="600"/>
            </a:pPr>
            <a:endParaRPr lang="en-US"/>
          </a:p>
        </c:txPr>
        <c:crossAx val="106986880"/>
        <c:crosses val="autoZero"/>
        <c:crossBetween val="between"/>
      </c:valAx>
    </c:plotArea>
    <c:plotVisOnly val="1"/>
    <c:dispBlanksAs val="gap"/>
  </c:chart>
  <c:spPr>
    <a:ln>
      <a:solidFill>
        <a:schemeClr val="bg1"/>
      </a:solidFill>
    </a:ln>
  </c:spPr>
  <c:externalData r:id="rId1"/>
  <c:userShapes r:id="rId2"/>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8.9426660095435748E-2"/>
          <c:y val="5.1400554097404488E-2"/>
          <c:w val="0.8943645581420212"/>
          <c:h val="0.71461422394664431"/>
        </c:manualLayout>
      </c:layout>
      <c:barChart>
        <c:barDir val="col"/>
        <c:grouping val="clustered"/>
        <c:ser>
          <c:idx val="0"/>
          <c:order val="0"/>
          <c:spPr>
            <a:solidFill>
              <a:schemeClr val="bg1">
                <a:lumMod val="50000"/>
              </a:schemeClr>
            </a:solidFill>
            <a:ln>
              <a:solidFill>
                <a:schemeClr val="tx1"/>
              </a:solidFill>
            </a:ln>
          </c:spPr>
          <c:errBars>
            <c:errBarType val="both"/>
            <c:errValType val="cust"/>
            <c:plus>
              <c:numRef>
                <c:f>'2WW Lower GI'!$J$29:$J$63</c:f>
                <c:numCache>
                  <c:formatCode>General</c:formatCode>
                  <c:ptCount val="35"/>
                  <c:pt idx="0">
                    <c:v>71.980802784323203</c:v>
                  </c:pt>
                  <c:pt idx="1">
                    <c:v>96.684088298386158</c:v>
                  </c:pt>
                  <c:pt idx="2">
                    <c:v>103.88309694934902</c:v>
                  </c:pt>
                  <c:pt idx="3">
                    <c:v>70.475205379065486</c:v>
                  </c:pt>
                  <c:pt idx="4">
                    <c:v>87.871587271628428</c:v>
                  </c:pt>
                  <c:pt idx="5">
                    <c:v>107.0427319147533</c:v>
                  </c:pt>
                  <c:pt idx="6">
                    <c:v>106.90014445795454</c:v>
                  </c:pt>
                  <c:pt idx="7">
                    <c:v>99.156645090990409</c:v>
                  </c:pt>
                  <c:pt idx="8">
                    <c:v>106.67471584083437</c:v>
                  </c:pt>
                  <c:pt idx="9">
                    <c:v>87.63917250097164</c:v>
                  </c:pt>
                  <c:pt idx="10">
                    <c:v>83.770396182018857</c:v>
                  </c:pt>
                  <c:pt idx="11">
                    <c:v>87.83930001191608</c:v>
                  </c:pt>
                  <c:pt idx="12">
                    <c:v>150.49872668253644</c:v>
                  </c:pt>
                  <c:pt idx="13">
                    <c:v>110.61991661020983</c:v>
                  </c:pt>
                  <c:pt idx="14">
                    <c:v>129.5970203969494</c:v>
                  </c:pt>
                  <c:pt idx="15">
                    <c:v>85.011794256721089</c:v>
                  </c:pt>
                  <c:pt idx="16">
                    <c:v>93.07821798002108</c:v>
                  </c:pt>
                  <c:pt idx="17">
                    <c:v>135.02882594750022</c:v>
                  </c:pt>
                  <c:pt idx="18">
                    <c:v>172.82485357840292</c:v>
                  </c:pt>
                  <c:pt idx="19">
                    <c:v>143.96731859783532</c:v>
                  </c:pt>
                  <c:pt idx="20">
                    <c:v>100.08037792594398</c:v>
                  </c:pt>
                  <c:pt idx="21">
                    <c:v>173.24185433577972</c:v>
                  </c:pt>
                  <c:pt idx="22">
                    <c:v>161.95572574011732</c:v>
                  </c:pt>
                  <c:pt idx="23">
                    <c:v>132.28186586449235</c:v>
                  </c:pt>
                  <c:pt idx="24">
                    <c:v>103.63897522313744</c:v>
                  </c:pt>
                  <c:pt idx="25">
                    <c:v>103.85249873634478</c:v>
                  </c:pt>
                  <c:pt idx="26">
                    <c:v>89.450855411306321</c:v>
                  </c:pt>
                  <c:pt idx="27">
                    <c:v>106.37038626358392</c:v>
                  </c:pt>
                  <c:pt idx="28">
                    <c:v>177.33904871866147</c:v>
                  </c:pt>
                  <c:pt idx="29">
                    <c:v>235.26166600917222</c:v>
                  </c:pt>
                  <c:pt idx="30">
                    <c:v>129.78725357494699</c:v>
                  </c:pt>
                  <c:pt idx="31">
                    <c:v>229.71985818555055</c:v>
                  </c:pt>
                  <c:pt idx="32">
                    <c:v>153.84403931013503</c:v>
                  </c:pt>
                  <c:pt idx="33">
                    <c:v>454.58747448182243</c:v>
                  </c:pt>
                  <c:pt idx="34">
                    <c:v>268.98263026540656</c:v>
                  </c:pt>
                </c:numCache>
              </c:numRef>
            </c:plus>
            <c:minus>
              <c:numRef>
                <c:f>'2WW Lower GI'!$I$29:$I$62</c:f>
                <c:numCache>
                  <c:formatCode>General</c:formatCode>
                  <c:ptCount val="34"/>
                  <c:pt idx="0">
                    <c:v>36.57912498581095</c:v>
                  </c:pt>
                  <c:pt idx="1">
                    <c:v>49.132813378070637</c:v>
                  </c:pt>
                  <c:pt idx="2">
                    <c:v>56.048547076461446</c:v>
                  </c:pt>
                  <c:pt idx="3">
                    <c:v>45.656317283600821</c:v>
                  </c:pt>
                  <c:pt idx="4">
                    <c:v>53.175168620711162</c:v>
                  </c:pt>
                  <c:pt idx="5">
                    <c:v>60.499222774644295</c:v>
                  </c:pt>
                  <c:pt idx="6">
                    <c:v>62.720190504478794</c:v>
                  </c:pt>
                  <c:pt idx="7">
                    <c:v>61.593049562405753</c:v>
                  </c:pt>
                  <c:pt idx="8">
                    <c:v>64.553812882293272</c:v>
                  </c:pt>
                  <c:pt idx="9">
                    <c:v>57.763853301077212</c:v>
                  </c:pt>
                  <c:pt idx="10">
                    <c:v>56.068484989018494</c:v>
                  </c:pt>
                  <c:pt idx="11">
                    <c:v>57.895759340965604</c:v>
                  </c:pt>
                  <c:pt idx="12">
                    <c:v>81.199302053215078</c:v>
                  </c:pt>
                  <c:pt idx="13">
                    <c:v>68.713680259246146</c:v>
                  </c:pt>
                  <c:pt idx="14">
                    <c:v>76.036845874482879</c:v>
                  </c:pt>
                  <c:pt idx="15">
                    <c:v>58.412858745016443</c:v>
                  </c:pt>
                  <c:pt idx="16">
                    <c:v>62.298316654465168</c:v>
                  </c:pt>
                  <c:pt idx="17">
                    <c:v>79.223781501570159</c:v>
                  </c:pt>
                  <c:pt idx="18">
                    <c:v>93.245024707865866</c:v>
                  </c:pt>
                  <c:pt idx="19">
                    <c:v>84.468151981091907</c:v>
                  </c:pt>
                  <c:pt idx="20">
                    <c:v>67.914841517141653</c:v>
                  </c:pt>
                  <c:pt idx="21">
                    <c:v>97.914144677283289</c:v>
                  </c:pt>
                  <c:pt idx="22">
                    <c:v>95.022266089701432</c:v>
                  </c:pt>
                  <c:pt idx="23">
                    <c:v>90.89282272922884</c:v>
                  </c:pt>
                  <c:pt idx="24">
                    <c:v>77.275614048402417</c:v>
                  </c:pt>
                  <c:pt idx="25">
                    <c:v>77.434822112370284</c:v>
                  </c:pt>
                  <c:pt idx="26">
                    <c:v>69.224950821736542</c:v>
                  </c:pt>
                  <c:pt idx="27">
                    <c:v>81.317083875719987</c:v>
                  </c:pt>
                  <c:pt idx="28">
                    <c:v>118.69505510567625</c:v>
                  </c:pt>
                  <c:pt idx="29">
                    <c:v>142.36773396793285</c:v>
                  </c:pt>
                  <c:pt idx="30">
                    <c:v>96.205240706798548</c:v>
                  </c:pt>
                  <c:pt idx="31">
                    <c:v>145.93610849230726</c:v>
                  </c:pt>
                  <c:pt idx="32">
                    <c:v>119.50238370058418</c:v>
                  </c:pt>
                  <c:pt idx="33">
                    <c:v>256.92719531056827</c:v>
                  </c:pt>
                </c:numCache>
              </c:numRef>
            </c:minus>
          </c:errBars>
          <c:cat>
            <c:strRef>
              <c:f>'2WW Lower GI'!$B$2:$B$63</c:f>
              <c:strCache>
                <c:ptCount val="62"/>
                <c:pt idx="0">
                  <c:v>H83619</c:v>
                </c:pt>
                <c:pt idx="1">
                  <c:v>H83608</c:v>
                </c:pt>
                <c:pt idx="2">
                  <c:v>H83635</c:v>
                </c:pt>
                <c:pt idx="3">
                  <c:v>H83622</c:v>
                </c:pt>
                <c:pt idx="4">
                  <c:v>H83611</c:v>
                </c:pt>
                <c:pt idx="5">
                  <c:v>H83030</c:v>
                </c:pt>
                <c:pt idx="6">
                  <c:v>H83002</c:v>
                </c:pt>
                <c:pt idx="7">
                  <c:v>H83623</c:v>
                </c:pt>
                <c:pt idx="8">
                  <c:v>H83634</c:v>
                </c:pt>
                <c:pt idx="9">
                  <c:v>H83625</c:v>
                </c:pt>
                <c:pt idx="10">
                  <c:v>H83609</c:v>
                </c:pt>
                <c:pt idx="11">
                  <c:v>H83620</c:v>
                </c:pt>
                <c:pt idx="12">
                  <c:v>H83040</c:v>
                </c:pt>
                <c:pt idx="13">
                  <c:v>H83008</c:v>
                </c:pt>
                <c:pt idx="14">
                  <c:v>H83626</c:v>
                </c:pt>
                <c:pt idx="15">
                  <c:v>H83614</c:v>
                </c:pt>
                <c:pt idx="16">
                  <c:v>H83019</c:v>
                </c:pt>
                <c:pt idx="17">
                  <c:v>H83046</c:v>
                </c:pt>
                <c:pt idx="18">
                  <c:v>H83627</c:v>
                </c:pt>
                <c:pt idx="19">
                  <c:v>H83010</c:v>
                </c:pt>
                <c:pt idx="20">
                  <c:v>H83006</c:v>
                </c:pt>
                <c:pt idx="21">
                  <c:v>H83031</c:v>
                </c:pt>
                <c:pt idx="22">
                  <c:v>H83033</c:v>
                </c:pt>
                <c:pt idx="23">
                  <c:v>H83051</c:v>
                </c:pt>
                <c:pt idx="24">
                  <c:v>H83631</c:v>
                </c:pt>
                <c:pt idx="25">
                  <c:v>H83049</c:v>
                </c:pt>
                <c:pt idx="26">
                  <c:v>H83052</c:v>
                </c:pt>
                <c:pt idx="27">
                  <c:v>H83005</c:v>
                </c:pt>
                <c:pt idx="28">
                  <c:v>H83027</c:v>
                </c:pt>
                <c:pt idx="29">
                  <c:v>H83021</c:v>
                </c:pt>
                <c:pt idx="30">
                  <c:v>H83053</c:v>
                </c:pt>
                <c:pt idx="31">
                  <c:v>H83001</c:v>
                </c:pt>
                <c:pt idx="32">
                  <c:v>H83039</c:v>
                </c:pt>
                <c:pt idx="33">
                  <c:v>H83023</c:v>
                </c:pt>
                <c:pt idx="34">
                  <c:v>H83012</c:v>
                </c:pt>
                <c:pt idx="35">
                  <c:v>H83022</c:v>
                </c:pt>
                <c:pt idx="36">
                  <c:v>H83025</c:v>
                </c:pt>
                <c:pt idx="37">
                  <c:v>H83017</c:v>
                </c:pt>
                <c:pt idx="38">
                  <c:v>H83018</c:v>
                </c:pt>
                <c:pt idx="39">
                  <c:v>H83043</c:v>
                </c:pt>
                <c:pt idx="40">
                  <c:v>H83034</c:v>
                </c:pt>
                <c:pt idx="41">
                  <c:v>H83042</c:v>
                </c:pt>
                <c:pt idx="42">
                  <c:v>H83044</c:v>
                </c:pt>
                <c:pt idx="43">
                  <c:v>H83020</c:v>
                </c:pt>
                <c:pt idx="44">
                  <c:v>H83050</c:v>
                </c:pt>
                <c:pt idx="45">
                  <c:v>H83041</c:v>
                </c:pt>
                <c:pt idx="46">
                  <c:v>H83037</c:v>
                </c:pt>
                <c:pt idx="47">
                  <c:v>H83007</c:v>
                </c:pt>
                <c:pt idx="48">
                  <c:v>H83616</c:v>
                </c:pt>
                <c:pt idx="49">
                  <c:v>H83011</c:v>
                </c:pt>
                <c:pt idx="50">
                  <c:v>H83014</c:v>
                </c:pt>
                <c:pt idx="51">
                  <c:v>H83004</c:v>
                </c:pt>
                <c:pt idx="52">
                  <c:v>H83013</c:v>
                </c:pt>
                <c:pt idx="53">
                  <c:v>H83024</c:v>
                </c:pt>
                <c:pt idx="54">
                  <c:v>H83015</c:v>
                </c:pt>
                <c:pt idx="55">
                  <c:v>H83624</c:v>
                </c:pt>
                <c:pt idx="56">
                  <c:v>H83028</c:v>
                </c:pt>
                <c:pt idx="57">
                  <c:v>H83016</c:v>
                </c:pt>
                <c:pt idx="58">
                  <c:v>H83029</c:v>
                </c:pt>
                <c:pt idx="59">
                  <c:v>H83009</c:v>
                </c:pt>
                <c:pt idx="60">
                  <c:v>H83048</c:v>
                </c:pt>
                <c:pt idx="61">
                  <c:v>H83035</c:v>
                </c:pt>
              </c:strCache>
            </c:strRef>
          </c:cat>
          <c:val>
            <c:numRef>
              <c:f>'2WW Lower GI'!$F$29:$F$63</c:f>
              <c:numCache>
                <c:formatCode>0.00</c:formatCode>
                <c:ptCount val="35"/>
                <c:pt idx="0">
                  <c:v>53.972366148532011</c:v>
                </c:pt>
                <c:pt idx="1">
                  <c:v>72.495287806292581</c:v>
                </c:pt>
                <c:pt idx="2">
                  <c:v>88.287227781048031</c:v>
                </c:pt>
                <c:pt idx="3">
                  <c:v>94.354458248152213</c:v>
                </c:pt>
                <c:pt idx="4">
                  <c:v>97.804825038035204</c:v>
                </c:pt>
                <c:pt idx="5">
                  <c:v>100.93727469358329</c:v>
                </c:pt>
                <c:pt idx="6">
                  <c:v>110.14732204323282</c:v>
                </c:pt>
                <c:pt idx="7">
                  <c:v>118.16140848398911</c:v>
                </c:pt>
                <c:pt idx="8">
                  <c:v>118.7335092348285</c:v>
                </c:pt>
                <c:pt idx="9">
                  <c:v>123.40991076514165</c:v>
                </c:pt>
                <c:pt idx="10">
                  <c:v>123.5657546337158</c:v>
                </c:pt>
                <c:pt idx="11">
                  <c:v>123.69172216936252</c:v>
                </c:pt>
                <c:pt idx="12">
                  <c:v>127.90449797484561</c:v>
                </c:pt>
                <c:pt idx="13">
                  <c:v>131.82177695755402</c:v>
                </c:pt>
                <c:pt idx="14">
                  <c:v>133.53363378400903</c:v>
                </c:pt>
                <c:pt idx="15">
                  <c:v>136.22818220519369</c:v>
                </c:pt>
                <c:pt idx="16">
                  <c:v>137.29528292635047</c:v>
                </c:pt>
                <c:pt idx="17">
                  <c:v>139.13043478260869</c:v>
                </c:pt>
                <c:pt idx="18">
                  <c:v>146.87882496940026</c:v>
                </c:pt>
                <c:pt idx="19">
                  <c:v>148.34044131281345</c:v>
                </c:pt>
                <c:pt idx="20">
                  <c:v>154.09903431271837</c:v>
                </c:pt>
                <c:pt idx="21">
                  <c:v>163.36056009334825</c:v>
                </c:pt>
                <c:pt idx="22">
                  <c:v>166.87526074259497</c:v>
                </c:pt>
                <c:pt idx="23">
                  <c:v>211.97668256491741</c:v>
                </c:pt>
                <c:pt idx="24">
                  <c:v>222.73622890430909</c:v>
                </c:pt>
                <c:pt idx="25">
                  <c:v>223.19512404498238</c:v>
                </c:pt>
                <c:pt idx="26">
                  <c:v>225.0612298934272</c:v>
                </c:pt>
                <c:pt idx="27">
                  <c:v>253.57873210633946</c:v>
                </c:pt>
                <c:pt idx="28">
                  <c:v>261.58445440956672</c:v>
                </c:pt>
                <c:pt idx="29">
                  <c:v>261.85627000290953</c:v>
                </c:pt>
                <c:pt idx="30">
                  <c:v>272.50926531502148</c:v>
                </c:pt>
                <c:pt idx="31">
                  <c:v>291.00529100529099</c:v>
                </c:pt>
                <c:pt idx="32">
                  <c:v>393.65650657968729</c:v>
                </c:pt>
                <c:pt idx="33">
                  <c:v>428.65890998162865</c:v>
                </c:pt>
                <c:pt idx="34">
                  <c:v>431.03448275862064</c:v>
                </c:pt>
              </c:numCache>
            </c:numRef>
          </c:val>
        </c:ser>
        <c:axId val="107092224"/>
        <c:axId val="107106304"/>
      </c:barChart>
      <c:lineChart>
        <c:grouping val="standard"/>
        <c:ser>
          <c:idx val="1"/>
          <c:order val="1"/>
          <c:tx>
            <c:strRef>
              <c:f>'2WW Lower GI'!$K$1</c:f>
              <c:strCache>
                <c:ptCount val="1"/>
                <c:pt idx="0">
                  <c:v>PCT Average</c:v>
                </c:pt>
              </c:strCache>
            </c:strRef>
          </c:tx>
          <c:spPr>
            <a:ln w="19050">
              <a:solidFill>
                <a:srgbClr val="FF0000"/>
              </a:solidFill>
              <a:prstDash val="dash"/>
            </a:ln>
          </c:spPr>
          <c:marker>
            <c:symbol val="none"/>
          </c:marker>
          <c:val>
            <c:numRef>
              <c:f>'2WW Lower GI'!$K$29:$K$63</c:f>
              <c:numCache>
                <c:formatCode>0.00</c:formatCode>
                <c:ptCount val="35"/>
                <c:pt idx="0">
                  <c:v>137.59917818958408</c:v>
                </c:pt>
                <c:pt idx="1">
                  <c:v>137.59917818958408</c:v>
                </c:pt>
                <c:pt idx="2">
                  <c:v>137.59917818958408</c:v>
                </c:pt>
                <c:pt idx="3">
                  <c:v>137.59917818958408</c:v>
                </c:pt>
                <c:pt idx="4">
                  <c:v>137.59917818958408</c:v>
                </c:pt>
                <c:pt idx="5">
                  <c:v>137.59917818958408</c:v>
                </c:pt>
                <c:pt idx="6">
                  <c:v>137.59917818958408</c:v>
                </c:pt>
                <c:pt idx="7">
                  <c:v>137.59917818958408</c:v>
                </c:pt>
                <c:pt idx="8">
                  <c:v>137.59917818958408</c:v>
                </c:pt>
                <c:pt idx="9">
                  <c:v>137.59917818958408</c:v>
                </c:pt>
                <c:pt idx="10">
                  <c:v>137.59917818958408</c:v>
                </c:pt>
                <c:pt idx="11">
                  <c:v>137.59917818958408</c:v>
                </c:pt>
                <c:pt idx="12">
                  <c:v>137.59917818958408</c:v>
                </c:pt>
                <c:pt idx="13">
                  <c:v>137.59917818958408</c:v>
                </c:pt>
                <c:pt idx="14">
                  <c:v>137.59917818958408</c:v>
                </c:pt>
                <c:pt idx="15">
                  <c:v>137.59917818958408</c:v>
                </c:pt>
                <c:pt idx="16">
                  <c:v>137.59917818958408</c:v>
                </c:pt>
                <c:pt idx="17">
                  <c:v>137.59917818958408</c:v>
                </c:pt>
                <c:pt idx="18">
                  <c:v>137.59917818958408</c:v>
                </c:pt>
                <c:pt idx="19">
                  <c:v>137.59917818958408</c:v>
                </c:pt>
                <c:pt idx="20">
                  <c:v>137.59917818958408</c:v>
                </c:pt>
                <c:pt idx="21">
                  <c:v>137.59917818958408</c:v>
                </c:pt>
                <c:pt idx="22">
                  <c:v>137.59917818958408</c:v>
                </c:pt>
                <c:pt idx="23">
                  <c:v>137.59917818958408</c:v>
                </c:pt>
                <c:pt idx="24">
                  <c:v>137.59917818958408</c:v>
                </c:pt>
                <c:pt idx="25">
                  <c:v>137.59917818958408</c:v>
                </c:pt>
                <c:pt idx="26">
                  <c:v>137.59917818958408</c:v>
                </c:pt>
                <c:pt idx="27">
                  <c:v>137.59917818958408</c:v>
                </c:pt>
                <c:pt idx="28">
                  <c:v>137.59917818958408</c:v>
                </c:pt>
                <c:pt idx="29">
                  <c:v>137.59917818958408</c:v>
                </c:pt>
                <c:pt idx="30">
                  <c:v>137.59917818958408</c:v>
                </c:pt>
                <c:pt idx="31">
                  <c:v>137.59917818958408</c:v>
                </c:pt>
                <c:pt idx="32">
                  <c:v>137.59917818958408</c:v>
                </c:pt>
                <c:pt idx="33">
                  <c:v>137.59917818958408</c:v>
                </c:pt>
                <c:pt idx="34">
                  <c:v>137.59917818958408</c:v>
                </c:pt>
              </c:numCache>
            </c:numRef>
          </c:val>
        </c:ser>
        <c:ser>
          <c:idx val="2"/>
          <c:order val="2"/>
          <c:tx>
            <c:strRef>
              <c:f>'2WW Lower GI'!$L$1</c:f>
              <c:strCache>
                <c:ptCount val="1"/>
                <c:pt idx="0">
                  <c:v>England Average</c:v>
                </c:pt>
              </c:strCache>
            </c:strRef>
          </c:tx>
          <c:spPr>
            <a:ln w="19050">
              <a:solidFill>
                <a:srgbClr val="7030A0"/>
              </a:solidFill>
              <a:prstDash val="lgDashDotDot"/>
            </a:ln>
          </c:spPr>
          <c:marker>
            <c:symbol val="none"/>
          </c:marker>
          <c:val>
            <c:numRef>
              <c:f>'2WW Lower GI'!$L$29:$L$63</c:f>
              <c:numCache>
                <c:formatCode>0.00</c:formatCode>
                <c:ptCount val="35"/>
                <c:pt idx="0">
                  <c:v>251.49177863721513</c:v>
                </c:pt>
                <c:pt idx="1">
                  <c:v>251.49177863721513</c:v>
                </c:pt>
                <c:pt idx="2">
                  <c:v>251.49177863721513</c:v>
                </c:pt>
                <c:pt idx="3">
                  <c:v>251.49177863721513</c:v>
                </c:pt>
                <c:pt idx="4">
                  <c:v>251.49177863721513</c:v>
                </c:pt>
                <c:pt idx="5">
                  <c:v>251.49177863721513</c:v>
                </c:pt>
                <c:pt idx="6">
                  <c:v>251.49177863721513</c:v>
                </c:pt>
                <c:pt idx="7">
                  <c:v>251.49177863721513</c:v>
                </c:pt>
                <c:pt idx="8">
                  <c:v>251.49177863721513</c:v>
                </c:pt>
                <c:pt idx="9">
                  <c:v>251.49177863721513</c:v>
                </c:pt>
                <c:pt idx="10">
                  <c:v>251.49177863721513</c:v>
                </c:pt>
                <c:pt idx="11">
                  <c:v>251.49177863721513</c:v>
                </c:pt>
                <c:pt idx="12">
                  <c:v>251.49177863721513</c:v>
                </c:pt>
                <c:pt idx="13">
                  <c:v>251.49177863721513</c:v>
                </c:pt>
                <c:pt idx="14">
                  <c:v>251.49177863721513</c:v>
                </c:pt>
                <c:pt idx="15">
                  <c:v>251.49177863721513</c:v>
                </c:pt>
                <c:pt idx="16">
                  <c:v>251.49177863721513</c:v>
                </c:pt>
                <c:pt idx="17">
                  <c:v>251.49177863721513</c:v>
                </c:pt>
                <c:pt idx="18">
                  <c:v>251.49177863721513</c:v>
                </c:pt>
                <c:pt idx="19">
                  <c:v>251.49177863721513</c:v>
                </c:pt>
                <c:pt idx="20">
                  <c:v>251.49177863721513</c:v>
                </c:pt>
                <c:pt idx="21">
                  <c:v>251.49177863721513</c:v>
                </c:pt>
                <c:pt idx="22">
                  <c:v>251.49177863721513</c:v>
                </c:pt>
                <c:pt idx="23">
                  <c:v>251.49177863721513</c:v>
                </c:pt>
                <c:pt idx="24">
                  <c:v>251.49177863721513</c:v>
                </c:pt>
                <c:pt idx="25">
                  <c:v>251.49177863721513</c:v>
                </c:pt>
                <c:pt idx="26">
                  <c:v>251.49177863721513</c:v>
                </c:pt>
                <c:pt idx="27">
                  <c:v>251.49177863721513</c:v>
                </c:pt>
                <c:pt idx="28">
                  <c:v>251.49177863721513</c:v>
                </c:pt>
                <c:pt idx="29">
                  <c:v>251.49177863721513</c:v>
                </c:pt>
                <c:pt idx="30">
                  <c:v>251.49177863721513</c:v>
                </c:pt>
                <c:pt idx="31">
                  <c:v>251.49177863721513</c:v>
                </c:pt>
                <c:pt idx="32">
                  <c:v>251.49177863721513</c:v>
                </c:pt>
                <c:pt idx="33">
                  <c:v>251.49177863721513</c:v>
                </c:pt>
                <c:pt idx="34">
                  <c:v>251.49177863721513</c:v>
                </c:pt>
              </c:numCache>
            </c:numRef>
          </c:val>
        </c:ser>
        <c:marker val="1"/>
        <c:axId val="107092224"/>
        <c:axId val="107106304"/>
      </c:lineChart>
      <c:catAx>
        <c:axId val="107092224"/>
        <c:scaling>
          <c:orientation val="minMax"/>
        </c:scaling>
        <c:axPos val="b"/>
        <c:numFmt formatCode="General" sourceLinked="1"/>
        <c:tickLblPos val="nextTo"/>
        <c:txPr>
          <a:bodyPr/>
          <a:lstStyle/>
          <a:p>
            <a:pPr>
              <a:defRPr sz="600"/>
            </a:pPr>
            <a:endParaRPr lang="en-US"/>
          </a:p>
        </c:txPr>
        <c:crossAx val="107106304"/>
        <c:crosses val="autoZero"/>
        <c:auto val="1"/>
        <c:lblAlgn val="ctr"/>
        <c:lblOffset val="100"/>
      </c:catAx>
      <c:valAx>
        <c:axId val="107106304"/>
        <c:scaling>
          <c:orientation val="minMax"/>
        </c:scaling>
        <c:axPos val="l"/>
        <c:majorGridlines/>
        <c:numFmt formatCode="0.00" sourceLinked="1"/>
        <c:tickLblPos val="nextTo"/>
        <c:txPr>
          <a:bodyPr/>
          <a:lstStyle/>
          <a:p>
            <a:pPr>
              <a:defRPr sz="600"/>
            </a:pPr>
            <a:endParaRPr lang="en-US"/>
          </a:p>
        </c:txPr>
        <c:crossAx val="107092224"/>
        <c:crosses val="autoZero"/>
        <c:crossBetween val="between"/>
      </c:valAx>
    </c:plotArea>
    <c:legend>
      <c:legendPos val="r"/>
      <c:legendEntry>
        <c:idx val="0"/>
        <c:delete val="1"/>
      </c:legendEntry>
      <c:layout>
        <c:manualLayout>
          <c:xMode val="edge"/>
          <c:yMode val="edge"/>
          <c:x val="6.7517202982855989E-2"/>
          <c:y val="3.6844925634295811E-2"/>
          <c:w val="0.32661790316962908"/>
          <c:h val="8.4484908136483391E-2"/>
        </c:manualLayout>
      </c:layout>
      <c:txPr>
        <a:bodyPr/>
        <a:lstStyle/>
        <a:p>
          <a:pPr>
            <a:defRPr sz="600"/>
          </a:pPr>
          <a:endParaRPr lang="en-US"/>
        </a:p>
      </c:txPr>
    </c:legend>
    <c:plotVisOnly val="1"/>
    <c:dispBlanksAs val="gap"/>
  </c:chart>
  <c:spPr>
    <a:ln>
      <a:solidFill>
        <a:schemeClr val="bg1"/>
      </a:solidFill>
    </a:ln>
  </c:spPr>
  <c:externalData r:id="rId1"/>
  <c:userShapes r:id="rId2"/>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0279693486590066"/>
          <c:y val="5.1400554097404488E-2"/>
          <c:w val="0.88274429058436665"/>
          <c:h val="0.88731955380577432"/>
        </c:manualLayout>
      </c:layout>
      <c:barChart>
        <c:barDir val="col"/>
        <c:grouping val="clustered"/>
        <c:ser>
          <c:idx val="0"/>
          <c:order val="0"/>
          <c:spPr>
            <a:solidFill>
              <a:schemeClr val="bg1">
                <a:lumMod val="50000"/>
              </a:schemeClr>
            </a:solidFill>
            <a:ln>
              <a:solidFill>
                <a:schemeClr val="tx1"/>
              </a:solidFill>
            </a:ln>
          </c:spPr>
          <c:errBars>
            <c:errBarType val="both"/>
            <c:errValType val="cust"/>
            <c:plus>
              <c:numRef>
                <c:f>'2WW Lower GI'!$J$5:$J$26</c:f>
                <c:numCache>
                  <c:formatCode>General</c:formatCode>
                  <c:ptCount val="22"/>
                  <c:pt idx="0">
                    <c:v>50.789130858395112</c:v>
                  </c:pt>
                  <c:pt idx="1">
                    <c:v>102.54023629161614</c:v>
                  </c:pt>
                  <c:pt idx="2">
                    <c:v>114.71818047115067</c:v>
                  </c:pt>
                  <c:pt idx="3">
                    <c:v>99.592058794807954</c:v>
                  </c:pt>
                  <c:pt idx="4">
                    <c:v>143.3772394126278</c:v>
                  </c:pt>
                  <c:pt idx="5">
                    <c:v>103.85676824319933</c:v>
                  </c:pt>
                  <c:pt idx="6">
                    <c:v>174.53387561626059</c:v>
                  </c:pt>
                  <c:pt idx="7">
                    <c:v>129.86114011220283</c:v>
                  </c:pt>
                  <c:pt idx="8">
                    <c:v>81.260834781737813</c:v>
                  </c:pt>
                  <c:pt idx="9">
                    <c:v>209.05819569670592</c:v>
                  </c:pt>
                  <c:pt idx="10">
                    <c:v>99.571124040165557</c:v>
                  </c:pt>
                  <c:pt idx="11">
                    <c:v>133.69750510526478</c:v>
                  </c:pt>
                  <c:pt idx="12">
                    <c:v>267.15951802643042</c:v>
                  </c:pt>
                  <c:pt idx="13">
                    <c:v>168.47905780779641</c:v>
                  </c:pt>
                  <c:pt idx="14">
                    <c:v>154.62994277326078</c:v>
                  </c:pt>
                  <c:pt idx="15">
                    <c:v>168.85226627686802</c:v>
                  </c:pt>
                  <c:pt idx="16">
                    <c:v>108.00058061637645</c:v>
                  </c:pt>
                  <c:pt idx="17">
                    <c:v>231.55761705103583</c:v>
                  </c:pt>
                  <c:pt idx="18">
                    <c:v>243.67614601855587</c:v>
                  </c:pt>
                  <c:pt idx="19">
                    <c:v>280.51991586910896</c:v>
                  </c:pt>
                  <c:pt idx="20">
                    <c:v>187.58565026013659</c:v>
                  </c:pt>
                  <c:pt idx="21">
                    <c:v>282.51421351632416</c:v>
                  </c:pt>
                </c:numCache>
              </c:numRef>
            </c:plus>
            <c:minus>
              <c:numRef>
                <c:f>'2WW Lower GI'!$I$5:$I$26</c:f>
                <c:numCache>
                  <c:formatCode>General</c:formatCode>
                  <c:ptCount val="22"/>
                  <c:pt idx="0">
                    <c:v>34.897961542307215</c:v>
                  </c:pt>
                  <c:pt idx="1">
                    <c:v>55.324027005320424</c:v>
                  </c:pt>
                  <c:pt idx="2">
                    <c:v>64.837290981634723</c:v>
                  </c:pt>
                  <c:pt idx="3">
                    <c:v>61.863515125402309</c:v>
                  </c:pt>
                  <c:pt idx="4">
                    <c:v>77.357011765156798</c:v>
                  </c:pt>
                  <c:pt idx="5">
                    <c:v>64.512621094881183</c:v>
                  </c:pt>
                  <c:pt idx="6">
                    <c:v>94.16710159002028</c:v>
                  </c:pt>
                  <c:pt idx="7">
                    <c:v>80.665734826158683</c:v>
                  </c:pt>
                  <c:pt idx="8">
                    <c:v>59.463274658878504</c:v>
                  </c:pt>
                  <c:pt idx="9">
                    <c:v>112.79417409879539</c:v>
                  </c:pt>
                  <c:pt idx="10">
                    <c:v>71.214108856399818</c:v>
                  </c:pt>
                  <c:pt idx="11">
                    <c:v>89.485270450145066</c:v>
                  </c:pt>
                  <c:pt idx="12">
                    <c:v>135.76482927425954</c:v>
                  </c:pt>
                  <c:pt idx="13">
                    <c:v>107.03113894080749</c:v>
                  </c:pt>
                  <c:pt idx="14">
                    <c:v>103.49559057112739</c:v>
                  </c:pt>
                  <c:pt idx="15">
                    <c:v>113.01475447884376</c:v>
                  </c:pt>
                  <c:pt idx="16">
                    <c:v>83.892277416651481</c:v>
                  </c:pt>
                  <c:pt idx="17">
                    <c:v>147.10359736024552</c:v>
                  </c:pt>
                  <c:pt idx="18">
                    <c:v>163.09523361375602</c:v>
                  </c:pt>
                  <c:pt idx="19">
                    <c:v>184.89347635173158</c:v>
                  </c:pt>
                  <c:pt idx="20">
                    <c:v>149.39056627722513</c:v>
                  </c:pt>
                  <c:pt idx="21">
                    <c:v>223.09414590449182</c:v>
                  </c:pt>
                </c:numCache>
              </c:numRef>
            </c:minus>
          </c:errBars>
          <c:cat>
            <c:strRef>
              <c:f>'2WW Lower GI'!$B$5:$B$26</c:f>
              <c:strCache>
                <c:ptCount val="22"/>
                <c:pt idx="0">
                  <c:v>H84020</c:v>
                </c:pt>
                <c:pt idx="1">
                  <c:v>H84033</c:v>
                </c:pt>
                <c:pt idx="2">
                  <c:v>H84015</c:v>
                </c:pt>
                <c:pt idx="3">
                  <c:v>H85055</c:v>
                </c:pt>
                <c:pt idx="4">
                  <c:v>H84629</c:v>
                </c:pt>
                <c:pt idx="5">
                  <c:v>H84619</c:v>
                </c:pt>
                <c:pt idx="6">
                  <c:v>H84607</c:v>
                </c:pt>
                <c:pt idx="7">
                  <c:v>H84635</c:v>
                </c:pt>
                <c:pt idx="8">
                  <c:v>H84027</c:v>
                </c:pt>
                <c:pt idx="9">
                  <c:v>H84054</c:v>
                </c:pt>
                <c:pt idx="10">
                  <c:v>H84016</c:v>
                </c:pt>
                <c:pt idx="11">
                  <c:v>H84062</c:v>
                </c:pt>
                <c:pt idx="12">
                  <c:v>Y02379</c:v>
                </c:pt>
                <c:pt idx="13">
                  <c:v>H84025</c:v>
                </c:pt>
                <c:pt idx="14">
                  <c:v>H84050</c:v>
                </c:pt>
                <c:pt idx="15">
                  <c:v>H84051</c:v>
                </c:pt>
                <c:pt idx="16">
                  <c:v>H84030</c:v>
                </c:pt>
                <c:pt idx="17">
                  <c:v>H84058</c:v>
                </c:pt>
                <c:pt idx="18">
                  <c:v>H84053</c:v>
                </c:pt>
                <c:pt idx="19">
                  <c:v>H84637</c:v>
                </c:pt>
                <c:pt idx="20">
                  <c:v>H84034</c:v>
                </c:pt>
                <c:pt idx="21">
                  <c:v>H84008</c:v>
                </c:pt>
              </c:strCache>
            </c:strRef>
          </c:cat>
          <c:val>
            <c:numRef>
              <c:f>'2WW Lower GI'!$F$5:$F$26</c:f>
              <c:numCache>
                <c:formatCode>0.00</c:formatCode>
                <c:ptCount val="22"/>
                <c:pt idx="0">
                  <c:v>81.387659596113735</c:v>
                </c:pt>
                <c:pt idx="1">
                  <c:v>87.145969498910858</c:v>
                </c:pt>
                <c:pt idx="2">
                  <c:v>108.17493432236114</c:v>
                </c:pt>
                <c:pt idx="3">
                  <c:v>118.68027533823863</c:v>
                </c:pt>
                <c:pt idx="4">
                  <c:v>121.85215272136475</c:v>
                </c:pt>
                <c:pt idx="5">
                  <c:v>123.76237623762346</c:v>
                </c:pt>
                <c:pt idx="6">
                  <c:v>148.33127317676139</c:v>
                </c:pt>
                <c:pt idx="7">
                  <c:v>154.75085112968091</c:v>
                </c:pt>
                <c:pt idx="8">
                  <c:v>162.33766233766241</c:v>
                </c:pt>
                <c:pt idx="9">
                  <c:v>177.67249037607374</c:v>
                </c:pt>
                <c:pt idx="10">
                  <c:v>182.86550242296778</c:v>
                </c:pt>
                <c:pt idx="11">
                  <c:v>197.2108747710941</c:v>
                </c:pt>
                <c:pt idx="12">
                  <c:v>200.32051282051282</c:v>
                </c:pt>
                <c:pt idx="13">
                  <c:v>213.42646488164544</c:v>
                </c:pt>
                <c:pt idx="14">
                  <c:v>228.0873248615184</c:v>
                </c:pt>
                <c:pt idx="15">
                  <c:v>249.06600249066003</c:v>
                </c:pt>
                <c:pt idx="16">
                  <c:v>276.35215159889424</c:v>
                </c:pt>
                <c:pt idx="17">
                  <c:v>293.33333333333331</c:v>
                </c:pt>
                <c:pt idx="18">
                  <c:v>359.43517329910065</c:v>
                </c:pt>
                <c:pt idx="19">
                  <c:v>395.01671224551689</c:v>
                </c:pt>
                <c:pt idx="20">
                  <c:v>540.54054054054052</c:v>
                </c:pt>
                <c:pt idx="21">
                  <c:v>780.94494338149138</c:v>
                </c:pt>
              </c:numCache>
            </c:numRef>
          </c:val>
        </c:ser>
        <c:axId val="107147264"/>
        <c:axId val="107148800"/>
      </c:barChart>
      <c:lineChart>
        <c:grouping val="standard"/>
        <c:ser>
          <c:idx val="1"/>
          <c:order val="1"/>
          <c:tx>
            <c:strRef>
              <c:f>'2WW Lower GI'!$K$1</c:f>
              <c:strCache>
                <c:ptCount val="1"/>
                <c:pt idx="0">
                  <c:v>PCT Avergae</c:v>
                </c:pt>
              </c:strCache>
            </c:strRef>
          </c:tx>
          <c:spPr>
            <a:ln w="19050">
              <a:solidFill>
                <a:srgbClr val="FF0000"/>
              </a:solidFill>
              <a:prstDash val="dash"/>
            </a:ln>
          </c:spPr>
          <c:marker>
            <c:symbol val="none"/>
          </c:marker>
          <c:val>
            <c:numRef>
              <c:f>'2WW Lower GI'!$K$5:$K$26</c:f>
              <c:numCache>
                <c:formatCode>0.00</c:formatCode>
                <c:ptCount val="22"/>
                <c:pt idx="0">
                  <c:v>206.89697512938699</c:v>
                </c:pt>
                <c:pt idx="1">
                  <c:v>206.89697512938699</c:v>
                </c:pt>
                <c:pt idx="2">
                  <c:v>206.89697512938699</c:v>
                </c:pt>
                <c:pt idx="3">
                  <c:v>206.89697512938699</c:v>
                </c:pt>
                <c:pt idx="4">
                  <c:v>206.89697512938699</c:v>
                </c:pt>
                <c:pt idx="5">
                  <c:v>206.89697512938699</c:v>
                </c:pt>
                <c:pt idx="6">
                  <c:v>206.89697512938699</c:v>
                </c:pt>
                <c:pt idx="7">
                  <c:v>206.89697512938699</c:v>
                </c:pt>
                <c:pt idx="8">
                  <c:v>206.89697512938699</c:v>
                </c:pt>
                <c:pt idx="9">
                  <c:v>206.89697512938699</c:v>
                </c:pt>
                <c:pt idx="10">
                  <c:v>206.89697512938699</c:v>
                </c:pt>
                <c:pt idx="11">
                  <c:v>206.89697512938699</c:v>
                </c:pt>
                <c:pt idx="12">
                  <c:v>206.89697512938699</c:v>
                </c:pt>
                <c:pt idx="13">
                  <c:v>206.89697512938699</c:v>
                </c:pt>
                <c:pt idx="14">
                  <c:v>206.89697512938699</c:v>
                </c:pt>
                <c:pt idx="15">
                  <c:v>206.89697512938699</c:v>
                </c:pt>
                <c:pt idx="16">
                  <c:v>206.89697512938699</c:v>
                </c:pt>
                <c:pt idx="17">
                  <c:v>206.89697512938699</c:v>
                </c:pt>
                <c:pt idx="18">
                  <c:v>206.89697512938699</c:v>
                </c:pt>
                <c:pt idx="19">
                  <c:v>206.89697512938699</c:v>
                </c:pt>
                <c:pt idx="20">
                  <c:v>206.89697512938699</c:v>
                </c:pt>
                <c:pt idx="21">
                  <c:v>206.89697512938699</c:v>
                </c:pt>
              </c:numCache>
            </c:numRef>
          </c:val>
        </c:ser>
        <c:ser>
          <c:idx val="2"/>
          <c:order val="2"/>
          <c:tx>
            <c:strRef>
              <c:f>'2WW Lower GI'!$L$1</c:f>
              <c:strCache>
                <c:ptCount val="1"/>
                <c:pt idx="0">
                  <c:v>England Average</c:v>
                </c:pt>
              </c:strCache>
            </c:strRef>
          </c:tx>
          <c:spPr>
            <a:ln w="19050">
              <a:solidFill>
                <a:srgbClr val="7030A0"/>
              </a:solidFill>
              <a:prstDash val="lgDashDotDot"/>
            </a:ln>
          </c:spPr>
          <c:marker>
            <c:symbol val="none"/>
          </c:marker>
          <c:val>
            <c:numRef>
              <c:f>'2WW Lower GI'!$L$5:$L$26</c:f>
              <c:numCache>
                <c:formatCode>0.00</c:formatCode>
                <c:ptCount val="22"/>
                <c:pt idx="0">
                  <c:v>251.49177863721513</c:v>
                </c:pt>
                <c:pt idx="1">
                  <c:v>251.49177863721513</c:v>
                </c:pt>
                <c:pt idx="2">
                  <c:v>251.49177863721513</c:v>
                </c:pt>
                <c:pt idx="3">
                  <c:v>251.49177863721513</c:v>
                </c:pt>
                <c:pt idx="4">
                  <c:v>251.49177863721513</c:v>
                </c:pt>
                <c:pt idx="5">
                  <c:v>251.49177863721513</c:v>
                </c:pt>
                <c:pt idx="6">
                  <c:v>251.49177863721513</c:v>
                </c:pt>
                <c:pt idx="7">
                  <c:v>251.49177863721513</c:v>
                </c:pt>
                <c:pt idx="8">
                  <c:v>251.49177863721513</c:v>
                </c:pt>
                <c:pt idx="9">
                  <c:v>251.49177863721513</c:v>
                </c:pt>
                <c:pt idx="10">
                  <c:v>251.49177863721513</c:v>
                </c:pt>
                <c:pt idx="11">
                  <c:v>251.49177863721513</c:v>
                </c:pt>
                <c:pt idx="12">
                  <c:v>251.49177863721513</c:v>
                </c:pt>
                <c:pt idx="13">
                  <c:v>251.49177863721513</c:v>
                </c:pt>
                <c:pt idx="14">
                  <c:v>251.49177863721513</c:v>
                </c:pt>
                <c:pt idx="15">
                  <c:v>251.49177863721513</c:v>
                </c:pt>
                <c:pt idx="16">
                  <c:v>251.49177863721513</c:v>
                </c:pt>
                <c:pt idx="17">
                  <c:v>251.49177863721513</c:v>
                </c:pt>
                <c:pt idx="18">
                  <c:v>251.49177863721513</c:v>
                </c:pt>
                <c:pt idx="19">
                  <c:v>251.49177863721513</c:v>
                </c:pt>
                <c:pt idx="20">
                  <c:v>251.49177863721513</c:v>
                </c:pt>
                <c:pt idx="21">
                  <c:v>251.49177863721513</c:v>
                </c:pt>
              </c:numCache>
            </c:numRef>
          </c:val>
        </c:ser>
        <c:marker val="1"/>
        <c:axId val="107147264"/>
        <c:axId val="107148800"/>
      </c:lineChart>
      <c:catAx>
        <c:axId val="107147264"/>
        <c:scaling>
          <c:orientation val="minMax"/>
        </c:scaling>
        <c:axPos val="b"/>
        <c:numFmt formatCode="General" sourceLinked="1"/>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07148800"/>
        <c:crosses val="autoZero"/>
        <c:auto val="1"/>
        <c:lblAlgn val="ctr"/>
        <c:lblOffset val="100"/>
      </c:catAx>
      <c:valAx>
        <c:axId val="107148800"/>
        <c:scaling>
          <c:orientation val="minMax"/>
          <c:max val="1100"/>
          <c:min val="0"/>
        </c:scaling>
        <c:axPos val="l"/>
        <c:majorGridlines/>
        <c:numFmt formatCode="0.00" sourceLinked="1"/>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07147264"/>
        <c:crosses val="autoZero"/>
        <c:crossBetween val="between"/>
      </c:valAx>
    </c:plotArea>
    <c:legend>
      <c:legendPos val="r"/>
      <c:legendEntry>
        <c:idx val="0"/>
        <c:delete val="1"/>
      </c:legendEntry>
      <c:layout>
        <c:manualLayout>
          <c:xMode val="edge"/>
          <c:yMode val="edge"/>
          <c:x val="7.4483416845622027E-2"/>
          <c:y val="9.7030110819480903E-2"/>
          <c:w val="0.32661790316962908"/>
          <c:h val="8.4484908136483391E-2"/>
        </c:manualLayout>
      </c:layout>
      <c:txPr>
        <a:bodyPr/>
        <a:lstStyle/>
        <a:p>
          <a:pPr>
            <a:defRPr sz="550" b="0" i="0" u="none" strike="noStrike" baseline="0">
              <a:solidFill>
                <a:srgbClr val="000000"/>
              </a:solidFill>
              <a:latin typeface="Calibri"/>
              <a:ea typeface="Calibri"/>
              <a:cs typeface="Calibri"/>
            </a:defRPr>
          </a:pPr>
          <a:endParaRPr lang="en-US"/>
        </a:p>
      </c:txPr>
    </c:legend>
    <c:plotVisOnly val="1"/>
    <c:dispBlanksAs val="gap"/>
  </c:chart>
  <c:spPr>
    <a:ln>
      <a:solidFill>
        <a:schemeClr val="bg1"/>
      </a:solidFill>
    </a:ln>
  </c:spPr>
  <c:txPr>
    <a:bodyPr/>
    <a:lstStyle/>
    <a:p>
      <a:pPr>
        <a:defRPr sz="1000" b="0" i="0" u="none" strike="noStrike" baseline="0">
          <a:solidFill>
            <a:srgbClr val="000000"/>
          </a:solidFill>
          <a:latin typeface="Calibri"/>
          <a:ea typeface="Calibri"/>
          <a:cs typeface="Calibri"/>
        </a:defRPr>
      </a:pPr>
      <a:endParaRPr lang="en-US"/>
    </a:p>
  </c:txPr>
  <c:externalData r:id="rId1"/>
  <c:userShapes r:id="rId2"/>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9.8439418476945692E-2"/>
          <c:y val="5.1400554097404488E-2"/>
          <c:w val="0.88535179911021633"/>
          <c:h val="0.78546770195391813"/>
        </c:manualLayout>
      </c:layout>
      <c:barChart>
        <c:barDir val="col"/>
        <c:grouping val="clustered"/>
        <c:ser>
          <c:idx val="0"/>
          <c:order val="0"/>
          <c:spPr>
            <a:solidFill>
              <a:schemeClr val="bg1">
                <a:lumMod val="50000"/>
              </a:schemeClr>
            </a:solidFill>
            <a:ln>
              <a:solidFill>
                <a:schemeClr val="tx1"/>
              </a:solidFill>
            </a:ln>
          </c:spPr>
          <c:errBars>
            <c:errBarType val="both"/>
            <c:errValType val="cust"/>
            <c:plus>
              <c:numRef>
                <c:f>'2WW Lower GI'!$J$9:$J$32</c:f>
                <c:numCache>
                  <c:formatCode>General</c:formatCode>
                  <c:ptCount val="24"/>
                  <c:pt idx="0">
                    <c:v>79.298922397929019</c:v>
                  </c:pt>
                  <c:pt idx="1">
                    <c:v>96.816994907813495</c:v>
                  </c:pt>
                  <c:pt idx="2">
                    <c:v>82.230009446952323</c:v>
                  </c:pt>
                  <c:pt idx="3">
                    <c:v>120.25030265163942</c:v>
                  </c:pt>
                  <c:pt idx="4">
                    <c:v>146.50125064697571</c:v>
                  </c:pt>
                  <c:pt idx="5">
                    <c:v>106.81806102406465</c:v>
                  </c:pt>
                  <c:pt idx="6">
                    <c:v>98.558524272302733</c:v>
                  </c:pt>
                  <c:pt idx="7">
                    <c:v>91.936924698260569</c:v>
                  </c:pt>
                  <c:pt idx="8">
                    <c:v>88.719401421214727</c:v>
                  </c:pt>
                  <c:pt idx="9">
                    <c:v>167.89270377830292</c:v>
                  </c:pt>
                  <c:pt idx="10">
                    <c:v>139.46969179287419</c:v>
                  </c:pt>
                  <c:pt idx="11">
                    <c:v>208.07883326647612</c:v>
                  </c:pt>
                  <c:pt idx="12">
                    <c:v>295.39310747605663</c:v>
                  </c:pt>
                  <c:pt idx="13">
                    <c:v>106.38779121920294</c:v>
                  </c:pt>
                  <c:pt idx="14">
                    <c:v>114.36766234132811</c:v>
                  </c:pt>
                  <c:pt idx="15">
                    <c:v>174.55337730355481</c:v>
                  </c:pt>
                  <c:pt idx="16">
                    <c:v>367.19722301430164</c:v>
                  </c:pt>
                  <c:pt idx="17">
                    <c:v>251.17111266239198</c:v>
                  </c:pt>
                  <c:pt idx="18">
                    <c:v>200.77955456123971</c:v>
                  </c:pt>
                  <c:pt idx="19">
                    <c:v>140.29714194957401</c:v>
                  </c:pt>
                  <c:pt idx="20">
                    <c:v>153.22196947840442</c:v>
                  </c:pt>
                  <c:pt idx="21">
                    <c:v>172.25753389968779</c:v>
                  </c:pt>
                  <c:pt idx="22">
                    <c:v>172.38135830189171</c:v>
                  </c:pt>
                  <c:pt idx="23">
                    <c:v>400.62146330591071</c:v>
                  </c:pt>
                </c:numCache>
              </c:numRef>
            </c:plus>
            <c:minus>
              <c:numRef>
                <c:f>'2WW Lower GI'!$I$9:$I$32</c:f>
                <c:numCache>
                  <c:formatCode>General</c:formatCode>
                  <c:ptCount val="24"/>
                  <c:pt idx="0">
                    <c:v>46.526069209889549</c:v>
                  </c:pt>
                  <c:pt idx="1">
                    <c:v>52.236139047124638</c:v>
                  </c:pt>
                  <c:pt idx="2">
                    <c:v>48.245789412627474</c:v>
                  </c:pt>
                  <c:pt idx="3">
                    <c:v>64.879224311298273</c:v>
                  </c:pt>
                  <c:pt idx="4">
                    <c:v>79.042524575976827</c:v>
                  </c:pt>
                  <c:pt idx="5">
                    <c:v>66.352084832820381</c:v>
                  </c:pt>
                  <c:pt idx="6">
                    <c:v>65.966348382718579</c:v>
                  </c:pt>
                  <c:pt idx="7">
                    <c:v>67.724391280637462</c:v>
                  </c:pt>
                  <c:pt idx="8">
                    <c:v>66.151235170651034</c:v>
                  </c:pt>
                  <c:pt idx="9">
                    <c:v>106.65864077744018</c:v>
                  </c:pt>
                  <c:pt idx="10">
                    <c:v>95.831684028526212</c:v>
                  </c:pt>
                  <c:pt idx="11">
                    <c:v>125.91814247240956</c:v>
                  </c:pt>
                  <c:pt idx="12">
                    <c:v>159.37486440654015</c:v>
                  </c:pt>
                  <c:pt idx="13">
                    <c:v>81.330389460907867</c:v>
                  </c:pt>
                  <c:pt idx="14">
                    <c:v>87.039427959393592</c:v>
                  </c:pt>
                  <c:pt idx="15">
                    <c:v>118.45243994407042</c:v>
                  </c:pt>
                  <c:pt idx="16">
                    <c:v>186.60187988356421</c:v>
                  </c:pt>
                  <c:pt idx="17">
                    <c:v>156.0197481133313</c:v>
                  </c:pt>
                  <c:pt idx="18">
                    <c:v>136.24960167515528</c:v>
                  </c:pt>
                  <c:pt idx="19">
                    <c:v>106.27052517171016</c:v>
                  </c:pt>
                  <c:pt idx="20">
                    <c:v>114.88123255080228</c:v>
                  </c:pt>
                  <c:pt idx="21">
                    <c:v>130.47948331608256</c:v>
                  </c:pt>
                  <c:pt idx="22">
                    <c:v>131.19070994632062</c:v>
                  </c:pt>
                  <c:pt idx="23">
                    <c:v>284.01393930149823</c:v>
                  </c:pt>
                </c:numCache>
              </c:numRef>
            </c:minus>
          </c:errBars>
          <c:cat>
            <c:strRef>
              <c:f>'2WW Lower GI'!$B$9:$B$32</c:f>
              <c:strCache>
                <c:ptCount val="24"/>
                <c:pt idx="0">
                  <c:v>H84055</c:v>
                </c:pt>
                <c:pt idx="1">
                  <c:v>H84005</c:v>
                </c:pt>
                <c:pt idx="2">
                  <c:v>H84023</c:v>
                </c:pt>
                <c:pt idx="3">
                  <c:v>H84048</c:v>
                </c:pt>
                <c:pt idx="4">
                  <c:v>H84031</c:v>
                </c:pt>
                <c:pt idx="5">
                  <c:v>H84032</c:v>
                </c:pt>
                <c:pt idx="6">
                  <c:v>H84039</c:v>
                </c:pt>
                <c:pt idx="7">
                  <c:v>H84040</c:v>
                </c:pt>
                <c:pt idx="8">
                  <c:v>H84017</c:v>
                </c:pt>
                <c:pt idx="9">
                  <c:v>H84043</c:v>
                </c:pt>
                <c:pt idx="10">
                  <c:v>H84044</c:v>
                </c:pt>
                <c:pt idx="11">
                  <c:v>H84059</c:v>
                </c:pt>
                <c:pt idx="12">
                  <c:v>H84639</c:v>
                </c:pt>
                <c:pt idx="13">
                  <c:v>H84002</c:v>
                </c:pt>
                <c:pt idx="14">
                  <c:v>H84012</c:v>
                </c:pt>
                <c:pt idx="15">
                  <c:v>H84060</c:v>
                </c:pt>
                <c:pt idx="16">
                  <c:v>H84057</c:v>
                </c:pt>
                <c:pt idx="17">
                  <c:v>H84633</c:v>
                </c:pt>
                <c:pt idx="18">
                  <c:v>H84018</c:v>
                </c:pt>
                <c:pt idx="19">
                  <c:v>Y01206</c:v>
                </c:pt>
                <c:pt idx="20">
                  <c:v>H84006</c:v>
                </c:pt>
                <c:pt idx="21">
                  <c:v>H84623</c:v>
                </c:pt>
                <c:pt idx="22">
                  <c:v>H84007</c:v>
                </c:pt>
                <c:pt idx="23">
                  <c:v>H84615</c:v>
                </c:pt>
              </c:strCache>
            </c:strRef>
          </c:cat>
          <c:val>
            <c:numRef>
              <c:f>'2WW Lower GI'!$F$9:$F$32</c:f>
              <c:numCache>
                <c:formatCode>0.00</c:formatCode>
                <c:ptCount val="24"/>
                <c:pt idx="0">
                  <c:v>81.70769073639056</c:v>
                </c:pt>
                <c:pt idx="1">
                  <c:v>82.281952825013732</c:v>
                </c:pt>
                <c:pt idx="2">
                  <c:v>84.727811904257592</c:v>
                </c:pt>
                <c:pt idx="3">
                  <c:v>102.19724067450178</c:v>
                </c:pt>
                <c:pt idx="4">
                  <c:v>124.5071591616518</c:v>
                </c:pt>
                <c:pt idx="5">
                  <c:v>127.29124236252545</c:v>
                </c:pt>
                <c:pt idx="6">
                  <c:v>145.37902388369687</c:v>
                </c:pt>
                <c:pt idx="7">
                  <c:v>188.3978334249156</c:v>
                </c:pt>
                <c:pt idx="8">
                  <c:v>190.6717512466999</c:v>
                </c:pt>
                <c:pt idx="9">
                  <c:v>212.68368136117519</c:v>
                </c:pt>
                <c:pt idx="10">
                  <c:v>223.49490152255902</c:v>
                </c:pt>
                <c:pt idx="11">
                  <c:v>231.60061760164695</c:v>
                </c:pt>
                <c:pt idx="12">
                  <c:v>251.04602510460219</c:v>
                </c:pt>
                <c:pt idx="13">
                  <c:v>253.62022416755298</c:v>
                </c:pt>
                <c:pt idx="14">
                  <c:v>267.45119015779619</c:v>
                </c:pt>
                <c:pt idx="15">
                  <c:v>268.76903780684466</c:v>
                </c:pt>
                <c:pt idx="16">
                  <c:v>275.33039647577021</c:v>
                </c:pt>
                <c:pt idx="17">
                  <c:v>299.31158335827496</c:v>
                </c:pt>
                <c:pt idx="18">
                  <c:v>309.15086562242476</c:v>
                </c:pt>
                <c:pt idx="19">
                  <c:v>321.61472773649774</c:v>
                </c:pt>
                <c:pt idx="20">
                  <c:v>336.7423297580437</c:v>
                </c:pt>
                <c:pt idx="21">
                  <c:v>394.88017429193894</c:v>
                </c:pt>
                <c:pt idx="22">
                  <c:v>403.117441547971</c:v>
                </c:pt>
                <c:pt idx="23">
                  <c:v>713.21321321321295</c:v>
                </c:pt>
              </c:numCache>
            </c:numRef>
          </c:val>
        </c:ser>
        <c:axId val="107167104"/>
        <c:axId val="107193472"/>
      </c:barChart>
      <c:lineChart>
        <c:grouping val="standard"/>
        <c:ser>
          <c:idx val="1"/>
          <c:order val="1"/>
          <c:tx>
            <c:strRef>
              <c:f>'2WW Lower GI'!$K$1</c:f>
              <c:strCache>
                <c:ptCount val="1"/>
                <c:pt idx="0">
                  <c:v>PCT Average</c:v>
                </c:pt>
              </c:strCache>
            </c:strRef>
          </c:tx>
          <c:spPr>
            <a:ln w="19050">
              <a:solidFill>
                <a:srgbClr val="FF0000"/>
              </a:solidFill>
              <a:prstDash val="dash"/>
            </a:ln>
          </c:spPr>
          <c:marker>
            <c:symbol val="none"/>
          </c:marker>
          <c:val>
            <c:numRef>
              <c:f>'2WW Lower GI'!$K$9:$K$32</c:f>
              <c:numCache>
                <c:formatCode>0.00</c:formatCode>
                <c:ptCount val="24"/>
                <c:pt idx="0">
                  <c:v>205.55036745300288</c:v>
                </c:pt>
                <c:pt idx="1">
                  <c:v>205.55036745300288</c:v>
                </c:pt>
                <c:pt idx="2">
                  <c:v>205.55036745300288</c:v>
                </c:pt>
                <c:pt idx="3">
                  <c:v>205.55036745300288</c:v>
                </c:pt>
                <c:pt idx="4">
                  <c:v>205.55036745300288</c:v>
                </c:pt>
                <c:pt idx="5">
                  <c:v>205.55036745300288</c:v>
                </c:pt>
                <c:pt idx="6">
                  <c:v>205.55036745300288</c:v>
                </c:pt>
                <c:pt idx="7">
                  <c:v>205.55036745300288</c:v>
                </c:pt>
                <c:pt idx="8">
                  <c:v>205.55036745300288</c:v>
                </c:pt>
                <c:pt idx="9">
                  <c:v>205.55036745300288</c:v>
                </c:pt>
                <c:pt idx="10">
                  <c:v>205.55036745300288</c:v>
                </c:pt>
                <c:pt idx="11">
                  <c:v>205.55036745300288</c:v>
                </c:pt>
                <c:pt idx="12">
                  <c:v>205.55036745300288</c:v>
                </c:pt>
                <c:pt idx="13">
                  <c:v>205.55036745300288</c:v>
                </c:pt>
                <c:pt idx="14">
                  <c:v>205.55036745300288</c:v>
                </c:pt>
                <c:pt idx="15">
                  <c:v>205.55036745300288</c:v>
                </c:pt>
                <c:pt idx="16">
                  <c:v>205.55036745300288</c:v>
                </c:pt>
                <c:pt idx="17">
                  <c:v>205.55036745300288</c:v>
                </c:pt>
                <c:pt idx="18">
                  <c:v>205.55036745300288</c:v>
                </c:pt>
                <c:pt idx="19">
                  <c:v>205.55036745300288</c:v>
                </c:pt>
                <c:pt idx="20">
                  <c:v>205.55036745300288</c:v>
                </c:pt>
                <c:pt idx="21">
                  <c:v>205.55036745300288</c:v>
                </c:pt>
                <c:pt idx="22">
                  <c:v>205.55036745300288</c:v>
                </c:pt>
                <c:pt idx="23">
                  <c:v>205.55036745300288</c:v>
                </c:pt>
              </c:numCache>
            </c:numRef>
          </c:val>
        </c:ser>
        <c:ser>
          <c:idx val="2"/>
          <c:order val="2"/>
          <c:tx>
            <c:strRef>
              <c:f>'2WW Lower GI'!$L$1</c:f>
              <c:strCache>
                <c:ptCount val="1"/>
                <c:pt idx="0">
                  <c:v>England Average</c:v>
                </c:pt>
              </c:strCache>
            </c:strRef>
          </c:tx>
          <c:spPr>
            <a:ln w="19050">
              <a:solidFill>
                <a:srgbClr val="7030A0"/>
              </a:solidFill>
              <a:prstDash val="lgDashDotDot"/>
            </a:ln>
          </c:spPr>
          <c:marker>
            <c:symbol val="none"/>
          </c:marker>
          <c:val>
            <c:numRef>
              <c:f>'2WW Lower GI'!$L$9:$L$32</c:f>
              <c:numCache>
                <c:formatCode>0.00</c:formatCode>
                <c:ptCount val="24"/>
                <c:pt idx="0">
                  <c:v>251.49177863721513</c:v>
                </c:pt>
                <c:pt idx="1">
                  <c:v>251.49177863721513</c:v>
                </c:pt>
                <c:pt idx="2">
                  <c:v>251.49177863721513</c:v>
                </c:pt>
                <c:pt idx="3">
                  <c:v>251.49177863721513</c:v>
                </c:pt>
                <c:pt idx="4">
                  <c:v>251.49177863721513</c:v>
                </c:pt>
                <c:pt idx="5">
                  <c:v>251.49177863721513</c:v>
                </c:pt>
                <c:pt idx="6">
                  <c:v>251.49177863721513</c:v>
                </c:pt>
                <c:pt idx="7">
                  <c:v>251.49177863721513</c:v>
                </c:pt>
                <c:pt idx="8">
                  <c:v>251.49177863721513</c:v>
                </c:pt>
                <c:pt idx="9">
                  <c:v>251.49177863721513</c:v>
                </c:pt>
                <c:pt idx="10">
                  <c:v>251.49177863721513</c:v>
                </c:pt>
                <c:pt idx="11">
                  <c:v>251.49177863721513</c:v>
                </c:pt>
                <c:pt idx="12">
                  <c:v>251.49177863721513</c:v>
                </c:pt>
                <c:pt idx="13">
                  <c:v>251.49177863721513</c:v>
                </c:pt>
                <c:pt idx="14">
                  <c:v>251.49177863721513</c:v>
                </c:pt>
                <c:pt idx="15">
                  <c:v>251.49177863721513</c:v>
                </c:pt>
                <c:pt idx="16">
                  <c:v>251.49177863721513</c:v>
                </c:pt>
                <c:pt idx="17">
                  <c:v>251.49177863721513</c:v>
                </c:pt>
                <c:pt idx="18">
                  <c:v>251.49177863721513</c:v>
                </c:pt>
                <c:pt idx="19">
                  <c:v>251.49177863721513</c:v>
                </c:pt>
                <c:pt idx="20">
                  <c:v>251.49177863721513</c:v>
                </c:pt>
                <c:pt idx="21">
                  <c:v>251.49177863721513</c:v>
                </c:pt>
                <c:pt idx="22">
                  <c:v>251.49177863721513</c:v>
                </c:pt>
                <c:pt idx="23">
                  <c:v>251.49177863721513</c:v>
                </c:pt>
              </c:numCache>
            </c:numRef>
          </c:val>
        </c:ser>
        <c:marker val="1"/>
        <c:axId val="107167104"/>
        <c:axId val="107193472"/>
      </c:lineChart>
      <c:catAx>
        <c:axId val="107167104"/>
        <c:scaling>
          <c:orientation val="minMax"/>
        </c:scaling>
        <c:axPos val="b"/>
        <c:numFmt formatCode="General" sourceLinked="1"/>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07193472"/>
        <c:crosses val="autoZero"/>
        <c:auto val="1"/>
        <c:lblAlgn val="ctr"/>
        <c:lblOffset val="100"/>
      </c:catAx>
      <c:valAx>
        <c:axId val="107193472"/>
        <c:scaling>
          <c:orientation val="minMax"/>
        </c:scaling>
        <c:axPos val="l"/>
        <c:majorGridlines/>
        <c:numFmt formatCode="0.00" sourceLinked="1"/>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07167104"/>
        <c:crosses val="autoZero"/>
        <c:crossBetween val="between"/>
      </c:valAx>
    </c:plotArea>
    <c:legend>
      <c:legendPos val="r"/>
      <c:legendEntry>
        <c:idx val="0"/>
        <c:delete val="1"/>
      </c:legendEntry>
      <c:layout>
        <c:manualLayout>
          <c:xMode val="edge"/>
          <c:yMode val="edge"/>
          <c:x val="6.7517202982855989E-2"/>
          <c:y val="5.5363444152814467E-2"/>
          <c:w val="0.32661790316962908"/>
          <c:h val="8.4484908136483391E-2"/>
        </c:manualLayout>
      </c:layout>
      <c:txPr>
        <a:bodyPr/>
        <a:lstStyle/>
        <a:p>
          <a:pPr>
            <a:defRPr sz="505" b="0" i="0" u="none" strike="noStrike" baseline="0">
              <a:solidFill>
                <a:srgbClr val="000000"/>
              </a:solidFill>
              <a:latin typeface="Calibri"/>
              <a:ea typeface="Calibri"/>
              <a:cs typeface="Calibri"/>
            </a:defRPr>
          </a:pPr>
          <a:endParaRPr lang="en-US"/>
        </a:p>
      </c:txPr>
    </c:legend>
    <c:plotVisOnly val="1"/>
    <c:dispBlanksAs val="gap"/>
  </c:chart>
  <c:spPr>
    <a:ln>
      <a:solidFill>
        <a:schemeClr val="bg1"/>
      </a:solidFill>
    </a:ln>
  </c:spPr>
  <c:txPr>
    <a:bodyPr/>
    <a:lstStyle/>
    <a:p>
      <a:pPr>
        <a:defRPr sz="1000" b="0" i="0" u="none" strike="noStrike" baseline="0">
          <a:solidFill>
            <a:srgbClr val="000000"/>
          </a:solidFill>
          <a:latin typeface="Calibri"/>
          <a:ea typeface="Calibri"/>
          <a:cs typeface="Calibri"/>
        </a:defRPr>
      </a:pPr>
      <a:endParaRPr lang="en-US"/>
    </a:p>
  </c:txPr>
  <c:externalData r:id="rId1"/>
  <c:userShapes r:id="rId2"/>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9.0108529822201994E-2"/>
          <c:y val="5.1400554097404488E-2"/>
          <c:w val="0.89368271114870967"/>
          <c:h val="0.72101281457464872"/>
        </c:manualLayout>
      </c:layout>
      <c:barChart>
        <c:barDir val="col"/>
        <c:grouping val="clustered"/>
        <c:ser>
          <c:idx val="0"/>
          <c:order val="0"/>
          <c:spPr>
            <a:solidFill>
              <a:schemeClr val="bg1">
                <a:lumMod val="50000"/>
              </a:schemeClr>
            </a:solidFill>
            <a:ln>
              <a:solidFill>
                <a:schemeClr val="tx1"/>
              </a:solidFill>
            </a:ln>
          </c:spPr>
          <c:errBars>
            <c:errBarType val="both"/>
            <c:errValType val="cust"/>
            <c:plus>
              <c:numRef>
                <c:f>'2WW Lower GI'!$J$12:$J$54</c:f>
                <c:numCache>
                  <c:formatCode>General</c:formatCode>
                  <c:ptCount val="43"/>
                  <c:pt idx="0">
                    <c:v>73.786530818120227</c:v>
                  </c:pt>
                  <c:pt idx="1">
                    <c:v>76.791284351796421</c:v>
                  </c:pt>
                  <c:pt idx="2">
                    <c:v>66.534546702339028</c:v>
                  </c:pt>
                  <c:pt idx="3">
                    <c:v>90.141665841136046</c:v>
                  </c:pt>
                  <c:pt idx="4">
                    <c:v>93.956551353177545</c:v>
                  </c:pt>
                  <c:pt idx="5">
                    <c:v>108.69738673868746</c:v>
                  </c:pt>
                  <c:pt idx="6">
                    <c:v>81.353629413965294</c:v>
                  </c:pt>
                  <c:pt idx="7">
                    <c:v>83.970738430855548</c:v>
                  </c:pt>
                  <c:pt idx="8">
                    <c:v>103.12924756114684</c:v>
                  </c:pt>
                  <c:pt idx="9">
                    <c:v>131.17889129330513</c:v>
                  </c:pt>
                  <c:pt idx="10">
                    <c:v>70.441263167246419</c:v>
                  </c:pt>
                  <c:pt idx="11">
                    <c:v>86.582611634945735</c:v>
                  </c:pt>
                  <c:pt idx="12">
                    <c:v>139.61657811337491</c:v>
                  </c:pt>
                  <c:pt idx="13">
                    <c:v>181.94547257679957</c:v>
                  </c:pt>
                  <c:pt idx="14">
                    <c:v>137.2972147123119</c:v>
                  </c:pt>
                  <c:pt idx="15">
                    <c:v>154.42923774262897</c:v>
                  </c:pt>
                  <c:pt idx="16">
                    <c:v>92.151686529320671</c:v>
                  </c:pt>
                  <c:pt idx="17">
                    <c:v>130.42628029298288</c:v>
                  </c:pt>
                  <c:pt idx="18">
                    <c:v>209.10321636687678</c:v>
                  </c:pt>
                  <c:pt idx="19">
                    <c:v>92.020656858677782</c:v>
                  </c:pt>
                  <c:pt idx="20">
                    <c:v>111.32050067350151</c:v>
                  </c:pt>
                  <c:pt idx="21">
                    <c:v>115.32425136601157</c:v>
                  </c:pt>
                  <c:pt idx="22">
                    <c:v>106.36662656281979</c:v>
                  </c:pt>
                  <c:pt idx="23">
                    <c:v>127.79299700313385</c:v>
                  </c:pt>
                  <c:pt idx="24">
                    <c:v>134.20425107213777</c:v>
                  </c:pt>
                  <c:pt idx="25">
                    <c:v>87.554779911642242</c:v>
                  </c:pt>
                  <c:pt idx="26">
                    <c:v>119.13172534811636</c:v>
                  </c:pt>
                  <c:pt idx="27">
                    <c:v>211.13235091832081</c:v>
                  </c:pt>
                  <c:pt idx="28">
                    <c:v>105.06270205924844</c:v>
                  </c:pt>
                  <c:pt idx="29">
                    <c:v>125.72654345694309</c:v>
                  </c:pt>
                  <c:pt idx="30">
                    <c:v>166.41262244947924</c:v>
                  </c:pt>
                  <c:pt idx="31">
                    <c:v>158.10613194760217</c:v>
                  </c:pt>
                  <c:pt idx="32">
                    <c:v>143.19894145687769</c:v>
                  </c:pt>
                  <c:pt idx="33">
                    <c:v>102.78036905194058</c:v>
                  </c:pt>
                  <c:pt idx="34">
                    <c:v>204.86302155397166</c:v>
                  </c:pt>
                  <c:pt idx="35">
                    <c:v>178.70519611406075</c:v>
                  </c:pt>
                  <c:pt idx="36">
                    <c:v>128.8532184877071</c:v>
                  </c:pt>
                  <c:pt idx="37">
                    <c:v>121.32274523269172</c:v>
                  </c:pt>
                  <c:pt idx="38">
                    <c:v>127.34427854387354</c:v>
                  </c:pt>
                  <c:pt idx="39">
                    <c:v>227.79146483247177</c:v>
                  </c:pt>
                  <c:pt idx="40">
                    <c:v>218.77072541150955</c:v>
                  </c:pt>
                  <c:pt idx="41">
                    <c:v>143.53164257360581</c:v>
                  </c:pt>
                  <c:pt idx="42">
                    <c:v>143.1515617044972</c:v>
                  </c:pt>
                </c:numCache>
              </c:numRef>
            </c:plus>
            <c:minus>
              <c:numRef>
                <c:f>'2WW Lower GI'!$I$12:$I$54</c:f>
                <c:numCache>
                  <c:formatCode>General</c:formatCode>
                  <c:ptCount val="43"/>
                  <c:pt idx="0">
                    <c:v>39.810401957737277</c:v>
                  </c:pt>
                  <c:pt idx="1">
                    <c:v>43.401480287799409</c:v>
                  </c:pt>
                  <c:pt idx="2">
                    <c:v>40.263136809658967</c:v>
                  </c:pt>
                  <c:pt idx="3">
                    <c:v>48.634566640913178</c:v>
                  </c:pt>
                  <c:pt idx="4">
                    <c:v>50.692830174558523</c:v>
                  </c:pt>
                  <c:pt idx="5">
                    <c:v>58.646024007949428</c:v>
                  </c:pt>
                  <c:pt idx="6">
                    <c:v>50.534365336562267</c:v>
                  </c:pt>
                  <c:pt idx="7">
                    <c:v>54.399198352336072</c:v>
                  </c:pt>
                  <c:pt idx="8">
                    <c:v>64.060707686695309</c:v>
                  </c:pt>
                  <c:pt idx="9">
                    <c:v>74.14068032199296</c:v>
                  </c:pt>
                  <c:pt idx="10">
                    <c:v>49.938164761348425</c:v>
                  </c:pt>
                  <c:pt idx="11">
                    <c:v>57.950732979892344</c:v>
                  </c:pt>
                  <c:pt idx="12">
                    <c:v>78.909556129802226</c:v>
                  </c:pt>
                  <c:pt idx="13">
                    <c:v>92.460849623070501</c:v>
                  </c:pt>
                  <c:pt idx="14">
                    <c:v>80.554684992754758</c:v>
                  </c:pt>
                  <c:pt idx="15">
                    <c:v>87.281487402154553</c:v>
                  </c:pt>
                  <c:pt idx="16">
                    <c:v>63.318784121847486</c:v>
                  </c:pt>
                  <c:pt idx="17">
                    <c:v>81.016782475386989</c:v>
                  </c:pt>
                  <c:pt idx="18">
                    <c:v>106.26184191550726</c:v>
                  </c:pt>
                  <c:pt idx="19">
                    <c:v>65.236517873701658</c:v>
                  </c:pt>
                  <c:pt idx="20">
                    <c:v>74.508085259861559</c:v>
                  </c:pt>
                  <c:pt idx="21">
                    <c:v>77.187841424736249</c:v>
                  </c:pt>
                  <c:pt idx="22">
                    <c:v>73.086079254311201</c:v>
                  </c:pt>
                  <c:pt idx="23">
                    <c:v>85.533315595203973</c:v>
                  </c:pt>
                  <c:pt idx="24">
                    <c:v>88.45536134228027</c:v>
                  </c:pt>
                  <c:pt idx="25">
                    <c:v>65.991142202204941</c:v>
                  </c:pt>
                  <c:pt idx="26">
                    <c:v>82.790843079884553</c:v>
                  </c:pt>
                  <c:pt idx="27">
                    <c:v>119.3293828049366</c:v>
                  </c:pt>
                  <c:pt idx="28">
                    <c:v>76.336562463718067</c:v>
                  </c:pt>
                  <c:pt idx="29">
                    <c:v>87.373925794357177</c:v>
                  </c:pt>
                  <c:pt idx="30">
                    <c:v>105.71837679205061</c:v>
                  </c:pt>
                  <c:pt idx="31">
                    <c:v>102.42671427285855</c:v>
                  </c:pt>
                  <c:pt idx="32">
                    <c:v>97.175226712899445</c:v>
                  </c:pt>
                  <c:pt idx="33">
                    <c:v>77.06163495292671</c:v>
                  </c:pt>
                  <c:pt idx="34">
                    <c:v>123.97210581398097</c:v>
                  </c:pt>
                  <c:pt idx="35">
                    <c:v>117.78637837273425</c:v>
                  </c:pt>
                  <c:pt idx="36">
                    <c:v>94.28938728225954</c:v>
                  </c:pt>
                  <c:pt idx="37">
                    <c:v>91.442483678128326</c:v>
                  </c:pt>
                  <c:pt idx="38">
                    <c:v>95.980989301858898</c:v>
                  </c:pt>
                  <c:pt idx="39">
                    <c:v>144.71104147453343</c:v>
                  </c:pt>
                  <c:pt idx="40">
                    <c:v>141.72737203144618</c:v>
                  </c:pt>
                  <c:pt idx="41">
                    <c:v>110.19564463708905</c:v>
                  </c:pt>
                  <c:pt idx="42">
                    <c:v>110.35273794599065</c:v>
                  </c:pt>
                </c:numCache>
              </c:numRef>
            </c:minus>
          </c:errBars>
          <c:cat>
            <c:strRef>
              <c:f>'2WW Lower GI'!$B$12:$B$54</c:f>
              <c:strCache>
                <c:ptCount val="43"/>
                <c:pt idx="0">
                  <c:v>H85693</c:v>
                </c:pt>
                <c:pt idx="1">
                  <c:v>H85115</c:v>
                </c:pt>
                <c:pt idx="2">
                  <c:v>H85649</c:v>
                </c:pt>
                <c:pt idx="3">
                  <c:v>H85070</c:v>
                </c:pt>
                <c:pt idx="4">
                  <c:v>H85116</c:v>
                </c:pt>
                <c:pt idx="5">
                  <c:v>H85090</c:v>
                </c:pt>
                <c:pt idx="6">
                  <c:v>H85026</c:v>
                </c:pt>
                <c:pt idx="7">
                  <c:v>H85028</c:v>
                </c:pt>
                <c:pt idx="8">
                  <c:v>H85095</c:v>
                </c:pt>
                <c:pt idx="9">
                  <c:v>H85656</c:v>
                </c:pt>
                <c:pt idx="10">
                  <c:v>H85020</c:v>
                </c:pt>
                <c:pt idx="11">
                  <c:v>H85031</c:v>
                </c:pt>
                <c:pt idx="12">
                  <c:v>H85063</c:v>
                </c:pt>
                <c:pt idx="13">
                  <c:v>H85103</c:v>
                </c:pt>
                <c:pt idx="14">
                  <c:v>H85112</c:v>
                </c:pt>
                <c:pt idx="15">
                  <c:v>H85110</c:v>
                </c:pt>
                <c:pt idx="16">
                  <c:v>H85027</c:v>
                </c:pt>
                <c:pt idx="17">
                  <c:v>H85683</c:v>
                </c:pt>
                <c:pt idx="18">
                  <c:v>H85032</c:v>
                </c:pt>
                <c:pt idx="19">
                  <c:v>H85105</c:v>
                </c:pt>
                <c:pt idx="20">
                  <c:v>H85686</c:v>
                </c:pt>
                <c:pt idx="21">
                  <c:v>H85034</c:v>
                </c:pt>
                <c:pt idx="22">
                  <c:v>H85033</c:v>
                </c:pt>
                <c:pt idx="23">
                  <c:v>H85101</c:v>
                </c:pt>
                <c:pt idx="24">
                  <c:v>H85021</c:v>
                </c:pt>
                <c:pt idx="25">
                  <c:v>H85037</c:v>
                </c:pt>
                <c:pt idx="26">
                  <c:v>H85018</c:v>
                </c:pt>
                <c:pt idx="27">
                  <c:v>H85113</c:v>
                </c:pt>
                <c:pt idx="28">
                  <c:v>H85653</c:v>
                </c:pt>
                <c:pt idx="29">
                  <c:v>H85016</c:v>
                </c:pt>
                <c:pt idx="30">
                  <c:v>H85019</c:v>
                </c:pt>
                <c:pt idx="31">
                  <c:v>H85634</c:v>
                </c:pt>
                <c:pt idx="32">
                  <c:v>H85029</c:v>
                </c:pt>
                <c:pt idx="33">
                  <c:v>H85025</c:v>
                </c:pt>
                <c:pt idx="34">
                  <c:v>H85022</c:v>
                </c:pt>
                <c:pt idx="35">
                  <c:v>H85054</c:v>
                </c:pt>
                <c:pt idx="36">
                  <c:v>H85038</c:v>
                </c:pt>
                <c:pt idx="37">
                  <c:v>H85024</c:v>
                </c:pt>
                <c:pt idx="38">
                  <c:v>H85035</c:v>
                </c:pt>
                <c:pt idx="39">
                  <c:v>H85674</c:v>
                </c:pt>
                <c:pt idx="40">
                  <c:v>H85023</c:v>
                </c:pt>
                <c:pt idx="41">
                  <c:v>H85030</c:v>
                </c:pt>
                <c:pt idx="42">
                  <c:v>H85076</c:v>
                </c:pt>
              </c:strCache>
            </c:strRef>
          </c:cat>
          <c:val>
            <c:numRef>
              <c:f>'2WW Lower GI'!$F$12:$F$54</c:f>
              <c:numCache>
                <c:formatCode>0.00</c:formatCode>
                <c:ptCount val="43"/>
                <c:pt idx="0">
                  <c:v>62.709030100334452</c:v>
                </c:pt>
                <c:pt idx="1">
                  <c:v>72.411296162201324</c:v>
                </c:pt>
                <c:pt idx="2">
                  <c:v>74.055788694149427</c:v>
                </c:pt>
                <c:pt idx="3">
                  <c:v>76.608784473952738</c:v>
                </c:pt>
                <c:pt idx="4">
                  <c:v>79.850944902848013</c:v>
                </c:pt>
                <c:pt idx="5">
                  <c:v>92.378752886835656</c:v>
                </c:pt>
                <c:pt idx="6">
                  <c:v>96.946194861851666</c:v>
                </c:pt>
                <c:pt idx="7">
                  <c:v>112.42270938729624</c:v>
                </c:pt>
                <c:pt idx="8">
                  <c:v>122.89541600098315</c:v>
                </c:pt>
                <c:pt idx="9">
                  <c:v>123.6967662131117</c:v>
                </c:pt>
                <c:pt idx="10">
                  <c:v>125.40426374496769</c:v>
                </c:pt>
                <c:pt idx="11">
                  <c:v>127.7139208173691</c:v>
                </c:pt>
                <c:pt idx="12">
                  <c:v>131.65318788790702</c:v>
                </c:pt>
                <c:pt idx="13">
                  <c:v>136.4256480218281</c:v>
                </c:pt>
                <c:pt idx="14">
                  <c:v>141.46772767462454</c:v>
                </c:pt>
                <c:pt idx="15">
                  <c:v>145.62096941959643</c:v>
                </c:pt>
                <c:pt idx="16">
                  <c:v>147.66958929395423</c:v>
                </c:pt>
                <c:pt idx="17">
                  <c:v>155.4243083618278</c:v>
                </c:pt>
                <c:pt idx="18">
                  <c:v>156.78896205707127</c:v>
                </c:pt>
                <c:pt idx="19">
                  <c:v>163.82134850836414</c:v>
                </c:pt>
                <c:pt idx="20">
                  <c:v>164.20361247947432</c:v>
                </c:pt>
                <c:pt idx="21">
                  <c:v>170.10935601458078</c:v>
                </c:pt>
                <c:pt idx="22">
                  <c:v>170.44849259614358</c:v>
                </c:pt>
                <c:pt idx="23">
                  <c:v>188.50141376060321</c:v>
                </c:pt>
                <c:pt idx="24">
                  <c:v>188.98095653438</c:v>
                </c:pt>
                <c:pt idx="25">
                  <c:v>196.60160089875018</c:v>
                </c:pt>
                <c:pt idx="26">
                  <c:v>198.15829350740211</c:v>
                </c:pt>
                <c:pt idx="27">
                  <c:v>199.08987485779332</c:v>
                </c:pt>
                <c:pt idx="28">
                  <c:v>204.36600092893644</c:v>
                </c:pt>
                <c:pt idx="29">
                  <c:v>209.12781399926178</c:v>
                </c:pt>
                <c:pt idx="30">
                  <c:v>210.80873898045269</c:v>
                </c:pt>
                <c:pt idx="31">
                  <c:v>211.67754454048341</c:v>
                </c:pt>
                <c:pt idx="32">
                  <c:v>220.49095987064541</c:v>
                </c:pt>
                <c:pt idx="33">
                  <c:v>225.88471513427592</c:v>
                </c:pt>
                <c:pt idx="34">
                  <c:v>228.02128198631871</c:v>
                </c:pt>
                <c:pt idx="35">
                  <c:v>251.64537359659312</c:v>
                </c:pt>
                <c:pt idx="36">
                  <c:v>257.41466144376113</c:v>
                </c:pt>
                <c:pt idx="37">
                  <c:v>272.42654212881865</c:v>
                </c:pt>
                <c:pt idx="38">
                  <c:v>285.94771241830063</c:v>
                </c:pt>
                <c:pt idx="39">
                  <c:v>288.56243441762854</c:v>
                </c:pt>
                <c:pt idx="40">
                  <c:v>292.89724188430642</c:v>
                </c:pt>
                <c:pt idx="41">
                  <c:v>348.58387799564269</c:v>
                </c:pt>
                <c:pt idx="42">
                  <c:v>353.96331652901364</c:v>
                </c:pt>
              </c:numCache>
            </c:numRef>
          </c:val>
        </c:ser>
        <c:axId val="107224064"/>
        <c:axId val="107238144"/>
      </c:barChart>
      <c:lineChart>
        <c:grouping val="standard"/>
        <c:ser>
          <c:idx val="1"/>
          <c:order val="1"/>
          <c:tx>
            <c:strRef>
              <c:f>'2WW Lower GI'!$K$1</c:f>
              <c:strCache>
                <c:ptCount val="1"/>
                <c:pt idx="0">
                  <c:v>PCT Average</c:v>
                </c:pt>
              </c:strCache>
            </c:strRef>
          </c:tx>
          <c:spPr>
            <a:ln w="19050">
              <a:solidFill>
                <a:srgbClr val="FF0000"/>
              </a:solidFill>
              <a:prstDash val="dash"/>
            </a:ln>
          </c:spPr>
          <c:marker>
            <c:symbol val="none"/>
          </c:marker>
          <c:val>
            <c:numRef>
              <c:f>'2WW Lower GI'!$K$12:$K$54</c:f>
              <c:numCache>
                <c:formatCode>0.00</c:formatCode>
                <c:ptCount val="43"/>
                <c:pt idx="0">
                  <c:v>162.76773070954147</c:v>
                </c:pt>
                <c:pt idx="1">
                  <c:v>162.76773070954147</c:v>
                </c:pt>
                <c:pt idx="2">
                  <c:v>162.76773070954147</c:v>
                </c:pt>
                <c:pt idx="3">
                  <c:v>162.76773070954147</c:v>
                </c:pt>
                <c:pt idx="4">
                  <c:v>162.76773070954147</c:v>
                </c:pt>
                <c:pt idx="5">
                  <c:v>162.76773070954147</c:v>
                </c:pt>
                <c:pt idx="6">
                  <c:v>162.76773070954147</c:v>
                </c:pt>
                <c:pt idx="7">
                  <c:v>162.76773070954147</c:v>
                </c:pt>
                <c:pt idx="8">
                  <c:v>162.76773070954147</c:v>
                </c:pt>
                <c:pt idx="9">
                  <c:v>162.76773070954147</c:v>
                </c:pt>
                <c:pt idx="10">
                  <c:v>162.76773070954147</c:v>
                </c:pt>
                <c:pt idx="11">
                  <c:v>162.76773070954147</c:v>
                </c:pt>
                <c:pt idx="12">
                  <c:v>162.76773070954147</c:v>
                </c:pt>
                <c:pt idx="13">
                  <c:v>162.76773070954147</c:v>
                </c:pt>
                <c:pt idx="14">
                  <c:v>162.76773070954147</c:v>
                </c:pt>
                <c:pt idx="15">
                  <c:v>162.76773070954147</c:v>
                </c:pt>
                <c:pt idx="16">
                  <c:v>162.76773070954147</c:v>
                </c:pt>
                <c:pt idx="17">
                  <c:v>162.76773070954147</c:v>
                </c:pt>
                <c:pt idx="18">
                  <c:v>162.76773070954147</c:v>
                </c:pt>
                <c:pt idx="19">
                  <c:v>162.76773070954147</c:v>
                </c:pt>
                <c:pt idx="20">
                  <c:v>162.76773070954147</c:v>
                </c:pt>
                <c:pt idx="21">
                  <c:v>162.76773070954147</c:v>
                </c:pt>
                <c:pt idx="22">
                  <c:v>162.76773070954147</c:v>
                </c:pt>
                <c:pt idx="23">
                  <c:v>162.76773070954147</c:v>
                </c:pt>
                <c:pt idx="24">
                  <c:v>162.76773070954147</c:v>
                </c:pt>
                <c:pt idx="25">
                  <c:v>162.76773070954147</c:v>
                </c:pt>
                <c:pt idx="26">
                  <c:v>162.76773070954147</c:v>
                </c:pt>
                <c:pt idx="27">
                  <c:v>162.76773070954147</c:v>
                </c:pt>
                <c:pt idx="28">
                  <c:v>162.76773070954147</c:v>
                </c:pt>
                <c:pt idx="29">
                  <c:v>162.76773070954147</c:v>
                </c:pt>
                <c:pt idx="30">
                  <c:v>162.76773070954147</c:v>
                </c:pt>
                <c:pt idx="31">
                  <c:v>162.76773070954147</c:v>
                </c:pt>
                <c:pt idx="32">
                  <c:v>162.76773070954147</c:v>
                </c:pt>
                <c:pt idx="33">
                  <c:v>162.76773070954147</c:v>
                </c:pt>
                <c:pt idx="34">
                  <c:v>162.76773070954147</c:v>
                </c:pt>
                <c:pt idx="35">
                  <c:v>162.76773070954147</c:v>
                </c:pt>
                <c:pt idx="36">
                  <c:v>162.76773070954147</c:v>
                </c:pt>
                <c:pt idx="37">
                  <c:v>162.76773070954147</c:v>
                </c:pt>
                <c:pt idx="38">
                  <c:v>162.76773070954147</c:v>
                </c:pt>
                <c:pt idx="39">
                  <c:v>162.76773070954147</c:v>
                </c:pt>
                <c:pt idx="40">
                  <c:v>162.76773070954147</c:v>
                </c:pt>
                <c:pt idx="41">
                  <c:v>162.76773070954147</c:v>
                </c:pt>
                <c:pt idx="42">
                  <c:v>162.76773070954147</c:v>
                </c:pt>
              </c:numCache>
            </c:numRef>
          </c:val>
        </c:ser>
        <c:ser>
          <c:idx val="2"/>
          <c:order val="2"/>
          <c:tx>
            <c:strRef>
              <c:f>'2WW Lower GI'!$L$1</c:f>
              <c:strCache>
                <c:ptCount val="1"/>
                <c:pt idx="0">
                  <c:v>England Average</c:v>
                </c:pt>
              </c:strCache>
            </c:strRef>
          </c:tx>
          <c:spPr>
            <a:ln w="19050">
              <a:solidFill>
                <a:srgbClr val="7030A0"/>
              </a:solidFill>
              <a:prstDash val="lgDashDotDot"/>
            </a:ln>
          </c:spPr>
          <c:marker>
            <c:symbol val="none"/>
          </c:marker>
          <c:val>
            <c:numRef>
              <c:f>'2WW Lower GI'!$L$12:$L$54</c:f>
              <c:numCache>
                <c:formatCode>0.00</c:formatCode>
                <c:ptCount val="43"/>
                <c:pt idx="0">
                  <c:v>251.49177863721513</c:v>
                </c:pt>
                <c:pt idx="1">
                  <c:v>251.49177863721513</c:v>
                </c:pt>
                <c:pt idx="2">
                  <c:v>251.49177863721513</c:v>
                </c:pt>
                <c:pt idx="3">
                  <c:v>251.49177863721513</c:v>
                </c:pt>
                <c:pt idx="4">
                  <c:v>251.49177863721513</c:v>
                </c:pt>
                <c:pt idx="5">
                  <c:v>251.49177863721513</c:v>
                </c:pt>
                <c:pt idx="6">
                  <c:v>251.49177863721513</c:v>
                </c:pt>
                <c:pt idx="7">
                  <c:v>251.49177863721513</c:v>
                </c:pt>
                <c:pt idx="8">
                  <c:v>251.49177863721513</c:v>
                </c:pt>
                <c:pt idx="9">
                  <c:v>251.49177863721513</c:v>
                </c:pt>
                <c:pt idx="10">
                  <c:v>251.49177863721513</c:v>
                </c:pt>
                <c:pt idx="11">
                  <c:v>251.49177863721513</c:v>
                </c:pt>
                <c:pt idx="12">
                  <c:v>251.49177863721513</c:v>
                </c:pt>
                <c:pt idx="13">
                  <c:v>251.49177863721513</c:v>
                </c:pt>
                <c:pt idx="14">
                  <c:v>251.49177863721513</c:v>
                </c:pt>
                <c:pt idx="15">
                  <c:v>251.49177863721513</c:v>
                </c:pt>
                <c:pt idx="16">
                  <c:v>251.49177863721513</c:v>
                </c:pt>
                <c:pt idx="17">
                  <c:v>251.49177863721513</c:v>
                </c:pt>
                <c:pt idx="18">
                  <c:v>251.49177863721513</c:v>
                </c:pt>
                <c:pt idx="19">
                  <c:v>251.49177863721513</c:v>
                </c:pt>
                <c:pt idx="20">
                  <c:v>251.49177863721513</c:v>
                </c:pt>
                <c:pt idx="21">
                  <c:v>251.49177863721513</c:v>
                </c:pt>
                <c:pt idx="22">
                  <c:v>251.49177863721513</c:v>
                </c:pt>
                <c:pt idx="23">
                  <c:v>251.49177863721513</c:v>
                </c:pt>
                <c:pt idx="24">
                  <c:v>251.49177863721513</c:v>
                </c:pt>
                <c:pt idx="25">
                  <c:v>251.49177863721513</c:v>
                </c:pt>
                <c:pt idx="26">
                  <c:v>251.49177863721513</c:v>
                </c:pt>
                <c:pt idx="27">
                  <c:v>251.49177863721513</c:v>
                </c:pt>
                <c:pt idx="28">
                  <c:v>251.49177863721513</c:v>
                </c:pt>
                <c:pt idx="29">
                  <c:v>251.49177863721513</c:v>
                </c:pt>
                <c:pt idx="30">
                  <c:v>251.49177863721513</c:v>
                </c:pt>
                <c:pt idx="31">
                  <c:v>251.49177863721513</c:v>
                </c:pt>
                <c:pt idx="32">
                  <c:v>251.49177863721513</c:v>
                </c:pt>
                <c:pt idx="33">
                  <c:v>251.49177863721513</c:v>
                </c:pt>
                <c:pt idx="34">
                  <c:v>251.49177863721513</c:v>
                </c:pt>
                <c:pt idx="35">
                  <c:v>251.49177863721513</c:v>
                </c:pt>
                <c:pt idx="36">
                  <c:v>251.49177863721513</c:v>
                </c:pt>
                <c:pt idx="37">
                  <c:v>251.49177863721513</c:v>
                </c:pt>
                <c:pt idx="38">
                  <c:v>251.49177863721513</c:v>
                </c:pt>
                <c:pt idx="39">
                  <c:v>251.49177863721513</c:v>
                </c:pt>
                <c:pt idx="40">
                  <c:v>251.49177863721513</c:v>
                </c:pt>
                <c:pt idx="41">
                  <c:v>251.49177863721513</c:v>
                </c:pt>
                <c:pt idx="42">
                  <c:v>251.49177863721513</c:v>
                </c:pt>
              </c:numCache>
            </c:numRef>
          </c:val>
        </c:ser>
        <c:marker val="1"/>
        <c:axId val="107224064"/>
        <c:axId val="107238144"/>
      </c:lineChart>
      <c:catAx>
        <c:axId val="107224064"/>
        <c:scaling>
          <c:orientation val="minMax"/>
        </c:scaling>
        <c:axPos val="b"/>
        <c:numFmt formatCode="General" sourceLinked="1"/>
        <c:tickLblPos val="nextTo"/>
        <c:txPr>
          <a:bodyPr rot="-5400000" vert="horz"/>
          <a:lstStyle/>
          <a:p>
            <a:pPr>
              <a:defRPr sz="600" b="0" i="0" u="none" strike="noStrike" baseline="0">
                <a:solidFill>
                  <a:srgbClr val="000000"/>
                </a:solidFill>
                <a:latin typeface="Calibri"/>
                <a:ea typeface="Calibri"/>
                <a:cs typeface="Calibri"/>
              </a:defRPr>
            </a:pPr>
            <a:endParaRPr lang="en-US"/>
          </a:p>
        </c:txPr>
        <c:crossAx val="107238144"/>
        <c:crosses val="autoZero"/>
        <c:auto val="1"/>
        <c:lblAlgn val="ctr"/>
        <c:lblOffset val="100"/>
      </c:catAx>
      <c:valAx>
        <c:axId val="107238144"/>
        <c:scaling>
          <c:orientation val="minMax"/>
        </c:scaling>
        <c:axPos val="l"/>
        <c:majorGridlines/>
        <c:numFmt formatCode="0.00" sourceLinked="1"/>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07224064"/>
        <c:crosses val="autoZero"/>
        <c:crossBetween val="between"/>
      </c:valAx>
    </c:plotArea>
    <c:legend>
      <c:legendPos val="r"/>
      <c:legendEntry>
        <c:idx val="0"/>
        <c:delete val="1"/>
      </c:legendEntry>
      <c:layout>
        <c:manualLayout>
          <c:xMode val="edge"/>
          <c:yMode val="edge"/>
          <c:x val="0.15389825488115003"/>
          <c:y val="5.2315122148193123E-2"/>
          <c:w val="0.32661790316962902"/>
          <c:h val="8.4485039370078757E-2"/>
        </c:manualLayout>
      </c:layout>
      <c:txPr>
        <a:bodyPr/>
        <a:lstStyle/>
        <a:p>
          <a:pPr>
            <a:defRPr sz="550" b="0" i="0" u="none" strike="noStrike" baseline="0">
              <a:solidFill>
                <a:srgbClr val="000000"/>
              </a:solidFill>
              <a:latin typeface="Calibri"/>
              <a:ea typeface="Calibri"/>
              <a:cs typeface="Calibri"/>
            </a:defRPr>
          </a:pPr>
          <a:endParaRPr lang="en-US"/>
        </a:p>
      </c:txPr>
    </c:legend>
    <c:plotVisOnly val="1"/>
    <c:dispBlanksAs val="gap"/>
  </c:chart>
  <c:spPr>
    <a:ln>
      <a:solidFill>
        <a:schemeClr val="bg1"/>
      </a:solidFill>
    </a:ln>
  </c:spPr>
  <c:txPr>
    <a:bodyPr/>
    <a:lstStyle/>
    <a:p>
      <a:pPr>
        <a:defRPr sz="1000" b="0" i="0" u="none" strike="noStrike" baseline="0">
          <a:solidFill>
            <a:srgbClr val="000000"/>
          </a:solidFill>
          <a:latin typeface="Calibri"/>
          <a:ea typeface="Calibri"/>
          <a:cs typeface="Calibri"/>
        </a:defRPr>
      </a:pPr>
      <a:endParaRPr lang="en-US"/>
    </a:p>
  </c:txPr>
  <c:externalData r:id="rId1"/>
  <c:userShapes r:id="rId2"/>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9.1784814026959496E-2"/>
          <c:y val="5.1400554097404488E-2"/>
          <c:w val="0.89200637049081732"/>
          <c:h val="0.72101281457464872"/>
        </c:manualLayout>
      </c:layout>
      <c:barChart>
        <c:barDir val="col"/>
        <c:grouping val="clustered"/>
        <c:ser>
          <c:idx val="0"/>
          <c:order val="0"/>
          <c:spPr>
            <a:solidFill>
              <a:schemeClr val="bg1">
                <a:lumMod val="50000"/>
              </a:schemeClr>
            </a:solidFill>
            <a:ln>
              <a:solidFill>
                <a:schemeClr val="tx1"/>
              </a:solidFill>
            </a:ln>
          </c:spPr>
          <c:errBars>
            <c:errBarType val="both"/>
            <c:errValType val="cust"/>
            <c:plus>
              <c:numRef>
                <c:f>'2WW Lower GI'!$J$18:$J$46</c:f>
                <c:numCache>
                  <c:formatCode>General</c:formatCode>
                  <c:ptCount val="29"/>
                  <c:pt idx="0">
                    <c:v>60.521887547101997</c:v>
                  </c:pt>
                  <c:pt idx="1">
                    <c:v>55.127502783166982</c:v>
                  </c:pt>
                  <c:pt idx="2">
                    <c:v>90.429910088685972</c:v>
                  </c:pt>
                  <c:pt idx="3">
                    <c:v>66.995922788689583</c:v>
                  </c:pt>
                  <c:pt idx="4">
                    <c:v>121.97368885933241</c:v>
                  </c:pt>
                  <c:pt idx="5">
                    <c:v>81.297730918582758</c:v>
                  </c:pt>
                  <c:pt idx="6">
                    <c:v>105.23390474357872</c:v>
                  </c:pt>
                  <c:pt idx="7">
                    <c:v>149.85980192480918</c:v>
                  </c:pt>
                  <c:pt idx="8">
                    <c:v>120.30863652336348</c:v>
                  </c:pt>
                  <c:pt idx="9">
                    <c:v>103.630900914667</c:v>
                  </c:pt>
                  <c:pt idx="10">
                    <c:v>98.991104774312788</c:v>
                  </c:pt>
                  <c:pt idx="11">
                    <c:v>188.05136971065161</c:v>
                  </c:pt>
                  <c:pt idx="12">
                    <c:v>81.894995261429187</c:v>
                  </c:pt>
                  <c:pt idx="13">
                    <c:v>100.41457773405367</c:v>
                  </c:pt>
                  <c:pt idx="14">
                    <c:v>181.99101393204614</c:v>
                  </c:pt>
                  <c:pt idx="15">
                    <c:v>91.076932773329318</c:v>
                  </c:pt>
                  <c:pt idx="16">
                    <c:v>107.32658671027204</c:v>
                  </c:pt>
                  <c:pt idx="17">
                    <c:v>89.190338969307263</c:v>
                  </c:pt>
                  <c:pt idx="18">
                    <c:v>120.71859793799895</c:v>
                  </c:pt>
                  <c:pt idx="19">
                    <c:v>102.77198559747949</c:v>
                  </c:pt>
                  <c:pt idx="20">
                    <c:v>95.390823930184808</c:v>
                  </c:pt>
                  <c:pt idx="21">
                    <c:v>101.16902523617391</c:v>
                  </c:pt>
                  <c:pt idx="22">
                    <c:v>82.484673039000697</c:v>
                  </c:pt>
                  <c:pt idx="23">
                    <c:v>98.622402410052487</c:v>
                  </c:pt>
                  <c:pt idx="24">
                    <c:v>99.10524762674558</c:v>
                  </c:pt>
                  <c:pt idx="25">
                    <c:v>171.40565810133847</c:v>
                  </c:pt>
                  <c:pt idx="26">
                    <c:v>140.95372291865934</c:v>
                  </c:pt>
                  <c:pt idx="27">
                    <c:v>195.00375995741734</c:v>
                  </c:pt>
                  <c:pt idx="28">
                    <c:v>209.51846489575445</c:v>
                  </c:pt>
                </c:numCache>
              </c:numRef>
            </c:plus>
            <c:minus>
              <c:numRef>
                <c:f>'2WW Lower GI'!$I$18:$I$46</c:f>
                <c:numCache>
                  <c:formatCode>General</c:formatCode>
                  <c:ptCount val="29"/>
                  <c:pt idx="0">
                    <c:v>30.755946076288993</c:v>
                  </c:pt>
                  <c:pt idx="1">
                    <c:v>32.344273191850924</c:v>
                  </c:pt>
                  <c:pt idx="2">
                    <c:v>45.954571991938245</c:v>
                  </c:pt>
                  <c:pt idx="3">
                    <c:v>39.307683461388038</c:v>
                  </c:pt>
                  <c:pt idx="4">
                    <c:v>61.984454704326289</c:v>
                  </c:pt>
                  <c:pt idx="5">
                    <c:v>51.64670818284069</c:v>
                  </c:pt>
                  <c:pt idx="6">
                    <c:v>61.74257842694896</c:v>
                  </c:pt>
                  <c:pt idx="7">
                    <c:v>80.854579904825314</c:v>
                  </c:pt>
                  <c:pt idx="8">
                    <c:v>72.804329958009831</c:v>
                  </c:pt>
                  <c:pt idx="9">
                    <c:v>67.135743231915285</c:v>
                  </c:pt>
                  <c:pt idx="10">
                    <c:v>65.246025163365744</c:v>
                  </c:pt>
                  <c:pt idx="11">
                    <c:v>95.563737695587278</c:v>
                  </c:pt>
                  <c:pt idx="12">
                    <c:v>58.05809808925649</c:v>
                  </c:pt>
                  <c:pt idx="13">
                    <c:v>67.208626208800297</c:v>
                  </c:pt>
                  <c:pt idx="14">
                    <c:v>102.85906103019315</c:v>
                  </c:pt>
                  <c:pt idx="15">
                    <c:v>66.646283946443376</c:v>
                  </c:pt>
                  <c:pt idx="16">
                    <c:v>76.087402886080994</c:v>
                  </c:pt>
                  <c:pt idx="17">
                    <c:v>66.502377085446625</c:v>
                  </c:pt>
                  <c:pt idx="18">
                    <c:v>82.947530644446928</c:v>
                  </c:pt>
                  <c:pt idx="19">
                    <c:v>74.106482808005254</c:v>
                  </c:pt>
                  <c:pt idx="20">
                    <c:v>70.708770889614485</c:v>
                  </c:pt>
                  <c:pt idx="21">
                    <c:v>74.031254425922057</c:v>
                  </c:pt>
                  <c:pt idx="22">
                    <c:v>63.585820511154054</c:v>
                  </c:pt>
                  <c:pt idx="23">
                    <c:v>73.104189368356657</c:v>
                  </c:pt>
                  <c:pt idx="24">
                    <c:v>73.895162020725849</c:v>
                  </c:pt>
                  <c:pt idx="25">
                    <c:v>108.89034546011086</c:v>
                  </c:pt>
                  <c:pt idx="26">
                    <c:v>103.8321122305981</c:v>
                  </c:pt>
                  <c:pt idx="27">
                    <c:v>138.24468012044377</c:v>
                  </c:pt>
                  <c:pt idx="28">
                    <c:v>145.60529782335578</c:v>
                  </c:pt>
                </c:numCache>
              </c:numRef>
            </c:minus>
          </c:errBars>
          <c:cat>
            <c:strRef>
              <c:f>'2WW Breast'!$B$12:$B$45</c:f>
              <c:strCache>
                <c:ptCount val="34"/>
                <c:pt idx="0">
                  <c:v>H85061</c:v>
                </c:pt>
                <c:pt idx="1">
                  <c:v>H85008</c:v>
                </c:pt>
                <c:pt idx="2">
                  <c:v>H85039</c:v>
                </c:pt>
                <c:pt idx="3">
                  <c:v>H85643</c:v>
                </c:pt>
                <c:pt idx="4">
                  <c:v>Y01132</c:v>
                </c:pt>
                <c:pt idx="5">
                  <c:v>H85680</c:v>
                </c:pt>
                <c:pt idx="6">
                  <c:v>H85057</c:v>
                </c:pt>
                <c:pt idx="7">
                  <c:v>H85065</c:v>
                </c:pt>
                <c:pt idx="8">
                  <c:v>H85007</c:v>
                </c:pt>
                <c:pt idx="9">
                  <c:v>H85682</c:v>
                </c:pt>
                <c:pt idx="10">
                  <c:v>H85114</c:v>
                </c:pt>
                <c:pt idx="11">
                  <c:v>H85002</c:v>
                </c:pt>
                <c:pt idx="12">
                  <c:v>H85041</c:v>
                </c:pt>
                <c:pt idx="13">
                  <c:v>H85001</c:v>
                </c:pt>
                <c:pt idx="14">
                  <c:v>H85049</c:v>
                </c:pt>
                <c:pt idx="15">
                  <c:v>H85077</c:v>
                </c:pt>
                <c:pt idx="16">
                  <c:v>H85009</c:v>
                </c:pt>
                <c:pt idx="17">
                  <c:v>H85012</c:v>
                </c:pt>
                <c:pt idx="18">
                  <c:v>H85069</c:v>
                </c:pt>
                <c:pt idx="19">
                  <c:v>H85052</c:v>
                </c:pt>
                <c:pt idx="20">
                  <c:v>H85056</c:v>
                </c:pt>
                <c:pt idx="21">
                  <c:v>H85066</c:v>
                </c:pt>
                <c:pt idx="22">
                  <c:v>H85082</c:v>
                </c:pt>
                <c:pt idx="23">
                  <c:v>H85111</c:v>
                </c:pt>
                <c:pt idx="24">
                  <c:v>H85011</c:v>
                </c:pt>
                <c:pt idx="25">
                  <c:v>H85087</c:v>
                </c:pt>
                <c:pt idx="26">
                  <c:v>H85047</c:v>
                </c:pt>
                <c:pt idx="27">
                  <c:v>H85067</c:v>
                </c:pt>
                <c:pt idx="28">
                  <c:v>H85045</c:v>
                </c:pt>
                <c:pt idx="29">
                  <c:v>H85003</c:v>
                </c:pt>
                <c:pt idx="30">
                  <c:v>H85100</c:v>
                </c:pt>
                <c:pt idx="31">
                  <c:v>H85005</c:v>
                </c:pt>
                <c:pt idx="32">
                  <c:v>H85664</c:v>
                </c:pt>
                <c:pt idx="33">
                  <c:v>H85048</c:v>
                </c:pt>
              </c:strCache>
            </c:strRef>
          </c:cat>
          <c:val>
            <c:numRef>
              <c:f>'2WW Lower GI'!$F$18:$F$46</c:f>
              <c:numCache>
                <c:formatCode>0.00</c:formatCode>
                <c:ptCount val="29"/>
                <c:pt idx="0">
                  <c:v>45.380286803412382</c:v>
                </c:pt>
                <c:pt idx="1">
                  <c:v>56.802044873615309</c:v>
                </c:pt>
                <c:pt idx="2">
                  <c:v>67.805804176837356</c:v>
                </c:pt>
                <c:pt idx="3">
                  <c:v>69.030977651220979</c:v>
                </c:pt>
                <c:pt idx="4">
                  <c:v>91.457837936711158</c:v>
                </c:pt>
                <c:pt idx="5">
                  <c:v>102.98661174047373</c:v>
                </c:pt>
                <c:pt idx="6">
                  <c:v>108.43046896177843</c:v>
                </c:pt>
                <c:pt idx="7">
                  <c:v>127.36149437486733</c:v>
                </c:pt>
                <c:pt idx="8">
                  <c:v>133.90864454694238</c:v>
                </c:pt>
                <c:pt idx="9">
                  <c:v>138.74436351023238</c:v>
                </c:pt>
                <c:pt idx="10">
                  <c:v>139.39523911644864</c:v>
                </c:pt>
                <c:pt idx="11">
                  <c:v>141.0039481105471</c:v>
                </c:pt>
                <c:pt idx="12">
                  <c:v>145.79496623695488</c:v>
                </c:pt>
                <c:pt idx="13">
                  <c:v>148.11680067710535</c:v>
                </c:pt>
                <c:pt idx="14">
                  <c:v>171.61068889433653</c:v>
                </c:pt>
                <c:pt idx="15">
                  <c:v>181.9476307254173</c:v>
                </c:pt>
                <c:pt idx="16">
                  <c:v>191.0699919549474</c:v>
                </c:pt>
                <c:pt idx="17">
                  <c:v>191.68386906517213</c:v>
                </c:pt>
                <c:pt idx="18">
                  <c:v>193.44698343610168</c:v>
                </c:pt>
                <c:pt idx="19">
                  <c:v>194.39044709802869</c:v>
                </c:pt>
                <c:pt idx="20">
                  <c:v>200.28841531805801</c:v>
                </c:pt>
                <c:pt idx="21">
                  <c:v>202.10896309314538</c:v>
                </c:pt>
                <c:pt idx="22">
                  <c:v>203.95550061804698</c:v>
                </c:pt>
                <c:pt idx="23">
                  <c:v>207.07363538474223</c:v>
                </c:pt>
                <c:pt idx="24">
                  <c:v>212.99254526091588</c:v>
                </c:pt>
                <c:pt idx="25">
                  <c:v>217.13383339913116</c:v>
                </c:pt>
                <c:pt idx="26">
                  <c:v>288.84342279456092</c:v>
                </c:pt>
                <c:pt idx="27">
                  <c:v>347.15877946281699</c:v>
                </c:pt>
                <c:pt idx="28">
                  <c:v>348.50348503485151</c:v>
                </c:pt>
              </c:numCache>
            </c:numRef>
          </c:val>
        </c:ser>
        <c:axId val="107264640"/>
        <c:axId val="107266432"/>
      </c:barChart>
      <c:lineChart>
        <c:grouping val="standard"/>
        <c:ser>
          <c:idx val="1"/>
          <c:order val="1"/>
          <c:tx>
            <c:strRef>
              <c:f>'2WW Lower GI'!$K$1</c:f>
              <c:strCache>
                <c:ptCount val="1"/>
                <c:pt idx="0">
                  <c:v>PCT Average</c:v>
                </c:pt>
              </c:strCache>
            </c:strRef>
          </c:tx>
          <c:spPr>
            <a:ln w="19050">
              <a:solidFill>
                <a:srgbClr val="FF0000"/>
              </a:solidFill>
              <a:prstDash val="dash"/>
            </a:ln>
          </c:spPr>
          <c:marker>
            <c:symbol val="none"/>
          </c:marker>
          <c:val>
            <c:numRef>
              <c:f>'2WW Lower GI'!$K$18:$K$46</c:f>
              <c:numCache>
                <c:formatCode>0.00</c:formatCode>
                <c:ptCount val="29"/>
                <c:pt idx="0">
                  <c:v>142.48156931958161</c:v>
                </c:pt>
                <c:pt idx="1">
                  <c:v>142.48156931958161</c:v>
                </c:pt>
                <c:pt idx="2">
                  <c:v>142.48156931958161</c:v>
                </c:pt>
                <c:pt idx="3">
                  <c:v>142.48156931958161</c:v>
                </c:pt>
                <c:pt idx="4">
                  <c:v>142.48156931958161</c:v>
                </c:pt>
                <c:pt idx="5">
                  <c:v>142.48156931958161</c:v>
                </c:pt>
                <c:pt idx="6">
                  <c:v>142.48156931958161</c:v>
                </c:pt>
                <c:pt idx="7">
                  <c:v>142.48156931958161</c:v>
                </c:pt>
                <c:pt idx="8">
                  <c:v>142.48156931958161</c:v>
                </c:pt>
                <c:pt idx="9">
                  <c:v>142.48156931958161</c:v>
                </c:pt>
                <c:pt idx="10">
                  <c:v>142.48156931958161</c:v>
                </c:pt>
                <c:pt idx="11">
                  <c:v>142.48156931958161</c:v>
                </c:pt>
                <c:pt idx="12">
                  <c:v>142.48156931958161</c:v>
                </c:pt>
                <c:pt idx="13">
                  <c:v>142.48156931958161</c:v>
                </c:pt>
                <c:pt idx="14">
                  <c:v>142.48156931958161</c:v>
                </c:pt>
                <c:pt idx="15">
                  <c:v>142.48156931958161</c:v>
                </c:pt>
                <c:pt idx="16">
                  <c:v>142.48156931958161</c:v>
                </c:pt>
                <c:pt idx="17">
                  <c:v>142.48156931958161</c:v>
                </c:pt>
                <c:pt idx="18">
                  <c:v>142.48156931958161</c:v>
                </c:pt>
                <c:pt idx="19">
                  <c:v>142.48156931958161</c:v>
                </c:pt>
                <c:pt idx="20">
                  <c:v>142.48156931958161</c:v>
                </c:pt>
                <c:pt idx="21">
                  <c:v>142.48156931958161</c:v>
                </c:pt>
                <c:pt idx="22">
                  <c:v>142.48156931958161</c:v>
                </c:pt>
                <c:pt idx="23">
                  <c:v>142.48156931958161</c:v>
                </c:pt>
                <c:pt idx="24">
                  <c:v>142.48156931958161</c:v>
                </c:pt>
                <c:pt idx="25">
                  <c:v>142.48156931958161</c:v>
                </c:pt>
                <c:pt idx="26">
                  <c:v>142.48156931958161</c:v>
                </c:pt>
                <c:pt idx="27">
                  <c:v>142.48156931958161</c:v>
                </c:pt>
                <c:pt idx="28">
                  <c:v>142.48156931958161</c:v>
                </c:pt>
              </c:numCache>
            </c:numRef>
          </c:val>
        </c:ser>
        <c:ser>
          <c:idx val="2"/>
          <c:order val="2"/>
          <c:tx>
            <c:strRef>
              <c:f>'2WW Lower GI'!$L$1</c:f>
              <c:strCache>
                <c:ptCount val="1"/>
                <c:pt idx="0">
                  <c:v>England Average</c:v>
                </c:pt>
              </c:strCache>
            </c:strRef>
          </c:tx>
          <c:spPr>
            <a:ln w="19050">
              <a:solidFill>
                <a:srgbClr val="7030A0"/>
              </a:solidFill>
              <a:prstDash val="lgDashDotDot"/>
            </a:ln>
          </c:spPr>
          <c:marker>
            <c:symbol val="none"/>
          </c:marker>
          <c:val>
            <c:numRef>
              <c:f>'2WW Lower GI'!$L$18:$L$46</c:f>
              <c:numCache>
                <c:formatCode>0.00</c:formatCode>
                <c:ptCount val="29"/>
                <c:pt idx="0">
                  <c:v>251.49177863721513</c:v>
                </c:pt>
                <c:pt idx="1">
                  <c:v>251.49177863721513</c:v>
                </c:pt>
                <c:pt idx="2">
                  <c:v>251.49177863721513</c:v>
                </c:pt>
                <c:pt idx="3">
                  <c:v>251.49177863721513</c:v>
                </c:pt>
                <c:pt idx="4">
                  <c:v>251.49177863721513</c:v>
                </c:pt>
                <c:pt idx="5">
                  <c:v>251.49177863721513</c:v>
                </c:pt>
                <c:pt idx="6">
                  <c:v>251.49177863721513</c:v>
                </c:pt>
                <c:pt idx="7">
                  <c:v>251.49177863721513</c:v>
                </c:pt>
                <c:pt idx="8">
                  <c:v>251.49177863721513</c:v>
                </c:pt>
                <c:pt idx="9">
                  <c:v>251.49177863721513</c:v>
                </c:pt>
                <c:pt idx="10">
                  <c:v>251.49177863721513</c:v>
                </c:pt>
                <c:pt idx="11">
                  <c:v>251.49177863721513</c:v>
                </c:pt>
                <c:pt idx="12">
                  <c:v>251.49177863721513</c:v>
                </c:pt>
                <c:pt idx="13">
                  <c:v>251.49177863721513</c:v>
                </c:pt>
                <c:pt idx="14">
                  <c:v>251.49177863721513</c:v>
                </c:pt>
                <c:pt idx="15">
                  <c:v>251.49177863721513</c:v>
                </c:pt>
                <c:pt idx="16">
                  <c:v>251.49177863721513</c:v>
                </c:pt>
                <c:pt idx="17">
                  <c:v>251.49177863721513</c:v>
                </c:pt>
                <c:pt idx="18">
                  <c:v>251.49177863721513</c:v>
                </c:pt>
                <c:pt idx="19">
                  <c:v>251.49177863721513</c:v>
                </c:pt>
                <c:pt idx="20">
                  <c:v>251.49177863721513</c:v>
                </c:pt>
                <c:pt idx="21">
                  <c:v>251.49177863721513</c:v>
                </c:pt>
                <c:pt idx="22">
                  <c:v>251.49177863721513</c:v>
                </c:pt>
                <c:pt idx="23">
                  <c:v>251.49177863721513</c:v>
                </c:pt>
                <c:pt idx="24">
                  <c:v>251.49177863721513</c:v>
                </c:pt>
                <c:pt idx="25">
                  <c:v>251.49177863721513</c:v>
                </c:pt>
                <c:pt idx="26">
                  <c:v>251.49177863721513</c:v>
                </c:pt>
                <c:pt idx="27">
                  <c:v>251.49177863721513</c:v>
                </c:pt>
                <c:pt idx="28">
                  <c:v>251.49177863721513</c:v>
                </c:pt>
              </c:numCache>
            </c:numRef>
          </c:val>
        </c:ser>
        <c:marker val="1"/>
        <c:axId val="107264640"/>
        <c:axId val="107266432"/>
      </c:lineChart>
      <c:catAx>
        <c:axId val="107264640"/>
        <c:scaling>
          <c:orientation val="minMax"/>
        </c:scaling>
        <c:axPos val="b"/>
        <c:numFmt formatCode="General" sourceLinked="1"/>
        <c:tickLblPos val="nextTo"/>
        <c:txPr>
          <a:bodyPr rot="-5400000" vert="horz"/>
          <a:lstStyle/>
          <a:p>
            <a:pPr>
              <a:defRPr sz="600" b="0" i="0" u="none" strike="noStrike" baseline="0">
                <a:solidFill>
                  <a:srgbClr val="000000"/>
                </a:solidFill>
                <a:latin typeface="Calibri"/>
                <a:ea typeface="Calibri"/>
                <a:cs typeface="Calibri"/>
              </a:defRPr>
            </a:pPr>
            <a:endParaRPr lang="en-US"/>
          </a:p>
        </c:txPr>
        <c:crossAx val="107266432"/>
        <c:crosses val="autoZero"/>
        <c:auto val="1"/>
        <c:lblAlgn val="ctr"/>
        <c:lblOffset val="100"/>
      </c:catAx>
      <c:valAx>
        <c:axId val="107266432"/>
        <c:scaling>
          <c:orientation val="minMax"/>
        </c:scaling>
        <c:axPos val="l"/>
        <c:majorGridlines/>
        <c:numFmt formatCode="0.00" sourceLinked="1"/>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07264640"/>
        <c:crosses val="autoZero"/>
        <c:crossBetween val="between"/>
      </c:valAx>
    </c:plotArea>
    <c:legend>
      <c:legendPos val="r"/>
      <c:legendEntry>
        <c:idx val="0"/>
        <c:delete val="1"/>
      </c:legendEntry>
      <c:layout>
        <c:manualLayout>
          <c:xMode val="edge"/>
          <c:yMode val="edge"/>
          <c:x val="0.17340365369689342"/>
          <c:y val="4.8212558045628913E-2"/>
          <c:w val="0.3266179031696293"/>
          <c:h val="8.4485039370078757E-2"/>
        </c:manualLayout>
      </c:layout>
      <c:txPr>
        <a:bodyPr/>
        <a:lstStyle/>
        <a:p>
          <a:pPr>
            <a:defRPr sz="550" b="0" i="0" u="none" strike="noStrike" baseline="0">
              <a:solidFill>
                <a:srgbClr val="000000"/>
              </a:solidFill>
              <a:latin typeface="Calibri"/>
              <a:ea typeface="Calibri"/>
              <a:cs typeface="Calibri"/>
            </a:defRPr>
          </a:pPr>
          <a:endParaRPr lang="en-US"/>
        </a:p>
      </c:txPr>
    </c:legend>
    <c:plotVisOnly val="1"/>
    <c:dispBlanksAs val="gap"/>
  </c:chart>
  <c:spPr>
    <a:ln>
      <a:solidFill>
        <a:schemeClr val="bg1"/>
      </a:solidFill>
    </a:ln>
  </c:spPr>
  <c:txPr>
    <a:bodyPr/>
    <a:lstStyle/>
    <a:p>
      <a:pPr>
        <a:defRPr sz="1000" b="0" i="0" u="none" strike="noStrike" baseline="0">
          <a:solidFill>
            <a:srgbClr val="000000"/>
          </a:solidFill>
          <a:latin typeface="Calibri"/>
          <a:ea typeface="Calibri"/>
          <a:cs typeface="Calibri"/>
        </a:defRPr>
      </a:pPr>
      <a:endParaRPr lang="en-US"/>
    </a:p>
  </c:txPr>
  <c:externalData r:id="rId1"/>
  <c:userShapes r:id="rId2"/>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8.7143501852209829E-2"/>
          <c:y val="4.4579519715507956E-2"/>
          <c:w val="0.89004675588971349"/>
          <c:h val="0.78553449886560756"/>
        </c:manualLayout>
      </c:layout>
      <c:barChart>
        <c:barDir val="col"/>
        <c:grouping val="clustered"/>
        <c:ser>
          <c:idx val="0"/>
          <c:order val="0"/>
          <c:tx>
            <c:strRef>
              <c:f>CRC!$B$1</c:f>
              <c:strCache>
                <c:ptCount val="1"/>
                <c:pt idx="0">
                  <c:v>% Non-urgent referrals</c:v>
                </c:pt>
              </c:strCache>
            </c:strRef>
          </c:tx>
          <c:spPr>
            <a:solidFill>
              <a:schemeClr val="bg1">
                <a:lumMod val="65000"/>
              </a:schemeClr>
            </a:solidFill>
            <a:ln>
              <a:solidFill>
                <a:prstClr val="black"/>
              </a:solidFill>
            </a:ln>
          </c:spPr>
          <c:cat>
            <c:strRef>
              <c:f>CRC!$A$2:$A$11</c:f>
              <c:strCache>
                <c:ptCount val="10"/>
                <c:pt idx="0">
                  <c:v>Kingston</c:v>
                </c:pt>
                <c:pt idx="1">
                  <c:v>Croydon</c:v>
                </c:pt>
                <c:pt idx="2">
                  <c:v>Richmond &amp; Twickenham</c:v>
                </c:pt>
                <c:pt idx="3">
                  <c:v>Sutton &amp; Merton</c:v>
                </c:pt>
                <c:pt idx="4">
                  <c:v>Wandsworth</c:v>
                </c:pt>
                <c:pt idx="5">
                  <c:v>NLCN</c:v>
                </c:pt>
                <c:pt idx="6">
                  <c:v>SELCN</c:v>
                </c:pt>
                <c:pt idx="7">
                  <c:v>NELCN</c:v>
                </c:pt>
                <c:pt idx="8">
                  <c:v>SWLCN</c:v>
                </c:pt>
                <c:pt idx="9">
                  <c:v>(N)WLCN</c:v>
                </c:pt>
              </c:strCache>
            </c:strRef>
          </c:cat>
          <c:val>
            <c:numRef>
              <c:f>CRC!$B$2:$B$11</c:f>
              <c:numCache>
                <c:formatCode>General</c:formatCode>
                <c:ptCount val="10"/>
                <c:pt idx="0">
                  <c:v>40.700000000000003</c:v>
                </c:pt>
                <c:pt idx="1">
                  <c:v>52.8</c:v>
                </c:pt>
                <c:pt idx="2">
                  <c:v>57.1</c:v>
                </c:pt>
                <c:pt idx="3">
                  <c:v>57.1</c:v>
                </c:pt>
                <c:pt idx="4">
                  <c:v>61.9</c:v>
                </c:pt>
                <c:pt idx="5">
                  <c:v>43.4</c:v>
                </c:pt>
                <c:pt idx="6">
                  <c:v>47.1</c:v>
                </c:pt>
                <c:pt idx="7">
                  <c:v>49.9</c:v>
                </c:pt>
                <c:pt idx="8">
                  <c:v>54.3</c:v>
                </c:pt>
              </c:numCache>
            </c:numRef>
          </c:val>
        </c:ser>
        <c:axId val="107311488"/>
        <c:axId val="107313024"/>
      </c:barChart>
      <c:lineChart>
        <c:grouping val="standard"/>
        <c:ser>
          <c:idx val="1"/>
          <c:order val="1"/>
          <c:tx>
            <c:strRef>
              <c:f>CRC!$C$1</c:f>
              <c:strCache>
                <c:ptCount val="1"/>
                <c:pt idx="0">
                  <c:v>England Average</c:v>
                </c:pt>
              </c:strCache>
            </c:strRef>
          </c:tx>
          <c:spPr>
            <a:ln w="19050">
              <a:solidFill>
                <a:srgbClr val="7030A0"/>
              </a:solidFill>
              <a:prstDash val="lgDashDotDot"/>
            </a:ln>
          </c:spPr>
          <c:marker>
            <c:symbol val="none"/>
          </c:marker>
          <c:val>
            <c:numRef>
              <c:f>CRC!$C$2:$C$11</c:f>
              <c:numCache>
                <c:formatCode>General</c:formatCode>
                <c:ptCount val="10"/>
                <c:pt idx="0">
                  <c:v>46</c:v>
                </c:pt>
                <c:pt idx="1">
                  <c:v>46</c:v>
                </c:pt>
                <c:pt idx="2">
                  <c:v>46</c:v>
                </c:pt>
                <c:pt idx="3">
                  <c:v>46</c:v>
                </c:pt>
                <c:pt idx="4">
                  <c:v>46</c:v>
                </c:pt>
                <c:pt idx="5">
                  <c:v>46</c:v>
                </c:pt>
                <c:pt idx="6">
                  <c:v>46</c:v>
                </c:pt>
                <c:pt idx="7">
                  <c:v>46</c:v>
                </c:pt>
                <c:pt idx="8">
                  <c:v>46</c:v>
                </c:pt>
                <c:pt idx="9">
                  <c:v>46</c:v>
                </c:pt>
              </c:numCache>
            </c:numRef>
          </c:val>
        </c:ser>
        <c:marker val="1"/>
        <c:axId val="107311488"/>
        <c:axId val="107313024"/>
      </c:lineChart>
      <c:catAx>
        <c:axId val="107311488"/>
        <c:scaling>
          <c:orientation val="minMax"/>
        </c:scaling>
        <c:axPos val="b"/>
        <c:tickLblPos val="nextTo"/>
        <c:txPr>
          <a:bodyPr/>
          <a:lstStyle/>
          <a:p>
            <a:pPr>
              <a:defRPr sz="600"/>
            </a:pPr>
            <a:endParaRPr lang="en-US"/>
          </a:p>
        </c:txPr>
        <c:crossAx val="107313024"/>
        <c:crosses val="autoZero"/>
        <c:auto val="1"/>
        <c:lblAlgn val="ctr"/>
        <c:lblOffset val="100"/>
      </c:catAx>
      <c:valAx>
        <c:axId val="107313024"/>
        <c:scaling>
          <c:orientation val="minMax"/>
        </c:scaling>
        <c:axPos val="l"/>
        <c:majorGridlines/>
        <c:numFmt formatCode="General" sourceLinked="1"/>
        <c:tickLblPos val="nextTo"/>
        <c:txPr>
          <a:bodyPr/>
          <a:lstStyle/>
          <a:p>
            <a:pPr>
              <a:defRPr sz="600"/>
            </a:pPr>
            <a:endParaRPr lang="en-US"/>
          </a:p>
        </c:txPr>
        <c:crossAx val="107311488"/>
        <c:crosses val="autoZero"/>
        <c:crossBetween val="between"/>
      </c:valAx>
    </c:plotArea>
    <c:plotVisOnly val="1"/>
    <c:dispBlanksAs val="gap"/>
  </c:chart>
  <c:spPr>
    <a:ln>
      <a:solidFill>
        <a:schemeClr val="bg1"/>
      </a:solidFill>
    </a:ln>
  </c:spPr>
  <c:externalData r:id="rId1"/>
  <c:userShapes r:id="rId2"/>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9.1635334645669766E-2"/>
          <c:y val="4.3010752688172046E-2"/>
          <c:w val="0.88544799868765856"/>
          <c:h val="0.82578705521048423"/>
        </c:manualLayout>
      </c:layout>
      <c:barChart>
        <c:barDir val="col"/>
        <c:grouping val="clustered"/>
        <c:ser>
          <c:idx val="0"/>
          <c:order val="0"/>
          <c:tx>
            <c:strRef>
              <c:f>CRC!$B$1</c:f>
              <c:strCache>
                <c:ptCount val="1"/>
                <c:pt idx="0">
                  <c:v>Percentage of 2WW</c:v>
                </c:pt>
              </c:strCache>
            </c:strRef>
          </c:tx>
          <c:spPr>
            <a:solidFill>
              <a:prstClr val="white">
                <a:lumMod val="65000"/>
              </a:prstClr>
            </a:solidFill>
            <a:ln>
              <a:solidFill>
                <a:schemeClr val="tx1"/>
              </a:solidFill>
            </a:ln>
          </c:spPr>
          <c:cat>
            <c:strRef>
              <c:f>CRC!$A$2:$A$10</c:f>
              <c:strCache>
                <c:ptCount val="9"/>
                <c:pt idx="0">
                  <c:v>Wandsworth</c:v>
                </c:pt>
                <c:pt idx="1">
                  <c:v>Richmond &amp; Twickenham</c:v>
                </c:pt>
                <c:pt idx="2">
                  <c:v>Sutton &amp; Merton</c:v>
                </c:pt>
                <c:pt idx="3">
                  <c:v>Kingston</c:v>
                </c:pt>
                <c:pt idx="4">
                  <c:v>Croydon</c:v>
                </c:pt>
                <c:pt idx="5">
                  <c:v>NLCN</c:v>
                </c:pt>
                <c:pt idx="6">
                  <c:v>SELCN</c:v>
                </c:pt>
                <c:pt idx="7">
                  <c:v>NELCN</c:v>
                </c:pt>
                <c:pt idx="8">
                  <c:v>SWLCN</c:v>
                </c:pt>
              </c:strCache>
            </c:strRef>
          </c:cat>
          <c:val>
            <c:numRef>
              <c:f>CRC!$B$2:$B$10</c:f>
              <c:numCache>
                <c:formatCode>General</c:formatCode>
                <c:ptCount val="9"/>
                <c:pt idx="0">
                  <c:v>6.1</c:v>
                </c:pt>
                <c:pt idx="1">
                  <c:v>7.6</c:v>
                </c:pt>
                <c:pt idx="2">
                  <c:v>9.2000000000000011</c:v>
                </c:pt>
                <c:pt idx="3">
                  <c:v>9.8000000000000007</c:v>
                </c:pt>
                <c:pt idx="4">
                  <c:v>11.1</c:v>
                </c:pt>
                <c:pt idx="5">
                  <c:v>7.3</c:v>
                </c:pt>
                <c:pt idx="6">
                  <c:v>7.6</c:v>
                </c:pt>
                <c:pt idx="7">
                  <c:v>7.7</c:v>
                </c:pt>
                <c:pt idx="8">
                  <c:v>8.9</c:v>
                </c:pt>
              </c:numCache>
            </c:numRef>
          </c:val>
        </c:ser>
        <c:axId val="107337600"/>
        <c:axId val="107339136"/>
      </c:barChart>
      <c:lineChart>
        <c:grouping val="standard"/>
        <c:ser>
          <c:idx val="1"/>
          <c:order val="1"/>
          <c:tx>
            <c:strRef>
              <c:f>CRC!$C$1</c:f>
              <c:strCache>
                <c:ptCount val="1"/>
                <c:pt idx="0">
                  <c:v>England Average</c:v>
                </c:pt>
              </c:strCache>
            </c:strRef>
          </c:tx>
          <c:spPr>
            <a:ln w="19050">
              <a:solidFill>
                <a:srgbClr val="7030A0"/>
              </a:solidFill>
              <a:prstDash val="lgDashDotDot"/>
            </a:ln>
          </c:spPr>
          <c:marker>
            <c:symbol val="none"/>
          </c:marker>
          <c:cat>
            <c:strRef>
              <c:f>Breast!$A$2:$A$11</c:f>
              <c:strCache>
                <c:ptCount val="10"/>
                <c:pt idx="0">
                  <c:v>Richmond &amp; Twickenham</c:v>
                </c:pt>
                <c:pt idx="1">
                  <c:v>Wandsworth</c:v>
                </c:pt>
                <c:pt idx="2">
                  <c:v>Kingston</c:v>
                </c:pt>
                <c:pt idx="3">
                  <c:v>Sutton &amp; Merton</c:v>
                </c:pt>
                <c:pt idx="4">
                  <c:v>Croydon</c:v>
                </c:pt>
                <c:pt idx="5">
                  <c:v>SELCN</c:v>
                </c:pt>
                <c:pt idx="6">
                  <c:v>NELCN</c:v>
                </c:pt>
                <c:pt idx="7">
                  <c:v>(N)WLCN</c:v>
                </c:pt>
                <c:pt idx="8">
                  <c:v>NLCN</c:v>
                </c:pt>
                <c:pt idx="9">
                  <c:v>SWLCN</c:v>
                </c:pt>
              </c:strCache>
            </c:strRef>
          </c:cat>
          <c:val>
            <c:numRef>
              <c:f>CRC!$C$2:$C$10</c:f>
              <c:numCache>
                <c:formatCode>General</c:formatCode>
                <c:ptCount val="9"/>
                <c:pt idx="0">
                  <c:v>8.8000000000000007</c:v>
                </c:pt>
                <c:pt idx="1">
                  <c:v>8.8000000000000007</c:v>
                </c:pt>
                <c:pt idx="2">
                  <c:v>8.8000000000000007</c:v>
                </c:pt>
                <c:pt idx="3">
                  <c:v>8.8000000000000007</c:v>
                </c:pt>
                <c:pt idx="4">
                  <c:v>8.8000000000000007</c:v>
                </c:pt>
                <c:pt idx="5">
                  <c:v>8.8000000000000007</c:v>
                </c:pt>
                <c:pt idx="6">
                  <c:v>8.8000000000000007</c:v>
                </c:pt>
                <c:pt idx="7">
                  <c:v>8.8000000000000007</c:v>
                </c:pt>
                <c:pt idx="8">
                  <c:v>8.8000000000000007</c:v>
                </c:pt>
              </c:numCache>
            </c:numRef>
          </c:val>
        </c:ser>
        <c:marker val="1"/>
        <c:axId val="107337600"/>
        <c:axId val="107339136"/>
      </c:lineChart>
      <c:catAx>
        <c:axId val="107337600"/>
        <c:scaling>
          <c:orientation val="minMax"/>
        </c:scaling>
        <c:axPos val="b"/>
        <c:tickLblPos val="nextTo"/>
        <c:txPr>
          <a:bodyPr/>
          <a:lstStyle/>
          <a:p>
            <a:pPr>
              <a:defRPr sz="600"/>
            </a:pPr>
            <a:endParaRPr lang="en-US"/>
          </a:p>
        </c:txPr>
        <c:crossAx val="107339136"/>
        <c:crosses val="autoZero"/>
        <c:auto val="1"/>
        <c:lblAlgn val="ctr"/>
        <c:lblOffset val="100"/>
      </c:catAx>
      <c:valAx>
        <c:axId val="107339136"/>
        <c:scaling>
          <c:orientation val="minMax"/>
        </c:scaling>
        <c:axPos val="l"/>
        <c:majorGridlines/>
        <c:numFmt formatCode="General" sourceLinked="1"/>
        <c:tickLblPos val="nextTo"/>
        <c:txPr>
          <a:bodyPr/>
          <a:lstStyle/>
          <a:p>
            <a:pPr>
              <a:defRPr sz="600"/>
            </a:pPr>
            <a:endParaRPr lang="en-US"/>
          </a:p>
        </c:txPr>
        <c:crossAx val="107337600"/>
        <c:crosses val="autoZero"/>
        <c:crossBetween val="between"/>
      </c:valAx>
    </c:plotArea>
    <c:plotVisOnly val="1"/>
    <c:dispBlanksAs val="gap"/>
  </c:chart>
  <c:spPr>
    <a:ln>
      <a:solidFill>
        <a:schemeClr val="bg1"/>
      </a:solidFill>
    </a:ln>
  </c:spPr>
  <c:externalData r:id="rId1"/>
  <c:userShapes r:id="rId2"/>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723321170219721"/>
          <c:y val="3.6354307062968612E-2"/>
          <c:w val="0.84074018948852092"/>
          <c:h val="0.64042940578373664"/>
        </c:manualLayout>
      </c:layout>
      <c:barChart>
        <c:barDir val="bar"/>
        <c:grouping val="stacked"/>
        <c:ser>
          <c:idx val="0"/>
          <c:order val="0"/>
          <c:tx>
            <c:strRef>
              <c:f>Sheet1!$C$5</c:f>
              <c:strCache>
                <c:ptCount val="1"/>
                <c:pt idx="0">
                  <c:v>Time from noticing symptoms 
to reporting symptoms</c:v>
                </c:pt>
              </c:strCache>
            </c:strRef>
          </c:tx>
          <c:cat>
            <c:strRef>
              <c:f>Sheet1!$B$6:$B$9</c:f>
              <c:strCache>
                <c:ptCount val="4"/>
                <c:pt idx="0">
                  <c:v>Breast</c:v>
                </c:pt>
                <c:pt idx="1">
                  <c:v>Lung</c:v>
                </c:pt>
                <c:pt idx="2">
                  <c:v>Colorectal</c:v>
                </c:pt>
                <c:pt idx="3">
                  <c:v>Prostate</c:v>
                </c:pt>
              </c:strCache>
            </c:strRef>
          </c:cat>
          <c:val>
            <c:numRef>
              <c:f>Sheet1!$C$6:$C$9</c:f>
              <c:numCache>
                <c:formatCode>General</c:formatCode>
                <c:ptCount val="4"/>
                <c:pt idx="0">
                  <c:v>9</c:v>
                </c:pt>
                <c:pt idx="1">
                  <c:v>15</c:v>
                </c:pt>
                <c:pt idx="2">
                  <c:v>16</c:v>
                </c:pt>
                <c:pt idx="3">
                  <c:v>18</c:v>
                </c:pt>
              </c:numCache>
            </c:numRef>
          </c:val>
        </c:ser>
        <c:ser>
          <c:idx val="1"/>
          <c:order val="1"/>
          <c:tx>
            <c:strRef>
              <c:f>Sheet1!$D$5</c:f>
              <c:strCache>
                <c:ptCount val="1"/>
                <c:pt idx="0">
                  <c:v>Time from reporting symptoms 
to GP referral to secondary care</c:v>
                </c:pt>
              </c:strCache>
            </c:strRef>
          </c:tx>
          <c:cat>
            <c:strRef>
              <c:f>Sheet1!$B$6:$B$9</c:f>
              <c:strCache>
                <c:ptCount val="4"/>
                <c:pt idx="0">
                  <c:v>Breast</c:v>
                </c:pt>
                <c:pt idx="1">
                  <c:v>Lung</c:v>
                </c:pt>
                <c:pt idx="2">
                  <c:v>Colorectal</c:v>
                </c:pt>
                <c:pt idx="3">
                  <c:v>Prostate</c:v>
                </c:pt>
              </c:strCache>
            </c:strRef>
          </c:cat>
          <c:val>
            <c:numRef>
              <c:f>Sheet1!$D$6:$D$9</c:f>
              <c:numCache>
                <c:formatCode>General</c:formatCode>
                <c:ptCount val="4"/>
                <c:pt idx="0">
                  <c:v>0</c:v>
                </c:pt>
                <c:pt idx="1">
                  <c:v>5</c:v>
                </c:pt>
                <c:pt idx="2">
                  <c:v>1</c:v>
                </c:pt>
                <c:pt idx="3">
                  <c:v>12</c:v>
                </c:pt>
              </c:numCache>
            </c:numRef>
          </c:val>
        </c:ser>
        <c:ser>
          <c:idx val="2"/>
          <c:order val="2"/>
          <c:tx>
            <c:strRef>
              <c:f>Sheet1!$E$5</c:f>
              <c:strCache>
                <c:ptCount val="1"/>
                <c:pt idx="0">
                  <c:v>Time from GP referral 
to first seen in secondary care</c:v>
                </c:pt>
              </c:strCache>
            </c:strRef>
          </c:tx>
          <c:cat>
            <c:strRef>
              <c:f>Sheet1!$B$6:$B$9</c:f>
              <c:strCache>
                <c:ptCount val="4"/>
                <c:pt idx="0">
                  <c:v>Breast</c:v>
                </c:pt>
                <c:pt idx="1">
                  <c:v>Lung</c:v>
                </c:pt>
                <c:pt idx="2">
                  <c:v>Colorectal</c:v>
                </c:pt>
                <c:pt idx="3">
                  <c:v>Prostate</c:v>
                </c:pt>
              </c:strCache>
            </c:strRef>
          </c:cat>
          <c:val>
            <c:numRef>
              <c:f>Sheet1!$E$6:$E$9</c:f>
              <c:numCache>
                <c:formatCode>General</c:formatCode>
                <c:ptCount val="4"/>
                <c:pt idx="0">
                  <c:v>13</c:v>
                </c:pt>
                <c:pt idx="1">
                  <c:v>10</c:v>
                </c:pt>
                <c:pt idx="2">
                  <c:v>12</c:v>
                </c:pt>
                <c:pt idx="3">
                  <c:v>15</c:v>
                </c:pt>
              </c:numCache>
            </c:numRef>
          </c:val>
        </c:ser>
        <c:dLbls>
          <c:showVal val="1"/>
        </c:dLbls>
        <c:overlap val="100"/>
        <c:axId val="107508864"/>
        <c:axId val="107510784"/>
      </c:barChart>
      <c:catAx>
        <c:axId val="107508864"/>
        <c:scaling>
          <c:orientation val="minMax"/>
        </c:scaling>
        <c:axPos val="l"/>
        <c:title>
          <c:tx>
            <c:rich>
              <a:bodyPr rot="-5400000" vert="horz"/>
              <a:lstStyle/>
              <a:p>
                <a:pPr>
                  <a:defRPr sz="800"/>
                </a:pPr>
                <a:r>
                  <a:rPr lang="en-GB" sz="800"/>
                  <a:t>Cancer</a:t>
                </a:r>
                <a:r>
                  <a:rPr lang="en-GB" sz="800" baseline="0"/>
                  <a:t> type</a:t>
                </a:r>
                <a:endParaRPr lang="en-GB" sz="800"/>
              </a:p>
            </c:rich>
          </c:tx>
          <c:layout>
            <c:manualLayout>
              <c:xMode val="edge"/>
              <c:yMode val="edge"/>
              <c:x val="1.9092887779271581E-3"/>
              <c:y val="0.18797601077067441"/>
            </c:manualLayout>
          </c:layout>
        </c:title>
        <c:tickLblPos val="nextTo"/>
        <c:txPr>
          <a:bodyPr/>
          <a:lstStyle/>
          <a:p>
            <a:pPr>
              <a:defRPr sz="700"/>
            </a:pPr>
            <a:endParaRPr lang="en-US"/>
          </a:p>
        </c:txPr>
        <c:crossAx val="107510784"/>
        <c:crosses val="autoZero"/>
        <c:auto val="1"/>
        <c:lblAlgn val="ctr"/>
        <c:lblOffset val="100"/>
      </c:catAx>
      <c:valAx>
        <c:axId val="107510784"/>
        <c:scaling>
          <c:orientation val="minMax"/>
        </c:scaling>
        <c:axPos val="b"/>
        <c:majorGridlines/>
        <c:numFmt formatCode="General" sourceLinked="1"/>
        <c:tickLblPos val="nextTo"/>
        <c:txPr>
          <a:bodyPr/>
          <a:lstStyle/>
          <a:p>
            <a:pPr>
              <a:defRPr sz="600"/>
            </a:pPr>
            <a:endParaRPr lang="en-US"/>
          </a:p>
        </c:txPr>
        <c:crossAx val="107508864"/>
        <c:crosses val="autoZero"/>
        <c:crossBetween val="between"/>
      </c:valAx>
      <c:spPr>
        <a:noFill/>
        <a:ln w="25400">
          <a:noFill/>
        </a:ln>
      </c:spPr>
    </c:plotArea>
    <c:legend>
      <c:legendPos val="b"/>
      <c:layout>
        <c:manualLayout>
          <c:xMode val="edge"/>
          <c:yMode val="edge"/>
          <c:x val="5.8051021061391733E-2"/>
          <c:y val="0.78234470691163549"/>
          <c:w val="0.87884733158357686"/>
          <c:h val="0.17831177838521481"/>
        </c:manualLayout>
      </c:layout>
      <c:txPr>
        <a:bodyPr/>
        <a:lstStyle/>
        <a:p>
          <a:pPr>
            <a:defRPr sz="700"/>
          </a:pPr>
          <a:endParaRPr lang="en-US"/>
        </a:p>
      </c:txPr>
    </c:legend>
    <c:plotVisOnly val="1"/>
  </c:chart>
  <c:spPr>
    <a:ln>
      <a:solidFill>
        <a:sysClr val="window" lastClr="FFFFFF"/>
      </a:solid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9.5920409651616745E-2"/>
          <c:y val="5.1400554097404488E-2"/>
          <c:w val="0.8909949183543856"/>
          <c:h val="0.79822506561679785"/>
        </c:manualLayout>
      </c:layout>
      <c:barChart>
        <c:barDir val="col"/>
        <c:grouping val="clustered"/>
        <c:ser>
          <c:idx val="0"/>
          <c:order val="0"/>
          <c:tx>
            <c:strRef>
              <c:f>Colorectal!$A$1</c:f>
              <c:strCache>
                <c:ptCount val="1"/>
                <c:pt idx="0">
                  <c:v>Male</c:v>
                </c:pt>
              </c:strCache>
            </c:strRef>
          </c:tx>
          <c:spPr>
            <a:solidFill>
              <a:prstClr val="white">
                <a:lumMod val="85000"/>
              </a:prstClr>
            </a:solidFill>
            <a:ln>
              <a:solidFill>
                <a:schemeClr val="tx1"/>
              </a:solidFill>
            </a:ln>
          </c:spPr>
          <c:errBars>
            <c:errBarType val="both"/>
            <c:errValType val="cust"/>
            <c:plus>
              <c:numRef>
                <c:f>Colorectal!$F$3:$F$7</c:f>
                <c:numCache>
                  <c:formatCode>General</c:formatCode>
                  <c:ptCount val="5"/>
                  <c:pt idx="0">
                    <c:v>0.8000000000000046</c:v>
                  </c:pt>
                  <c:pt idx="1">
                    <c:v>0.7999999999999976</c:v>
                  </c:pt>
                  <c:pt idx="2">
                    <c:v>0.8000000000000046</c:v>
                  </c:pt>
                  <c:pt idx="3">
                    <c:v>0.90000000000000568</c:v>
                  </c:pt>
                  <c:pt idx="4">
                    <c:v>0.90000000000000568</c:v>
                  </c:pt>
                </c:numCache>
              </c:numRef>
            </c:plus>
            <c:minus>
              <c:numRef>
                <c:f>Colorectal!$E$3:$E$7</c:f>
                <c:numCache>
                  <c:formatCode>General</c:formatCode>
                  <c:ptCount val="5"/>
                  <c:pt idx="0">
                    <c:v>0.7999999999999976</c:v>
                  </c:pt>
                  <c:pt idx="1">
                    <c:v>0.8000000000000046</c:v>
                  </c:pt>
                  <c:pt idx="2">
                    <c:v>0.7999999999999976</c:v>
                  </c:pt>
                  <c:pt idx="3">
                    <c:v>0.7999999999999976</c:v>
                  </c:pt>
                  <c:pt idx="4">
                    <c:v>1</c:v>
                  </c:pt>
                </c:numCache>
              </c:numRef>
            </c:minus>
          </c:errBars>
          <c:cat>
            <c:strRef>
              <c:f>Colorectal!$G$3:$G$7</c:f>
              <c:strCache>
                <c:ptCount val="5"/>
                <c:pt idx="0">
                  <c:v>Least Deprived</c:v>
                </c:pt>
                <c:pt idx="1">
                  <c:v>2</c:v>
                </c:pt>
                <c:pt idx="2">
                  <c:v>3</c:v>
                </c:pt>
                <c:pt idx="3">
                  <c:v>4</c:v>
                </c:pt>
                <c:pt idx="4">
                  <c:v>Most Deprived</c:v>
                </c:pt>
              </c:strCache>
            </c:strRef>
          </c:cat>
          <c:val>
            <c:numRef>
              <c:f>Colorectal!$B$3:$B$7</c:f>
              <c:numCache>
                <c:formatCode>General</c:formatCode>
                <c:ptCount val="5"/>
                <c:pt idx="0">
                  <c:v>51.3</c:v>
                </c:pt>
                <c:pt idx="1">
                  <c:v>52.1</c:v>
                </c:pt>
                <c:pt idx="2">
                  <c:v>53.3</c:v>
                </c:pt>
                <c:pt idx="3">
                  <c:v>55.3</c:v>
                </c:pt>
                <c:pt idx="4">
                  <c:v>56.8</c:v>
                </c:pt>
              </c:numCache>
            </c:numRef>
          </c:val>
        </c:ser>
        <c:ser>
          <c:idx val="1"/>
          <c:order val="1"/>
          <c:tx>
            <c:strRef>
              <c:f>Colorectal!$G$1</c:f>
              <c:strCache>
                <c:ptCount val="1"/>
                <c:pt idx="0">
                  <c:v>Female</c:v>
                </c:pt>
              </c:strCache>
            </c:strRef>
          </c:tx>
          <c:spPr>
            <a:solidFill>
              <a:schemeClr val="bg1">
                <a:lumMod val="50000"/>
              </a:schemeClr>
            </a:solidFill>
            <a:ln>
              <a:solidFill>
                <a:prstClr val="black"/>
              </a:solidFill>
            </a:ln>
          </c:spPr>
          <c:errBars>
            <c:errBarType val="both"/>
            <c:errValType val="cust"/>
            <c:plus>
              <c:numRef>
                <c:f>Colorectal!$L$3:$L$7</c:f>
                <c:numCache>
                  <c:formatCode>General</c:formatCode>
                  <c:ptCount val="5"/>
                  <c:pt idx="0">
                    <c:v>0.5</c:v>
                  </c:pt>
                  <c:pt idx="1">
                    <c:v>0.60000000000000164</c:v>
                  </c:pt>
                  <c:pt idx="2">
                    <c:v>0.60000000000000164</c:v>
                  </c:pt>
                  <c:pt idx="3">
                    <c:v>0.60000000000000164</c:v>
                  </c:pt>
                  <c:pt idx="4">
                    <c:v>0.70000000000000284</c:v>
                  </c:pt>
                </c:numCache>
              </c:numRef>
            </c:plus>
            <c:minus>
              <c:numRef>
                <c:f>Colorectal!$K$3:$K$7</c:f>
                <c:numCache>
                  <c:formatCode>General</c:formatCode>
                  <c:ptCount val="5"/>
                  <c:pt idx="0">
                    <c:v>0.59999999999999432</c:v>
                  </c:pt>
                  <c:pt idx="1">
                    <c:v>0.5</c:v>
                  </c:pt>
                  <c:pt idx="2">
                    <c:v>0.60000000000000164</c:v>
                  </c:pt>
                  <c:pt idx="3">
                    <c:v>0.60000000000000164</c:v>
                  </c:pt>
                  <c:pt idx="4">
                    <c:v>0.60000000000000164</c:v>
                  </c:pt>
                </c:numCache>
              </c:numRef>
            </c:minus>
          </c:errBars>
          <c:cat>
            <c:strRef>
              <c:f>Colorectal!$G$3:$G$7</c:f>
              <c:strCache>
                <c:ptCount val="5"/>
                <c:pt idx="0">
                  <c:v>Least Deprived</c:v>
                </c:pt>
                <c:pt idx="1">
                  <c:v>2</c:v>
                </c:pt>
                <c:pt idx="2">
                  <c:v>3</c:v>
                </c:pt>
                <c:pt idx="3">
                  <c:v>4</c:v>
                </c:pt>
                <c:pt idx="4">
                  <c:v>Most Deprived</c:v>
                </c:pt>
              </c:strCache>
            </c:strRef>
          </c:cat>
          <c:val>
            <c:numRef>
              <c:f>Colorectal!$H$3:$H$7</c:f>
              <c:numCache>
                <c:formatCode>General</c:formatCode>
                <c:ptCount val="5"/>
                <c:pt idx="0">
                  <c:v>32.800000000000004</c:v>
                </c:pt>
                <c:pt idx="1">
                  <c:v>34.300000000000004</c:v>
                </c:pt>
                <c:pt idx="2">
                  <c:v>34.6</c:v>
                </c:pt>
                <c:pt idx="3">
                  <c:v>34.1</c:v>
                </c:pt>
                <c:pt idx="4">
                  <c:v>33.4</c:v>
                </c:pt>
              </c:numCache>
            </c:numRef>
          </c:val>
        </c:ser>
        <c:gapWidth val="252"/>
        <c:axId val="106373120"/>
        <c:axId val="106374656"/>
      </c:barChart>
      <c:catAx>
        <c:axId val="106373120"/>
        <c:scaling>
          <c:orientation val="minMax"/>
        </c:scaling>
        <c:axPos val="b"/>
        <c:tickLblPos val="nextTo"/>
        <c:txPr>
          <a:bodyPr/>
          <a:lstStyle/>
          <a:p>
            <a:pPr>
              <a:defRPr sz="600"/>
            </a:pPr>
            <a:endParaRPr lang="en-US"/>
          </a:p>
        </c:txPr>
        <c:crossAx val="106374656"/>
        <c:crosses val="autoZero"/>
        <c:auto val="1"/>
        <c:lblAlgn val="ctr"/>
        <c:lblOffset val="100"/>
      </c:catAx>
      <c:valAx>
        <c:axId val="106374656"/>
        <c:scaling>
          <c:orientation val="minMax"/>
        </c:scaling>
        <c:axPos val="l"/>
        <c:majorGridlines/>
        <c:numFmt formatCode="General" sourceLinked="1"/>
        <c:tickLblPos val="nextTo"/>
        <c:txPr>
          <a:bodyPr/>
          <a:lstStyle/>
          <a:p>
            <a:pPr>
              <a:defRPr sz="600"/>
            </a:pPr>
            <a:endParaRPr lang="en-US"/>
          </a:p>
        </c:txPr>
        <c:crossAx val="106373120"/>
        <c:crosses val="autoZero"/>
        <c:crossBetween val="between"/>
      </c:valAx>
    </c:plotArea>
    <c:legend>
      <c:legendPos val="r"/>
      <c:layout>
        <c:manualLayout>
          <c:xMode val="edge"/>
          <c:yMode val="edge"/>
          <c:x val="9.9347224984692728E-2"/>
          <c:y val="5.9801326917469012E-2"/>
          <c:w val="0.27261909497568382"/>
          <c:h val="8.4101049868766528E-2"/>
        </c:manualLayout>
      </c:layout>
      <c:txPr>
        <a:bodyPr/>
        <a:lstStyle/>
        <a:p>
          <a:pPr>
            <a:defRPr sz="600"/>
          </a:pPr>
          <a:endParaRPr lang="en-US"/>
        </a:p>
      </c:txPr>
    </c:legend>
    <c:plotVisOnly val="1"/>
  </c:chart>
  <c:spPr>
    <a:ln>
      <a:solidFill>
        <a:schemeClr val="bg1"/>
      </a:solidFill>
    </a:ln>
  </c:sp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2740540858374691"/>
          <c:y val="3.6475527706357452E-2"/>
          <c:w val="0.85479868338139875"/>
          <c:h val="0.87324519733101913"/>
        </c:manualLayout>
      </c:layout>
      <c:lineChart>
        <c:grouping val="standard"/>
        <c:ser>
          <c:idx val="12"/>
          <c:order val="0"/>
          <c:tx>
            <c:v>Croydon</c:v>
          </c:tx>
          <c:spPr>
            <a:ln w="12700">
              <a:solidFill>
                <a:schemeClr val="accent2">
                  <a:lumMod val="75000"/>
                </a:schemeClr>
              </a:solidFill>
              <a:prstDash val="solid"/>
            </a:ln>
          </c:spPr>
          <c:marker>
            <c:symbol val="diamond"/>
            <c:size val="4"/>
            <c:spPr>
              <a:solidFill>
                <a:schemeClr val="accent2">
                  <a:lumMod val="75000"/>
                </a:schemeClr>
              </a:solidFill>
              <a:ln>
                <a:solidFill>
                  <a:schemeClr val="accent2">
                    <a:lumMod val="75000"/>
                  </a:schemeClr>
                </a:solidFill>
              </a:ln>
            </c:spPr>
          </c:marker>
          <c:cat>
            <c:numRef>
              <c:f>(Sheet1!$D$36,Sheet1!$J$36,Sheet1!$P$36,Sheet1!$V$36,Sheet1!$AB$36)</c:f>
              <c:numCache>
                <c:formatCode>General</c:formatCode>
                <c:ptCount val="5"/>
                <c:pt idx="0">
                  <c:v>2010</c:v>
                </c:pt>
                <c:pt idx="1">
                  <c:v>2015</c:v>
                </c:pt>
                <c:pt idx="2">
                  <c:v>2020</c:v>
                </c:pt>
                <c:pt idx="3">
                  <c:v>2025</c:v>
                </c:pt>
                <c:pt idx="4">
                  <c:v>2030</c:v>
                </c:pt>
              </c:numCache>
            </c:numRef>
          </c:cat>
          <c:val>
            <c:numRef>
              <c:f>(Sheet1!$I$39,Sheet1!$O$39,Sheet1!$U$39,Sheet1!$AA$39,Sheet1!$AG$39)</c:f>
              <c:numCache>
                <c:formatCode>0.00%</c:formatCode>
                <c:ptCount val="5"/>
                <c:pt idx="0">
                  <c:v>0.12884400407249993</c:v>
                </c:pt>
                <c:pt idx="1">
                  <c:v>0.13626277221591487</c:v>
                </c:pt>
                <c:pt idx="2">
                  <c:v>0.1417046394571212</c:v>
                </c:pt>
                <c:pt idx="3">
                  <c:v>0.15127520385165871</c:v>
                </c:pt>
                <c:pt idx="4">
                  <c:v>0.16472016790729721</c:v>
                </c:pt>
              </c:numCache>
            </c:numRef>
          </c:val>
        </c:ser>
        <c:ser>
          <c:idx val="13"/>
          <c:order val="1"/>
          <c:tx>
            <c:v>Kingston</c:v>
          </c:tx>
          <c:spPr>
            <a:ln w="12700">
              <a:solidFill>
                <a:schemeClr val="accent4"/>
              </a:solidFill>
              <a:prstDash val="sysDash"/>
            </a:ln>
          </c:spPr>
          <c:marker>
            <c:symbol val="circle"/>
            <c:size val="4"/>
            <c:spPr>
              <a:solidFill>
                <a:schemeClr val="accent4"/>
              </a:solidFill>
              <a:ln>
                <a:solidFill>
                  <a:schemeClr val="accent4"/>
                </a:solidFill>
              </a:ln>
            </c:spPr>
          </c:marker>
          <c:cat>
            <c:numRef>
              <c:f>(Sheet1!$D$36,Sheet1!$J$36,Sheet1!$P$36,Sheet1!$V$36,Sheet1!$AB$36)</c:f>
              <c:numCache>
                <c:formatCode>General</c:formatCode>
                <c:ptCount val="5"/>
                <c:pt idx="0">
                  <c:v>2010</c:v>
                </c:pt>
                <c:pt idx="1">
                  <c:v>2015</c:v>
                </c:pt>
                <c:pt idx="2">
                  <c:v>2020</c:v>
                </c:pt>
                <c:pt idx="3">
                  <c:v>2025</c:v>
                </c:pt>
                <c:pt idx="4">
                  <c:v>2030</c:v>
                </c:pt>
              </c:numCache>
            </c:numRef>
          </c:cat>
          <c:val>
            <c:numRef>
              <c:f>(Sheet1!$I$40,Sheet1!$O$40,Sheet1!$U$40,Sheet1!$AA$40,Sheet1!$AG$40)</c:f>
              <c:numCache>
                <c:formatCode>0.00%</c:formatCode>
                <c:ptCount val="5"/>
                <c:pt idx="0">
                  <c:v>0.11988203649090969</c:v>
                </c:pt>
                <c:pt idx="1">
                  <c:v>0.12751536771029448</c:v>
                </c:pt>
                <c:pt idx="2">
                  <c:v>0.13243062039061865</c:v>
                </c:pt>
                <c:pt idx="3">
                  <c:v>0.13927543926803071</c:v>
                </c:pt>
                <c:pt idx="4">
                  <c:v>0.14990741191950024</c:v>
                </c:pt>
              </c:numCache>
            </c:numRef>
          </c:val>
        </c:ser>
        <c:ser>
          <c:idx val="14"/>
          <c:order val="2"/>
          <c:tx>
            <c:v>Richmond</c:v>
          </c:tx>
          <c:spPr>
            <a:ln w="12700">
              <a:solidFill>
                <a:schemeClr val="accent5"/>
              </a:solidFill>
              <a:prstDash val="dash"/>
            </a:ln>
          </c:spPr>
          <c:marker>
            <c:symbol val="x"/>
            <c:size val="4"/>
            <c:spPr>
              <a:ln>
                <a:solidFill>
                  <a:schemeClr val="accent5"/>
                </a:solidFill>
              </a:ln>
            </c:spPr>
          </c:marker>
          <c:cat>
            <c:numRef>
              <c:f>(Sheet1!$D$36,Sheet1!$J$36,Sheet1!$P$36,Sheet1!$V$36,Sheet1!$AB$36)</c:f>
              <c:numCache>
                <c:formatCode>General</c:formatCode>
                <c:ptCount val="5"/>
                <c:pt idx="0">
                  <c:v>2010</c:v>
                </c:pt>
                <c:pt idx="1">
                  <c:v>2015</c:v>
                </c:pt>
                <c:pt idx="2">
                  <c:v>2020</c:v>
                </c:pt>
                <c:pt idx="3">
                  <c:v>2025</c:v>
                </c:pt>
                <c:pt idx="4">
                  <c:v>2030</c:v>
                </c:pt>
              </c:numCache>
            </c:numRef>
          </c:cat>
          <c:val>
            <c:numRef>
              <c:f>(Sheet1!$I$41,Sheet1!$O$41,Sheet1!$U$41,Sheet1!$AA$41,Sheet1!$AG$41)</c:f>
              <c:numCache>
                <c:formatCode>0.00%</c:formatCode>
                <c:ptCount val="5"/>
                <c:pt idx="0">
                  <c:v>0.12089388730889408</c:v>
                </c:pt>
                <c:pt idx="1">
                  <c:v>0.12515873985791789</c:v>
                </c:pt>
                <c:pt idx="2">
                  <c:v>0.12623554153522948</c:v>
                </c:pt>
                <c:pt idx="3">
                  <c:v>0.12941029342032476</c:v>
                </c:pt>
                <c:pt idx="4">
                  <c:v>0.13595636326034694</c:v>
                </c:pt>
              </c:numCache>
            </c:numRef>
          </c:val>
        </c:ser>
        <c:ser>
          <c:idx val="15"/>
          <c:order val="3"/>
          <c:tx>
            <c:v>Merton</c:v>
          </c:tx>
          <c:spPr>
            <a:ln w="19050">
              <a:solidFill>
                <a:schemeClr val="accent3">
                  <a:lumMod val="75000"/>
                </a:schemeClr>
              </a:solidFill>
              <a:prstDash val="solid"/>
            </a:ln>
          </c:spPr>
          <c:marker>
            <c:symbol val="square"/>
            <c:size val="4"/>
            <c:spPr>
              <a:solidFill>
                <a:schemeClr val="accent3">
                  <a:lumMod val="75000"/>
                </a:schemeClr>
              </a:solidFill>
              <a:ln>
                <a:solidFill>
                  <a:schemeClr val="accent3">
                    <a:lumMod val="75000"/>
                  </a:schemeClr>
                </a:solidFill>
              </a:ln>
            </c:spPr>
          </c:marker>
          <c:cat>
            <c:numRef>
              <c:f>(Sheet1!$D$36,Sheet1!$J$36,Sheet1!$P$36,Sheet1!$V$36,Sheet1!$AB$36)</c:f>
              <c:numCache>
                <c:formatCode>General</c:formatCode>
                <c:ptCount val="5"/>
                <c:pt idx="0">
                  <c:v>2010</c:v>
                </c:pt>
                <c:pt idx="1">
                  <c:v>2015</c:v>
                </c:pt>
                <c:pt idx="2">
                  <c:v>2020</c:v>
                </c:pt>
                <c:pt idx="3">
                  <c:v>2025</c:v>
                </c:pt>
                <c:pt idx="4">
                  <c:v>2030</c:v>
                </c:pt>
              </c:numCache>
            </c:numRef>
          </c:cat>
          <c:val>
            <c:numRef>
              <c:f>(Sheet1!$I$42,Sheet1!$O$42,Sheet1!$U$42,Sheet1!$AA$42,Sheet1!$AG$42)</c:f>
              <c:numCache>
                <c:formatCode>0.00%</c:formatCode>
                <c:ptCount val="5"/>
                <c:pt idx="0">
                  <c:v>0.11989976713576997</c:v>
                </c:pt>
                <c:pt idx="1">
                  <c:v>0.12555102698835385</c:v>
                </c:pt>
                <c:pt idx="2">
                  <c:v>0.13049699513498345</c:v>
                </c:pt>
                <c:pt idx="3">
                  <c:v>0.1380495295641779</c:v>
                </c:pt>
                <c:pt idx="4">
                  <c:v>0.1505394546205894</c:v>
                </c:pt>
              </c:numCache>
            </c:numRef>
          </c:val>
        </c:ser>
        <c:ser>
          <c:idx val="16"/>
          <c:order val="4"/>
          <c:tx>
            <c:v>Sutton</c:v>
          </c:tx>
          <c:spPr>
            <a:ln w="12700">
              <a:solidFill>
                <a:schemeClr val="accent6">
                  <a:lumMod val="75000"/>
                </a:schemeClr>
              </a:solidFill>
              <a:prstDash val="sysDot"/>
            </a:ln>
          </c:spPr>
          <c:marker>
            <c:symbol val="star"/>
            <c:size val="4"/>
            <c:spPr>
              <a:ln>
                <a:solidFill>
                  <a:schemeClr val="accent6">
                    <a:lumMod val="75000"/>
                  </a:schemeClr>
                </a:solidFill>
              </a:ln>
            </c:spPr>
          </c:marker>
          <c:cat>
            <c:numRef>
              <c:f>(Sheet1!$D$36,Sheet1!$J$36,Sheet1!$P$36,Sheet1!$V$36,Sheet1!$AB$36)</c:f>
              <c:numCache>
                <c:formatCode>General</c:formatCode>
                <c:ptCount val="5"/>
                <c:pt idx="0">
                  <c:v>2010</c:v>
                </c:pt>
                <c:pt idx="1">
                  <c:v>2015</c:v>
                </c:pt>
                <c:pt idx="2">
                  <c:v>2020</c:v>
                </c:pt>
                <c:pt idx="3">
                  <c:v>2025</c:v>
                </c:pt>
                <c:pt idx="4">
                  <c:v>2030</c:v>
                </c:pt>
              </c:numCache>
            </c:numRef>
          </c:cat>
          <c:val>
            <c:numRef>
              <c:f>(Sheet1!$I$43,Sheet1!$O$43,Sheet1!$U$43,Sheet1!$AA$43,Sheet1!$AG$43)</c:f>
              <c:numCache>
                <c:formatCode>0.00%</c:formatCode>
                <c:ptCount val="5"/>
                <c:pt idx="0">
                  <c:v>0.1346113357482577</c:v>
                </c:pt>
                <c:pt idx="1">
                  <c:v>0.14329989309202135</c:v>
                </c:pt>
                <c:pt idx="2">
                  <c:v>0.14863214988007342</c:v>
                </c:pt>
                <c:pt idx="3">
                  <c:v>0.15868054993279679</c:v>
                </c:pt>
                <c:pt idx="4">
                  <c:v>0.17386729121247277</c:v>
                </c:pt>
              </c:numCache>
            </c:numRef>
          </c:val>
        </c:ser>
        <c:ser>
          <c:idx val="17"/>
          <c:order val="5"/>
          <c:tx>
            <c:v>Wandsworth</c:v>
          </c:tx>
          <c:spPr>
            <a:ln w="12700">
              <a:solidFill>
                <a:srgbClr val="002060"/>
              </a:solidFill>
              <a:prstDash val="lgDashDotDot"/>
            </a:ln>
          </c:spPr>
          <c:marker>
            <c:symbol val="triangle"/>
            <c:size val="4"/>
            <c:spPr>
              <a:solidFill>
                <a:srgbClr val="002060"/>
              </a:solidFill>
              <a:ln>
                <a:solidFill>
                  <a:srgbClr val="002060"/>
                </a:solidFill>
              </a:ln>
            </c:spPr>
          </c:marker>
          <c:cat>
            <c:numRef>
              <c:f>(Sheet1!$D$36,Sheet1!$J$36,Sheet1!$P$36,Sheet1!$V$36,Sheet1!$AB$36)</c:f>
              <c:numCache>
                <c:formatCode>General</c:formatCode>
                <c:ptCount val="5"/>
                <c:pt idx="0">
                  <c:v>2010</c:v>
                </c:pt>
                <c:pt idx="1">
                  <c:v>2015</c:v>
                </c:pt>
                <c:pt idx="2">
                  <c:v>2020</c:v>
                </c:pt>
                <c:pt idx="3">
                  <c:v>2025</c:v>
                </c:pt>
                <c:pt idx="4">
                  <c:v>2030</c:v>
                </c:pt>
              </c:numCache>
            </c:numRef>
          </c:cat>
          <c:val>
            <c:numRef>
              <c:f>(Sheet1!$I$44,Sheet1!$O$44,Sheet1!$U$44,Sheet1!$AA$44,Sheet1!$AG$44)</c:f>
              <c:numCache>
                <c:formatCode>0.00%</c:formatCode>
                <c:ptCount val="5"/>
                <c:pt idx="0">
                  <c:v>8.2112880178935685E-2</c:v>
                </c:pt>
                <c:pt idx="1">
                  <c:v>7.9042680702485824E-2</c:v>
                </c:pt>
                <c:pt idx="2">
                  <c:v>7.7330271206440107E-2</c:v>
                </c:pt>
                <c:pt idx="3">
                  <c:v>7.925382922778007E-2</c:v>
                </c:pt>
                <c:pt idx="4">
                  <c:v>8.563038149614155E-2</c:v>
                </c:pt>
              </c:numCache>
            </c:numRef>
          </c:val>
        </c:ser>
        <c:ser>
          <c:idx val="0"/>
          <c:order val="6"/>
          <c:tx>
            <c:strRef>
              <c:f>Sheet1!$C$45</c:f>
              <c:strCache>
                <c:ptCount val="1"/>
                <c:pt idx="0">
                  <c:v>SWLCN</c:v>
                </c:pt>
              </c:strCache>
            </c:strRef>
          </c:tx>
          <c:spPr>
            <a:ln w="12700">
              <a:solidFill>
                <a:srgbClr val="FB43E1"/>
              </a:solidFill>
              <a:prstDash val="solid"/>
            </a:ln>
          </c:spPr>
          <c:marker>
            <c:symbol val="plus"/>
            <c:size val="5"/>
            <c:spPr>
              <a:ln>
                <a:solidFill>
                  <a:srgbClr val="FB43E1"/>
                </a:solidFill>
              </a:ln>
            </c:spPr>
          </c:marker>
          <c:val>
            <c:numRef>
              <c:f>(Sheet1!$I$45,Sheet1!$O$45,Sheet1!$U$45,Sheet1!$AA$45,Sheet1!$AG$45)</c:f>
              <c:numCache>
                <c:formatCode>0.00%</c:formatCode>
                <c:ptCount val="5"/>
                <c:pt idx="0">
                  <c:v>0.11608616465081142</c:v>
                </c:pt>
                <c:pt idx="1">
                  <c:v>0.1204805616759574</c:v>
                </c:pt>
                <c:pt idx="2">
                  <c:v>0.12339203969072585</c:v>
                </c:pt>
                <c:pt idx="3">
                  <c:v>0.12965921844352987</c:v>
                </c:pt>
                <c:pt idx="4">
                  <c:v>0.14014066180996071</c:v>
                </c:pt>
              </c:numCache>
            </c:numRef>
          </c:val>
        </c:ser>
        <c:marker val="1"/>
        <c:axId val="106423808"/>
        <c:axId val="106425728"/>
      </c:lineChart>
      <c:catAx>
        <c:axId val="106423808"/>
        <c:scaling>
          <c:orientation val="minMax"/>
        </c:scaling>
        <c:axPos val="b"/>
        <c:numFmt formatCode="General" sourceLinked="1"/>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06425728"/>
        <c:crosses val="autoZero"/>
        <c:auto val="1"/>
        <c:lblAlgn val="ctr"/>
        <c:lblOffset val="100"/>
      </c:catAx>
      <c:valAx>
        <c:axId val="106425728"/>
        <c:scaling>
          <c:orientation val="minMax"/>
          <c:min val="6.0000000000000032E-2"/>
        </c:scaling>
        <c:axPos val="l"/>
        <c:majorGridlines/>
        <c:numFmt formatCode="0.0%" sourceLinked="0"/>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06423808"/>
        <c:crosses val="autoZero"/>
        <c:crossBetween val="between"/>
      </c:valAx>
    </c:plotArea>
    <c:legend>
      <c:legendPos val="r"/>
      <c:layout>
        <c:manualLayout>
          <c:xMode val="edge"/>
          <c:yMode val="edge"/>
          <c:x val="0.14617526620384352"/>
          <c:y val="2.8747286218852273E-2"/>
          <c:w val="0.28990754617893022"/>
          <c:h val="0.27165171808322275"/>
        </c:manualLayout>
      </c:layout>
      <c:txPr>
        <a:bodyPr/>
        <a:lstStyle/>
        <a:p>
          <a:pPr>
            <a:defRPr sz="600" b="0" i="0" u="none" strike="noStrike" baseline="0">
              <a:solidFill>
                <a:srgbClr val="000000"/>
              </a:solidFill>
              <a:latin typeface="Calibri"/>
              <a:ea typeface="Calibri"/>
              <a:cs typeface="Calibri"/>
            </a:defRPr>
          </a:pPr>
          <a:endParaRPr lang="en-US"/>
        </a:p>
      </c:txPr>
    </c:legend>
    <c:plotVisOnly val="1"/>
    <c:dispBlanksAs val="gap"/>
  </c:chart>
  <c:spPr>
    <a:ln>
      <a:solidFill>
        <a:schemeClr val="bg1"/>
      </a:solidFill>
    </a:ln>
  </c:spPr>
  <c:txPr>
    <a:bodyPr/>
    <a:lstStyle/>
    <a:p>
      <a:pPr>
        <a:defRPr sz="1000" b="0" i="0" u="none" strike="noStrike" baseline="0">
          <a:solidFill>
            <a:srgbClr val="000000"/>
          </a:solidFill>
          <a:latin typeface="Calibri"/>
          <a:ea typeface="Calibri"/>
          <a:cs typeface="Calibri"/>
        </a:defRPr>
      </a:pPr>
      <a:endParaRPr lang="en-US"/>
    </a:p>
  </c:txPr>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9.8157066581096089E-2"/>
          <c:y val="3.3517048525817612E-2"/>
          <c:w val="0.72071315484095055"/>
          <c:h val="0.86842748320962315"/>
        </c:manualLayout>
      </c:layout>
      <c:barChart>
        <c:barDir val="col"/>
        <c:grouping val="percentStacked"/>
        <c:ser>
          <c:idx val="0"/>
          <c:order val="0"/>
          <c:tx>
            <c:strRef>
              <c:f>Sheet1!$C$79</c:f>
              <c:strCache>
                <c:ptCount val="1"/>
                <c:pt idx="0">
                  <c:v>White</c:v>
                </c:pt>
              </c:strCache>
            </c:strRef>
          </c:tx>
          <c:spPr>
            <a:solidFill>
              <a:schemeClr val="bg1"/>
            </a:solidFill>
            <a:ln>
              <a:solidFill>
                <a:schemeClr val="tx1"/>
              </a:solidFill>
            </a:ln>
          </c:spPr>
          <c:cat>
            <c:strRef>
              <c:f>(Sheet1!$A$78,Sheet1!$N$78,Sheet1!$A$108,Sheet1!$N$108,Sheet1!$A$123)</c:f>
              <c:strCache>
                <c:ptCount val="5"/>
                <c:pt idx="0">
                  <c:v>Croydon</c:v>
                </c:pt>
                <c:pt idx="1">
                  <c:v>Kingston</c:v>
                </c:pt>
                <c:pt idx="2">
                  <c:v>Richmond</c:v>
                </c:pt>
                <c:pt idx="3">
                  <c:v>Wandsworth</c:v>
                </c:pt>
                <c:pt idx="4">
                  <c:v>Sutton &amp; Merton</c:v>
                </c:pt>
              </c:strCache>
            </c:strRef>
          </c:cat>
          <c:val>
            <c:numRef>
              <c:f>(Sheet1!$J$79,Sheet1!$W$79,Sheet1!$J$109,Sheet1!$W$109,Sheet1!$J$124)</c:f>
              <c:numCache>
                <c:formatCode>#,##0</c:formatCode>
                <c:ptCount val="5"/>
                <c:pt idx="0">
                  <c:v>201513.62626141781</c:v>
                </c:pt>
                <c:pt idx="1">
                  <c:v>119818.04413529896</c:v>
                </c:pt>
                <c:pt idx="2">
                  <c:v>163736.88253599868</c:v>
                </c:pt>
                <c:pt idx="3">
                  <c:v>229790.84319806227</c:v>
                </c:pt>
                <c:pt idx="4">
                  <c:v>293535.21525428689</c:v>
                </c:pt>
              </c:numCache>
            </c:numRef>
          </c:val>
        </c:ser>
        <c:ser>
          <c:idx val="1"/>
          <c:order val="1"/>
          <c:tx>
            <c:strRef>
              <c:f>Sheet1!$C$80</c:f>
              <c:strCache>
                <c:ptCount val="1"/>
                <c:pt idx="0">
                  <c:v>Black Caribbean</c:v>
                </c:pt>
              </c:strCache>
            </c:strRef>
          </c:tx>
          <c:spPr>
            <a:solidFill>
              <a:schemeClr val="accent2">
                <a:lumMod val="75000"/>
              </a:schemeClr>
            </a:solidFill>
            <a:ln>
              <a:solidFill>
                <a:prstClr val="black"/>
              </a:solidFill>
            </a:ln>
          </c:spPr>
          <c:cat>
            <c:strRef>
              <c:f>(Sheet1!$A$78,Sheet1!$N$78,Sheet1!$A$108,Sheet1!$N$108,Sheet1!$A$123)</c:f>
              <c:strCache>
                <c:ptCount val="5"/>
                <c:pt idx="0">
                  <c:v>Croydon</c:v>
                </c:pt>
                <c:pt idx="1">
                  <c:v>Kingston</c:v>
                </c:pt>
                <c:pt idx="2">
                  <c:v>Richmond</c:v>
                </c:pt>
                <c:pt idx="3">
                  <c:v>Wandsworth</c:v>
                </c:pt>
                <c:pt idx="4">
                  <c:v>Sutton &amp; Merton</c:v>
                </c:pt>
              </c:strCache>
            </c:strRef>
          </c:cat>
          <c:val>
            <c:numRef>
              <c:f>(Sheet1!$J$80,Sheet1!$W$80,Sheet1!$J$110,Sheet1!$W$110,Sheet1!$J$125)</c:f>
              <c:numCache>
                <c:formatCode>#,##0</c:formatCode>
                <c:ptCount val="5"/>
                <c:pt idx="0">
                  <c:v>34954.40073598703</c:v>
                </c:pt>
                <c:pt idx="1">
                  <c:v>1101.0151425198844</c:v>
                </c:pt>
                <c:pt idx="2">
                  <c:v>660.17420680056034</c:v>
                </c:pt>
                <c:pt idx="3">
                  <c:v>11138.998183744363</c:v>
                </c:pt>
                <c:pt idx="4">
                  <c:v>11156.466333688531</c:v>
                </c:pt>
              </c:numCache>
            </c:numRef>
          </c:val>
        </c:ser>
        <c:ser>
          <c:idx val="2"/>
          <c:order val="2"/>
          <c:tx>
            <c:strRef>
              <c:f>Sheet1!$C$81</c:f>
              <c:strCache>
                <c:ptCount val="1"/>
                <c:pt idx="0">
                  <c:v>Black African</c:v>
                </c:pt>
              </c:strCache>
            </c:strRef>
          </c:tx>
          <c:spPr>
            <a:solidFill>
              <a:schemeClr val="accent6">
                <a:lumMod val="75000"/>
              </a:schemeClr>
            </a:solidFill>
            <a:ln>
              <a:solidFill>
                <a:prstClr val="black"/>
              </a:solidFill>
            </a:ln>
          </c:spPr>
          <c:cat>
            <c:strRef>
              <c:f>(Sheet1!$A$78,Sheet1!$N$78,Sheet1!$A$108,Sheet1!$N$108,Sheet1!$A$123)</c:f>
              <c:strCache>
                <c:ptCount val="5"/>
                <c:pt idx="0">
                  <c:v>Croydon</c:v>
                </c:pt>
                <c:pt idx="1">
                  <c:v>Kingston</c:v>
                </c:pt>
                <c:pt idx="2">
                  <c:v>Richmond</c:v>
                </c:pt>
                <c:pt idx="3">
                  <c:v>Wandsworth</c:v>
                </c:pt>
                <c:pt idx="4">
                  <c:v>Sutton &amp; Merton</c:v>
                </c:pt>
              </c:strCache>
            </c:strRef>
          </c:cat>
          <c:val>
            <c:numRef>
              <c:f>(Sheet1!$J$81,Sheet1!$W$81,Sheet1!$J$111,Sheet1!$W$111,Sheet1!$J$126)</c:f>
              <c:numCache>
                <c:formatCode>#,##0</c:formatCode>
                <c:ptCount val="5"/>
                <c:pt idx="0">
                  <c:v>23372.357499264588</c:v>
                </c:pt>
                <c:pt idx="1">
                  <c:v>2223.6418906407357</c:v>
                </c:pt>
                <c:pt idx="2">
                  <c:v>1105.0903257664918</c:v>
                </c:pt>
                <c:pt idx="3">
                  <c:v>10266.853670130045</c:v>
                </c:pt>
                <c:pt idx="4">
                  <c:v>11764.50854009873</c:v>
                </c:pt>
              </c:numCache>
            </c:numRef>
          </c:val>
        </c:ser>
        <c:ser>
          <c:idx val="3"/>
          <c:order val="3"/>
          <c:tx>
            <c:strRef>
              <c:f>Sheet1!$C$82</c:f>
              <c:strCache>
                <c:ptCount val="1"/>
                <c:pt idx="0">
                  <c:v>Black Other</c:v>
                </c:pt>
              </c:strCache>
            </c:strRef>
          </c:tx>
          <c:spPr>
            <a:solidFill>
              <a:schemeClr val="accent5"/>
            </a:solidFill>
            <a:ln>
              <a:solidFill>
                <a:prstClr val="black"/>
              </a:solidFill>
            </a:ln>
          </c:spPr>
          <c:cat>
            <c:strRef>
              <c:f>(Sheet1!$A$78,Sheet1!$N$78,Sheet1!$A$108,Sheet1!$N$108,Sheet1!$A$123)</c:f>
              <c:strCache>
                <c:ptCount val="5"/>
                <c:pt idx="0">
                  <c:v>Croydon</c:v>
                </c:pt>
                <c:pt idx="1">
                  <c:v>Kingston</c:v>
                </c:pt>
                <c:pt idx="2">
                  <c:v>Richmond</c:v>
                </c:pt>
                <c:pt idx="3">
                  <c:v>Wandsworth</c:v>
                </c:pt>
                <c:pt idx="4">
                  <c:v>Sutton &amp; Merton</c:v>
                </c:pt>
              </c:strCache>
            </c:strRef>
          </c:cat>
          <c:val>
            <c:numRef>
              <c:f>(Sheet1!$J$82,Sheet1!$W$82,Sheet1!$J$112,Sheet1!$W$112,Sheet1!$J$127)</c:f>
              <c:numCache>
                <c:formatCode>#,##0</c:formatCode>
                <c:ptCount val="5"/>
                <c:pt idx="0">
                  <c:v>14071.989008977333</c:v>
                </c:pt>
                <c:pt idx="1">
                  <c:v>1352.5906301157788</c:v>
                </c:pt>
                <c:pt idx="2">
                  <c:v>2075.7565992061586</c:v>
                </c:pt>
                <c:pt idx="3">
                  <c:v>7267.9433792648015</c:v>
                </c:pt>
                <c:pt idx="4">
                  <c:v>7639.1213225202646</c:v>
                </c:pt>
              </c:numCache>
            </c:numRef>
          </c:val>
        </c:ser>
        <c:ser>
          <c:idx val="4"/>
          <c:order val="4"/>
          <c:tx>
            <c:strRef>
              <c:f>Sheet1!$C$86</c:f>
              <c:strCache>
                <c:ptCount val="1"/>
                <c:pt idx="0">
                  <c:v>Chinese</c:v>
                </c:pt>
              </c:strCache>
            </c:strRef>
          </c:tx>
          <c:spPr>
            <a:solidFill>
              <a:schemeClr val="accent3">
                <a:lumMod val="75000"/>
              </a:schemeClr>
            </a:solidFill>
            <a:ln>
              <a:solidFill>
                <a:prstClr val="black"/>
              </a:solidFill>
            </a:ln>
          </c:spPr>
          <c:cat>
            <c:strRef>
              <c:f>(Sheet1!$A$78,Sheet1!$N$78,Sheet1!$A$108,Sheet1!$N$108,Sheet1!$A$123)</c:f>
              <c:strCache>
                <c:ptCount val="5"/>
                <c:pt idx="0">
                  <c:v>Croydon</c:v>
                </c:pt>
                <c:pt idx="1">
                  <c:v>Kingston</c:v>
                </c:pt>
                <c:pt idx="2">
                  <c:v>Richmond</c:v>
                </c:pt>
                <c:pt idx="3">
                  <c:v>Wandsworth</c:v>
                </c:pt>
                <c:pt idx="4">
                  <c:v>Sutton &amp; Merton</c:v>
                </c:pt>
              </c:strCache>
            </c:strRef>
          </c:cat>
          <c:val>
            <c:numRef>
              <c:f>(Sheet1!$J$86,Sheet1!$W$86,Sheet1!$J$116,Sheet1!$W$116,Sheet1!$J$131)</c:f>
              <c:numCache>
                <c:formatCode>#,##0</c:formatCode>
                <c:ptCount val="5"/>
                <c:pt idx="0">
                  <c:v>1861.7558084193456</c:v>
                </c:pt>
                <c:pt idx="1">
                  <c:v>3074.3294105735176</c:v>
                </c:pt>
                <c:pt idx="2">
                  <c:v>1278.4875824656681</c:v>
                </c:pt>
                <c:pt idx="3">
                  <c:v>2821.0718320026672</c:v>
                </c:pt>
                <c:pt idx="4">
                  <c:v>4367.0116163492348</c:v>
                </c:pt>
              </c:numCache>
            </c:numRef>
          </c:val>
        </c:ser>
        <c:ser>
          <c:idx val="5"/>
          <c:order val="5"/>
          <c:tx>
            <c:strRef>
              <c:f>Sheet1!$C$90</c:f>
              <c:strCache>
                <c:ptCount val="1"/>
                <c:pt idx="0">
                  <c:v>Asian</c:v>
                </c:pt>
              </c:strCache>
            </c:strRef>
          </c:tx>
          <c:spPr>
            <a:solidFill>
              <a:schemeClr val="tx2"/>
            </a:solidFill>
            <a:ln>
              <a:solidFill>
                <a:prstClr val="black"/>
              </a:solidFill>
            </a:ln>
          </c:spPr>
          <c:cat>
            <c:strRef>
              <c:f>(Sheet1!$A$78,Sheet1!$N$78,Sheet1!$A$108,Sheet1!$N$108,Sheet1!$A$123)</c:f>
              <c:strCache>
                <c:ptCount val="5"/>
                <c:pt idx="0">
                  <c:v>Croydon</c:v>
                </c:pt>
                <c:pt idx="1">
                  <c:v>Kingston</c:v>
                </c:pt>
                <c:pt idx="2">
                  <c:v>Richmond</c:v>
                </c:pt>
                <c:pt idx="3">
                  <c:v>Wandsworth</c:v>
                </c:pt>
                <c:pt idx="4">
                  <c:v>Sutton &amp; Merton</c:v>
                </c:pt>
              </c:strCache>
            </c:strRef>
          </c:cat>
          <c:val>
            <c:numRef>
              <c:f>(Sheet1!$J$90,Sheet1!$W$90,Sheet1!$J$120,Sheet1!$W$120,Sheet1!$J$135)</c:f>
              <c:numCache>
                <c:formatCode>#,##0</c:formatCode>
                <c:ptCount val="5"/>
                <c:pt idx="0">
                  <c:v>56187.543780909975</c:v>
                </c:pt>
                <c:pt idx="1">
                  <c:v>17203.876494463329</c:v>
                </c:pt>
                <c:pt idx="2">
                  <c:v>10896.670564970515</c:v>
                </c:pt>
                <c:pt idx="3">
                  <c:v>22082.621404955062</c:v>
                </c:pt>
                <c:pt idx="4">
                  <c:v>42070.972426847162</c:v>
                </c:pt>
              </c:numCache>
            </c:numRef>
          </c:val>
        </c:ser>
        <c:ser>
          <c:idx val="6"/>
          <c:order val="6"/>
          <c:tx>
            <c:strRef>
              <c:f>Sheet1!$C$88</c:f>
              <c:strCache>
                <c:ptCount val="1"/>
                <c:pt idx="0">
                  <c:v>Other</c:v>
                </c:pt>
              </c:strCache>
            </c:strRef>
          </c:tx>
          <c:spPr>
            <a:solidFill>
              <a:schemeClr val="tx1"/>
            </a:solidFill>
            <a:ln>
              <a:solidFill>
                <a:prstClr val="black"/>
              </a:solidFill>
            </a:ln>
          </c:spPr>
          <c:cat>
            <c:strRef>
              <c:f>(Sheet1!$A$78,Sheet1!$N$78,Sheet1!$A$108,Sheet1!$N$108,Sheet1!$A$123)</c:f>
              <c:strCache>
                <c:ptCount val="5"/>
                <c:pt idx="0">
                  <c:v>Croydon</c:v>
                </c:pt>
                <c:pt idx="1">
                  <c:v>Kingston</c:v>
                </c:pt>
                <c:pt idx="2">
                  <c:v>Richmond</c:v>
                </c:pt>
                <c:pt idx="3">
                  <c:v>Wandsworth</c:v>
                </c:pt>
                <c:pt idx="4">
                  <c:v>Sutton &amp; Merton</c:v>
                </c:pt>
              </c:strCache>
            </c:strRef>
          </c:cat>
          <c:val>
            <c:numRef>
              <c:f>(Sheet1!$J$88,Sheet1!$W$88,Sheet1!$J$118,Sheet1!$W$118,Sheet1!$J$133)</c:f>
              <c:numCache>
                <c:formatCode>#,##0</c:formatCode>
                <c:ptCount val="5"/>
                <c:pt idx="0">
                  <c:v>9239.1396717538573</c:v>
                </c:pt>
                <c:pt idx="1">
                  <c:v>9631.7210379483531</c:v>
                </c:pt>
                <c:pt idx="2">
                  <c:v>5880.5967169936694</c:v>
                </c:pt>
                <c:pt idx="3">
                  <c:v>10509.105067643763</c:v>
                </c:pt>
                <c:pt idx="4">
                  <c:v>12232.448814528167</c:v>
                </c:pt>
              </c:numCache>
            </c:numRef>
          </c:val>
        </c:ser>
        <c:overlap val="100"/>
        <c:axId val="106544512"/>
        <c:axId val="106558592"/>
      </c:barChart>
      <c:catAx>
        <c:axId val="106544512"/>
        <c:scaling>
          <c:orientation val="minMax"/>
        </c:scaling>
        <c:axPos val="b"/>
        <c:tickLblPos val="nextTo"/>
        <c:txPr>
          <a:bodyPr/>
          <a:lstStyle/>
          <a:p>
            <a:pPr>
              <a:defRPr sz="600"/>
            </a:pPr>
            <a:endParaRPr lang="en-US"/>
          </a:p>
        </c:txPr>
        <c:crossAx val="106558592"/>
        <c:crosses val="autoZero"/>
        <c:auto val="1"/>
        <c:lblAlgn val="ctr"/>
        <c:lblOffset val="100"/>
      </c:catAx>
      <c:valAx>
        <c:axId val="106558592"/>
        <c:scaling>
          <c:orientation val="minMax"/>
        </c:scaling>
        <c:axPos val="l"/>
        <c:majorGridlines/>
        <c:numFmt formatCode="0%" sourceLinked="1"/>
        <c:tickLblPos val="nextTo"/>
        <c:crossAx val="106544512"/>
        <c:crosses val="autoZero"/>
        <c:crossBetween val="between"/>
      </c:valAx>
      <c:spPr>
        <a:ln>
          <a:solidFill>
            <a:prstClr val="black"/>
          </a:solidFill>
        </a:ln>
      </c:spPr>
    </c:plotArea>
    <c:legend>
      <c:legendPos val="r"/>
      <c:layout>
        <c:manualLayout>
          <c:xMode val="edge"/>
          <c:yMode val="edge"/>
          <c:x val="0.82874695427417711"/>
          <c:y val="0.35998154449123027"/>
          <c:w val="0.1602726537950151"/>
          <c:h val="0.28003667331135423"/>
        </c:manualLayout>
      </c:layout>
      <c:txPr>
        <a:bodyPr/>
        <a:lstStyle/>
        <a:p>
          <a:pPr>
            <a:defRPr sz="600"/>
          </a:pPr>
          <a:endParaRPr lang="en-US"/>
        </a:p>
      </c:txPr>
    </c:legend>
    <c:plotVisOnly val="1"/>
  </c:chart>
  <c:spPr>
    <a:ln>
      <a:solidFill>
        <a:schemeClr val="bg1"/>
      </a:solidFill>
    </a:ln>
  </c:spPr>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251036682615593"/>
          <c:y val="5.0925925925925923E-2"/>
          <c:w val="0.85150451887292711"/>
          <c:h val="0.82763888888890003"/>
        </c:manualLayout>
      </c:layout>
      <c:barChart>
        <c:barDir val="col"/>
        <c:grouping val="clustered"/>
        <c:ser>
          <c:idx val="0"/>
          <c:order val="0"/>
          <c:spPr>
            <a:solidFill>
              <a:schemeClr val="bg1">
                <a:lumMod val="75000"/>
              </a:schemeClr>
            </a:solidFill>
            <a:ln>
              <a:solidFill>
                <a:schemeClr val="tx1"/>
              </a:solidFill>
            </a:ln>
          </c:spPr>
          <c:dLbls>
            <c:txPr>
              <a:bodyPr/>
              <a:lstStyle/>
              <a:p>
                <a:pPr>
                  <a:defRPr sz="700"/>
                </a:pPr>
                <a:endParaRPr lang="en-US"/>
              </a:p>
            </c:txPr>
            <c:showVal val="1"/>
          </c:dLbls>
          <c:cat>
            <c:strRef>
              <c:f>Sheet1!$A$4:$A$9</c:f>
              <c:strCache>
                <c:ptCount val="6"/>
                <c:pt idx="0">
                  <c:v>Croydon</c:v>
                </c:pt>
                <c:pt idx="1">
                  <c:v>Sutton</c:v>
                </c:pt>
                <c:pt idx="2">
                  <c:v>Merton</c:v>
                </c:pt>
                <c:pt idx="3">
                  <c:v>Wandsworth</c:v>
                </c:pt>
                <c:pt idx="4">
                  <c:v>Kingston upon Thames</c:v>
                </c:pt>
                <c:pt idx="5">
                  <c:v>Richmond upon Thames</c:v>
                </c:pt>
              </c:strCache>
            </c:strRef>
          </c:cat>
          <c:val>
            <c:numRef>
              <c:f>Sheet1!$F$4:$F$9</c:f>
              <c:numCache>
                <c:formatCode>0.0%</c:formatCode>
                <c:ptCount val="6"/>
                <c:pt idx="0">
                  <c:v>0.17789892477777344</c:v>
                </c:pt>
                <c:pt idx="1">
                  <c:v>0.21127059056702549</c:v>
                </c:pt>
                <c:pt idx="2">
                  <c:v>0.2268273830376864</c:v>
                </c:pt>
                <c:pt idx="3">
                  <c:v>0.27038851334144692</c:v>
                </c:pt>
                <c:pt idx="4">
                  <c:v>0.27349764742285232</c:v>
                </c:pt>
                <c:pt idx="5">
                  <c:v>0.28490389237567065</c:v>
                </c:pt>
              </c:numCache>
            </c:numRef>
          </c:val>
        </c:ser>
        <c:axId val="131494656"/>
        <c:axId val="131496192"/>
      </c:barChart>
      <c:catAx>
        <c:axId val="131494656"/>
        <c:scaling>
          <c:orientation val="minMax"/>
        </c:scaling>
        <c:axPos val="b"/>
        <c:tickLblPos val="nextTo"/>
        <c:txPr>
          <a:bodyPr/>
          <a:lstStyle/>
          <a:p>
            <a:pPr>
              <a:defRPr sz="600"/>
            </a:pPr>
            <a:endParaRPr lang="en-US"/>
          </a:p>
        </c:txPr>
        <c:crossAx val="131496192"/>
        <c:crosses val="autoZero"/>
        <c:auto val="1"/>
        <c:lblAlgn val="ctr"/>
        <c:lblOffset val="100"/>
      </c:catAx>
      <c:valAx>
        <c:axId val="131496192"/>
        <c:scaling>
          <c:orientation val="minMax"/>
        </c:scaling>
        <c:axPos val="l"/>
        <c:majorGridlines/>
        <c:numFmt formatCode="0.0%" sourceLinked="1"/>
        <c:tickLblPos val="nextTo"/>
        <c:txPr>
          <a:bodyPr/>
          <a:lstStyle/>
          <a:p>
            <a:pPr>
              <a:defRPr sz="600"/>
            </a:pPr>
            <a:endParaRPr lang="en-US"/>
          </a:p>
        </c:txPr>
        <c:crossAx val="131494656"/>
        <c:crosses val="autoZero"/>
        <c:crossBetween val="between"/>
      </c:valAx>
    </c:plotArea>
    <c:plotVisOnly val="1"/>
  </c:chart>
  <c:spPr>
    <a:ln>
      <a:solidFill>
        <a:schemeClr val="bg1"/>
      </a:solidFill>
    </a:ln>
  </c:spPr>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3000183894210676"/>
          <c:y val="5.1400554097404488E-2"/>
          <c:w val="0.84724977849106464"/>
          <c:h val="0.79822506561679785"/>
        </c:manualLayout>
      </c:layout>
      <c:barChart>
        <c:barDir val="col"/>
        <c:grouping val="clustered"/>
        <c:ser>
          <c:idx val="0"/>
          <c:order val="0"/>
          <c:spPr>
            <a:solidFill>
              <a:prstClr val="white">
                <a:lumMod val="65000"/>
              </a:prstClr>
            </a:solidFill>
            <a:ln>
              <a:solidFill>
                <a:prstClr val="black"/>
              </a:solidFill>
            </a:ln>
          </c:spPr>
          <c:cat>
            <c:strRef>
              <c:f>Sheet1!$D$3:$D$7</c:f>
              <c:strCache>
                <c:ptCount val="5"/>
                <c:pt idx="0">
                  <c:v>Wandsworth</c:v>
                </c:pt>
                <c:pt idx="1">
                  <c:v>Croydon</c:v>
                </c:pt>
                <c:pt idx="2">
                  <c:v>Sutton &amp; Merton</c:v>
                </c:pt>
                <c:pt idx="3">
                  <c:v>Kingston</c:v>
                </c:pt>
                <c:pt idx="4">
                  <c:v>Richmond &amp; Twickenham</c:v>
                </c:pt>
              </c:strCache>
            </c:strRef>
          </c:cat>
          <c:val>
            <c:numRef>
              <c:f>Sheet1!$G$3:$G$7</c:f>
              <c:numCache>
                <c:formatCode>0.00%</c:formatCode>
                <c:ptCount val="5"/>
                <c:pt idx="0">
                  <c:v>0.38601632047478096</c:v>
                </c:pt>
                <c:pt idx="1">
                  <c:v>0.44516773549031613</c:v>
                </c:pt>
                <c:pt idx="2">
                  <c:v>0.46268618188389443</c:v>
                </c:pt>
                <c:pt idx="3">
                  <c:v>0.48252911813643928</c:v>
                </c:pt>
                <c:pt idx="4">
                  <c:v>0.49111598190552103</c:v>
                </c:pt>
              </c:numCache>
            </c:numRef>
          </c:val>
        </c:ser>
        <c:axId val="131530112"/>
        <c:axId val="164766848"/>
      </c:barChart>
      <c:lineChart>
        <c:grouping val="standard"/>
        <c:ser>
          <c:idx val="1"/>
          <c:order val="1"/>
          <c:tx>
            <c:strRef>
              <c:f>Sheet1!$H$2</c:f>
              <c:strCache>
                <c:ptCount val="1"/>
                <c:pt idx="0">
                  <c:v>Target 60%</c:v>
                </c:pt>
              </c:strCache>
            </c:strRef>
          </c:tx>
          <c:spPr>
            <a:ln w="22225">
              <a:solidFill>
                <a:srgbClr val="7030A0"/>
              </a:solidFill>
              <a:prstDash val="lgDashDotDot"/>
            </a:ln>
          </c:spPr>
          <c:marker>
            <c:symbol val="none"/>
          </c:marker>
          <c:cat>
            <c:strRef>
              <c:f>Sheet1!$D$3:$D$7</c:f>
              <c:strCache>
                <c:ptCount val="5"/>
                <c:pt idx="0">
                  <c:v>Wandsworth</c:v>
                </c:pt>
                <c:pt idx="1">
                  <c:v>Croydon</c:v>
                </c:pt>
                <c:pt idx="2">
                  <c:v>Sutton &amp; Merton</c:v>
                </c:pt>
                <c:pt idx="3">
                  <c:v>Kingston</c:v>
                </c:pt>
                <c:pt idx="4">
                  <c:v>Richmond &amp; Twickenham</c:v>
                </c:pt>
              </c:strCache>
            </c:strRef>
          </c:cat>
          <c:val>
            <c:numRef>
              <c:f>Sheet1!$H$3:$H$7</c:f>
              <c:numCache>
                <c:formatCode>0.00%</c:formatCode>
                <c:ptCount val="5"/>
                <c:pt idx="0">
                  <c:v>0.60000000000000064</c:v>
                </c:pt>
                <c:pt idx="1">
                  <c:v>0.60000000000000064</c:v>
                </c:pt>
                <c:pt idx="2">
                  <c:v>0.60000000000000064</c:v>
                </c:pt>
                <c:pt idx="3">
                  <c:v>0.60000000000000064</c:v>
                </c:pt>
                <c:pt idx="4">
                  <c:v>0.60000000000000064</c:v>
                </c:pt>
              </c:numCache>
            </c:numRef>
          </c:val>
        </c:ser>
        <c:ser>
          <c:idx val="2"/>
          <c:order val="2"/>
          <c:tx>
            <c:strRef>
              <c:f>Sheet1!$I$2</c:f>
              <c:strCache>
                <c:ptCount val="1"/>
                <c:pt idx="0">
                  <c:v>National average 52.51%</c:v>
                </c:pt>
              </c:strCache>
            </c:strRef>
          </c:tx>
          <c:spPr>
            <a:ln w="22225">
              <a:solidFill>
                <a:srgbClr val="FF0000"/>
              </a:solidFill>
              <a:prstDash val="sysDash"/>
            </a:ln>
          </c:spPr>
          <c:marker>
            <c:symbol val="none"/>
          </c:marker>
          <c:val>
            <c:numRef>
              <c:f>Sheet1!$I$3:$I$7</c:f>
              <c:numCache>
                <c:formatCode>0.00%</c:formatCode>
                <c:ptCount val="5"/>
                <c:pt idx="0">
                  <c:v>0.52510000000000001</c:v>
                </c:pt>
                <c:pt idx="1">
                  <c:v>0.52510000000000001</c:v>
                </c:pt>
                <c:pt idx="2">
                  <c:v>0.52510000000000001</c:v>
                </c:pt>
                <c:pt idx="3">
                  <c:v>0.52510000000000001</c:v>
                </c:pt>
                <c:pt idx="4">
                  <c:v>0.52510000000000001</c:v>
                </c:pt>
              </c:numCache>
            </c:numRef>
          </c:val>
        </c:ser>
        <c:marker val="1"/>
        <c:axId val="131530112"/>
        <c:axId val="164766848"/>
      </c:lineChart>
      <c:catAx>
        <c:axId val="131530112"/>
        <c:scaling>
          <c:orientation val="minMax"/>
        </c:scaling>
        <c:axPos val="b"/>
        <c:numFmt formatCode="General" sourceLinked="1"/>
        <c:tickLblPos val="nextTo"/>
        <c:crossAx val="164766848"/>
        <c:crosses val="autoZero"/>
        <c:auto val="1"/>
        <c:lblAlgn val="ctr"/>
        <c:lblOffset val="100"/>
      </c:catAx>
      <c:valAx>
        <c:axId val="164766848"/>
        <c:scaling>
          <c:orientation val="minMax"/>
          <c:max val="0.65000000000000679"/>
          <c:min val="0"/>
        </c:scaling>
        <c:axPos val="l"/>
        <c:majorGridlines/>
        <c:numFmt formatCode="0.00%" sourceLinked="1"/>
        <c:tickLblPos val="nextTo"/>
        <c:crossAx val="131530112"/>
        <c:crosses val="autoZero"/>
        <c:crossBetween val="between"/>
      </c:valAx>
    </c:plotArea>
    <c:legend>
      <c:legendPos val="r"/>
      <c:legendEntry>
        <c:idx val="0"/>
        <c:delete val="1"/>
      </c:legendEntry>
      <c:layout>
        <c:manualLayout>
          <c:xMode val="edge"/>
          <c:yMode val="edge"/>
          <c:x val="0.15134928197669853"/>
          <c:y val="4.4375182268883064E-3"/>
          <c:w val="0.55036093418259024"/>
          <c:h val="8.1034558180228922E-2"/>
        </c:manualLayout>
      </c:layout>
    </c:legend>
    <c:plotVisOnly val="1"/>
    <c:dispBlanksAs val="gap"/>
  </c:chart>
  <c:spPr>
    <a:ln>
      <a:solidFill>
        <a:schemeClr val="bg1"/>
      </a:solidFill>
    </a:ln>
  </c:spPr>
  <c:txPr>
    <a:bodyPr/>
    <a:lstStyle/>
    <a:p>
      <a:pPr>
        <a:defRPr sz="600"/>
      </a:pPr>
      <a:endParaRPr lang="en-US"/>
    </a:p>
  </c:txPr>
  <c:externalData r:id="rId1"/>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1601574973816622"/>
          <c:y val="6.5015479876160992E-2"/>
          <c:w val="0.85809083027380373"/>
          <c:h val="0.73778012058116171"/>
        </c:manualLayout>
      </c:layout>
      <c:barChart>
        <c:barDir val="col"/>
        <c:grouping val="clustered"/>
        <c:ser>
          <c:idx val="0"/>
          <c:order val="0"/>
          <c:tx>
            <c:v>Male</c:v>
          </c:tx>
          <c:spPr>
            <a:solidFill>
              <a:schemeClr val="bg1">
                <a:lumMod val="75000"/>
              </a:schemeClr>
            </a:solidFill>
            <a:ln>
              <a:solidFill>
                <a:prstClr val="black"/>
              </a:solidFill>
            </a:ln>
          </c:spPr>
          <c:errBars>
            <c:errBarType val="both"/>
            <c:errValType val="cust"/>
            <c:plus>
              <c:numRef>
                <c:f>'U75 Incidence CRC 2004-06'!$H$21:$H$27</c:f>
                <c:numCache>
                  <c:formatCode>General</c:formatCode>
                  <c:ptCount val="7"/>
                  <c:pt idx="0">
                    <c:v>8.43</c:v>
                  </c:pt>
                  <c:pt idx="1">
                    <c:v>5.4800000000000084</c:v>
                  </c:pt>
                  <c:pt idx="2">
                    <c:v>7.8599999999999985</c:v>
                  </c:pt>
                  <c:pt idx="3">
                    <c:v>7.4300000000000024</c:v>
                  </c:pt>
                  <c:pt idx="4">
                    <c:v>5.9699999999999989</c:v>
                  </c:pt>
                  <c:pt idx="5">
                    <c:v>1.230000000000004</c:v>
                  </c:pt>
                  <c:pt idx="6">
                    <c:v>0.44000000000000483</c:v>
                  </c:pt>
                </c:numCache>
              </c:numRef>
            </c:plus>
            <c:minus>
              <c:numRef>
                <c:f>'U75 Incidence CRC 2004-06'!$G$21:$G$27</c:f>
                <c:numCache>
                  <c:formatCode>General</c:formatCode>
                  <c:ptCount val="7"/>
                  <c:pt idx="0">
                    <c:v>8.43</c:v>
                  </c:pt>
                  <c:pt idx="1">
                    <c:v>5.4899999999999984</c:v>
                  </c:pt>
                  <c:pt idx="2">
                    <c:v>7.8500000000000005</c:v>
                  </c:pt>
                  <c:pt idx="3">
                    <c:v>7.4300000000000024</c:v>
                  </c:pt>
                  <c:pt idx="4">
                    <c:v>5.9600000000000009</c:v>
                  </c:pt>
                  <c:pt idx="5">
                    <c:v>1.240000000000002</c:v>
                  </c:pt>
                  <c:pt idx="6">
                    <c:v>0.45</c:v>
                  </c:pt>
                </c:numCache>
              </c:numRef>
            </c:minus>
          </c:errBars>
          <c:cat>
            <c:strRef>
              <c:f>'U75 Incidence CRC 2004-06'!$B$21:$B$27</c:f>
              <c:strCache>
                <c:ptCount val="7"/>
                <c:pt idx="0">
                  <c:v>Kingston PCT</c:v>
                </c:pt>
                <c:pt idx="1">
                  <c:v>Sutton and Merton PCT</c:v>
                </c:pt>
                <c:pt idx="2">
                  <c:v>Richmond and Twickenham PCT</c:v>
                </c:pt>
                <c:pt idx="3">
                  <c:v>Wandsworth Teaching PCT</c:v>
                </c:pt>
                <c:pt idx="4">
                  <c:v>Croydon PCT</c:v>
                </c:pt>
                <c:pt idx="5">
                  <c:v>London SHA</c:v>
                </c:pt>
                <c:pt idx="6">
                  <c:v>ENGLAND</c:v>
                </c:pt>
              </c:strCache>
            </c:strRef>
          </c:cat>
          <c:val>
            <c:numRef>
              <c:f>'U75 Incidence CRC 2004-06'!$D$21:$D$27</c:f>
              <c:numCache>
                <c:formatCode>0.00</c:formatCode>
                <c:ptCount val="7"/>
                <c:pt idx="0">
                  <c:v>34.03</c:v>
                </c:pt>
                <c:pt idx="1">
                  <c:v>36.480000000000004</c:v>
                </c:pt>
                <c:pt idx="2">
                  <c:v>36.71</c:v>
                </c:pt>
                <c:pt idx="3">
                  <c:v>37.11</c:v>
                </c:pt>
                <c:pt idx="4">
                  <c:v>40.36</c:v>
                </c:pt>
                <c:pt idx="5">
                  <c:v>34.61</c:v>
                </c:pt>
                <c:pt idx="6">
                  <c:v>39.870000000000005</c:v>
                </c:pt>
              </c:numCache>
            </c:numRef>
          </c:val>
        </c:ser>
        <c:ser>
          <c:idx val="1"/>
          <c:order val="1"/>
          <c:tx>
            <c:v>Female</c:v>
          </c:tx>
          <c:spPr>
            <a:solidFill>
              <a:schemeClr val="bg1">
                <a:lumMod val="50000"/>
              </a:schemeClr>
            </a:solidFill>
            <a:ln>
              <a:solidFill>
                <a:prstClr val="black"/>
              </a:solidFill>
            </a:ln>
          </c:spPr>
          <c:errBars>
            <c:errBarType val="both"/>
            <c:errValType val="cust"/>
            <c:plus>
              <c:numRef>
                <c:f>'U75 Incidence CRC 2004-06'!$O$21:$O$27</c:f>
                <c:numCache>
                  <c:formatCode>General</c:formatCode>
                  <c:ptCount val="7"/>
                  <c:pt idx="0">
                    <c:v>7.639999999999997</c:v>
                  </c:pt>
                  <c:pt idx="1">
                    <c:v>4.3199999999999985</c:v>
                  </c:pt>
                  <c:pt idx="2">
                    <c:v>6.9400000000000013</c:v>
                  </c:pt>
                  <c:pt idx="3">
                    <c:v>6.1099999999999985</c:v>
                  </c:pt>
                  <c:pt idx="4">
                    <c:v>4.0500000000000007</c:v>
                  </c:pt>
                  <c:pt idx="5">
                    <c:v>0.98000000000000043</c:v>
                  </c:pt>
                  <c:pt idx="6">
                    <c:v>0.35000000000000142</c:v>
                  </c:pt>
                </c:numCache>
              </c:numRef>
            </c:plus>
            <c:minus>
              <c:numRef>
                <c:f>'U75 Incidence CRC 2004-06'!$N$21:$N$27</c:f>
                <c:numCache>
                  <c:formatCode>General</c:formatCode>
                  <c:ptCount val="7"/>
                  <c:pt idx="0">
                    <c:v>7.6499999999999986</c:v>
                  </c:pt>
                  <c:pt idx="1">
                    <c:v>4.3299999999999965</c:v>
                  </c:pt>
                  <c:pt idx="2">
                    <c:v>6.9300000000000024</c:v>
                  </c:pt>
                  <c:pt idx="3">
                    <c:v>6.1199999999999966</c:v>
                  </c:pt>
                  <c:pt idx="4">
                    <c:v>4.0399999999999991</c:v>
                  </c:pt>
                  <c:pt idx="5">
                    <c:v>0.96999999999999964</c:v>
                  </c:pt>
                  <c:pt idx="6">
                    <c:v>0.35000000000000031</c:v>
                  </c:pt>
                </c:numCache>
              </c:numRef>
            </c:minus>
          </c:errBars>
          <c:cat>
            <c:strRef>
              <c:f>'U75 Incidence CRC 2004-06'!$B$21:$B$27</c:f>
              <c:strCache>
                <c:ptCount val="7"/>
                <c:pt idx="0">
                  <c:v>Kingston PCT</c:v>
                </c:pt>
                <c:pt idx="1">
                  <c:v>Sutton and Merton PCT</c:v>
                </c:pt>
                <c:pt idx="2">
                  <c:v>Richmond and Twickenham PCT</c:v>
                </c:pt>
                <c:pt idx="3">
                  <c:v>Wandsworth Teaching PCT</c:v>
                </c:pt>
                <c:pt idx="4">
                  <c:v>Croydon PCT</c:v>
                </c:pt>
                <c:pt idx="5">
                  <c:v>London SHA</c:v>
                </c:pt>
                <c:pt idx="6">
                  <c:v>ENGLAND</c:v>
                </c:pt>
              </c:strCache>
            </c:strRef>
          </c:cat>
          <c:val>
            <c:numRef>
              <c:f>'U75 Incidence CRC 2004-06'!$K$21:$K$27</c:f>
              <c:numCache>
                <c:formatCode>0.00</c:formatCode>
                <c:ptCount val="7"/>
                <c:pt idx="0">
                  <c:v>30.77</c:v>
                </c:pt>
                <c:pt idx="1">
                  <c:v>25.2</c:v>
                </c:pt>
                <c:pt idx="2">
                  <c:v>30.91</c:v>
                </c:pt>
                <c:pt idx="3">
                  <c:v>27.89</c:v>
                </c:pt>
                <c:pt idx="4">
                  <c:v>20.239999999999988</c:v>
                </c:pt>
                <c:pt idx="5">
                  <c:v>23.479999999999986</c:v>
                </c:pt>
                <c:pt idx="6">
                  <c:v>25.95</c:v>
                </c:pt>
              </c:numCache>
            </c:numRef>
          </c:val>
        </c:ser>
        <c:ser>
          <c:idx val="2"/>
          <c:order val="2"/>
          <c:tx>
            <c:v>Persons</c:v>
          </c:tx>
          <c:spPr>
            <a:solidFill>
              <a:schemeClr val="tx1">
                <a:lumMod val="65000"/>
                <a:lumOff val="35000"/>
              </a:schemeClr>
            </a:solidFill>
            <a:ln>
              <a:solidFill>
                <a:prstClr val="black"/>
              </a:solidFill>
            </a:ln>
          </c:spPr>
          <c:errBars>
            <c:errBarType val="both"/>
            <c:errValType val="cust"/>
            <c:plus>
              <c:numRef>
                <c:f>'U75 Incidence CRC 2004-06'!$V$21:$V$27</c:f>
                <c:numCache>
                  <c:formatCode>General</c:formatCode>
                  <c:ptCount val="7"/>
                  <c:pt idx="0">
                    <c:v>5.6400000000000006</c:v>
                  </c:pt>
                  <c:pt idx="1">
                    <c:v>3.4499999999999957</c:v>
                  </c:pt>
                  <c:pt idx="2">
                    <c:v>5.2299999999999969</c:v>
                  </c:pt>
                  <c:pt idx="3">
                    <c:v>4.75</c:v>
                  </c:pt>
                  <c:pt idx="4">
                    <c:v>3.5399999999999987</c:v>
                  </c:pt>
                  <c:pt idx="5">
                    <c:v>0.78</c:v>
                  </c:pt>
                  <c:pt idx="6">
                    <c:v>0.2800000000000013</c:v>
                  </c:pt>
                </c:numCache>
              </c:numRef>
            </c:plus>
            <c:minus>
              <c:numRef>
                <c:f>'U75 Incidence CRC 2004-06'!$U$21:$U$27</c:f>
                <c:numCache>
                  <c:formatCode>General</c:formatCode>
                  <c:ptCount val="7"/>
                  <c:pt idx="0">
                    <c:v>5.639999999999997</c:v>
                  </c:pt>
                  <c:pt idx="1">
                    <c:v>3.4400000000000013</c:v>
                  </c:pt>
                  <c:pt idx="2">
                    <c:v>5.240000000000002</c:v>
                  </c:pt>
                  <c:pt idx="3">
                    <c:v>4.759999999999998</c:v>
                  </c:pt>
                  <c:pt idx="4">
                    <c:v>3.5499999999999972</c:v>
                  </c:pt>
                  <c:pt idx="5">
                    <c:v>0.77000000000001301</c:v>
                  </c:pt>
                  <c:pt idx="6">
                    <c:v>0.2800000000000013</c:v>
                  </c:pt>
                </c:numCache>
              </c:numRef>
            </c:minus>
          </c:errBars>
          <c:cat>
            <c:strRef>
              <c:f>'U75 Incidence CRC 2004-06'!$B$21:$B$27</c:f>
              <c:strCache>
                <c:ptCount val="7"/>
                <c:pt idx="0">
                  <c:v>Kingston PCT</c:v>
                </c:pt>
                <c:pt idx="1">
                  <c:v>Sutton and Merton PCT</c:v>
                </c:pt>
                <c:pt idx="2">
                  <c:v>Richmond and Twickenham PCT</c:v>
                </c:pt>
                <c:pt idx="3">
                  <c:v>Wandsworth Teaching PCT</c:v>
                </c:pt>
                <c:pt idx="4">
                  <c:v>Croydon PCT</c:v>
                </c:pt>
                <c:pt idx="5">
                  <c:v>London SHA</c:v>
                </c:pt>
                <c:pt idx="6">
                  <c:v>ENGLAND</c:v>
                </c:pt>
              </c:strCache>
            </c:strRef>
          </c:cat>
          <c:val>
            <c:numRef>
              <c:f>'U75 Incidence CRC 2004-06'!$R$21:$R$27</c:f>
              <c:numCache>
                <c:formatCode>0.00</c:formatCode>
                <c:ptCount val="7"/>
                <c:pt idx="0">
                  <c:v>32.15</c:v>
                </c:pt>
                <c:pt idx="1">
                  <c:v>30.419999999999987</c:v>
                </c:pt>
                <c:pt idx="2">
                  <c:v>33.849999999999994</c:v>
                </c:pt>
                <c:pt idx="3">
                  <c:v>32.15</c:v>
                </c:pt>
                <c:pt idx="4">
                  <c:v>29.830000000000005</c:v>
                </c:pt>
                <c:pt idx="5">
                  <c:v>28.759999999999987</c:v>
                </c:pt>
                <c:pt idx="6">
                  <c:v>32.65</c:v>
                </c:pt>
              </c:numCache>
            </c:numRef>
          </c:val>
        </c:ser>
        <c:axId val="164801920"/>
        <c:axId val="164807808"/>
      </c:barChart>
      <c:catAx>
        <c:axId val="164801920"/>
        <c:scaling>
          <c:orientation val="minMax"/>
        </c:scaling>
        <c:axPos val="b"/>
        <c:numFmt formatCode="General" sourceLinked="1"/>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64807808"/>
        <c:crosses val="autoZero"/>
        <c:auto val="1"/>
        <c:lblAlgn val="ctr"/>
        <c:lblOffset val="100"/>
      </c:catAx>
      <c:valAx>
        <c:axId val="164807808"/>
        <c:scaling>
          <c:orientation val="minMax"/>
        </c:scaling>
        <c:axPos val="l"/>
        <c:majorGridlines/>
        <c:numFmt formatCode="0.0" sourceLinked="0"/>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64801920"/>
        <c:crosses val="autoZero"/>
        <c:crossBetween val="between"/>
      </c:valAx>
    </c:plotArea>
    <c:legend>
      <c:legendPos val="r"/>
      <c:layout>
        <c:manualLayout>
          <c:xMode val="edge"/>
          <c:yMode val="edge"/>
          <c:x val="0.12649000407365582"/>
          <c:y val="4.2445178223689685E-2"/>
          <c:w val="0.41111262369217638"/>
          <c:h val="0.11014061207609593"/>
        </c:manualLayout>
      </c:layout>
      <c:txPr>
        <a:bodyPr/>
        <a:lstStyle/>
        <a:p>
          <a:pPr>
            <a:defRPr sz="640" b="0" i="0" u="none" strike="noStrike" baseline="0">
              <a:solidFill>
                <a:srgbClr val="000000"/>
              </a:solidFill>
              <a:latin typeface="Calibri"/>
              <a:ea typeface="Calibri"/>
              <a:cs typeface="Calibri"/>
            </a:defRPr>
          </a:pPr>
          <a:endParaRPr lang="en-US"/>
        </a:p>
      </c:txPr>
    </c:legend>
    <c:plotVisOnly val="1"/>
    <c:dispBlanksAs val="gap"/>
  </c:chart>
  <c:spPr>
    <a:ln>
      <a:solidFill>
        <a:schemeClr val="bg1"/>
      </a:solidFill>
    </a:ln>
  </c:spPr>
  <c:txPr>
    <a:bodyPr/>
    <a:lstStyle/>
    <a:p>
      <a:pPr>
        <a:defRPr sz="1000" b="0" i="0" u="none" strike="noStrike" baseline="0">
          <a:solidFill>
            <a:srgbClr val="000000"/>
          </a:solidFill>
          <a:latin typeface="Calibri"/>
          <a:ea typeface="Calibri"/>
          <a:cs typeface="Calibri"/>
        </a:defRPr>
      </a:pPr>
      <a:endParaRPr lang="en-US"/>
    </a:p>
  </c:txPr>
  <c:externalData r:id="rId1"/>
  <c:userShapes r:id="rId2"/>
</c:chartSpace>
</file>

<file path=word/drawings/drawing1.xml><?xml version="1.0" encoding="utf-8"?>
<c:userShapes xmlns:c="http://schemas.openxmlformats.org/drawingml/2006/chart">
  <cdr:relSizeAnchor xmlns:cdr="http://schemas.openxmlformats.org/drawingml/2006/chartDrawing">
    <cdr:from>
      <cdr:x>0</cdr:x>
      <cdr:y>0.06944</cdr:y>
    </cdr:from>
    <cdr:to>
      <cdr:x>0.07104</cdr:x>
      <cdr:y>0.80729</cdr:y>
    </cdr:to>
    <cdr:sp macro="" textlink="">
      <cdr:nvSpPr>
        <cdr:cNvPr id="2" name="TextBox 1"/>
        <cdr:cNvSpPr txBox="1"/>
      </cdr:nvSpPr>
      <cdr:spPr>
        <a:xfrm xmlns:a="http://schemas.openxmlformats.org/drawingml/2006/main" rot="-5400000">
          <a:off x="-823913" y="1014413"/>
          <a:ext cx="2024064" cy="37623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GB" sz="700"/>
            <a:t>Estimated percentage of adult population</a:t>
          </a:r>
        </a:p>
      </cdr:txBody>
    </cdr:sp>
  </cdr:relSizeAnchor>
</c:userShapes>
</file>

<file path=word/drawings/drawing10.xml><?xml version="1.0" encoding="utf-8"?>
<c:userShapes xmlns:c="http://schemas.openxmlformats.org/drawingml/2006/chart">
  <cdr:relSizeAnchor xmlns:cdr="http://schemas.openxmlformats.org/drawingml/2006/chartDrawing">
    <cdr:from>
      <cdr:x>2.10189E-7</cdr:x>
      <cdr:y>0.05387</cdr:y>
    </cdr:from>
    <cdr:to>
      <cdr:x>0.12795</cdr:x>
      <cdr:y>0.92235</cdr:y>
    </cdr:to>
    <cdr:sp macro="" textlink="">
      <cdr:nvSpPr>
        <cdr:cNvPr id="2" name="TextBox 1"/>
        <cdr:cNvSpPr txBox="1"/>
      </cdr:nvSpPr>
      <cdr:spPr>
        <a:xfrm xmlns:a="http://schemas.openxmlformats.org/drawingml/2006/main" rot="-5400000">
          <a:off x="-986700" y="1184622"/>
          <a:ext cx="3190889" cy="12174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GB" sz="700">
              <a:latin typeface="Calibri"/>
            </a:rPr>
            <a:t>Directly Standardised Incidence  Rate per </a:t>
          </a:r>
          <a:endParaRPr lang="en-GB" sz="700"/>
        </a:p>
        <a:p xmlns:a="http://schemas.openxmlformats.org/drawingml/2006/main">
          <a:pPr algn="ctr"/>
          <a:r>
            <a:rPr lang="en-GB" sz="700">
              <a:latin typeface="Calibri"/>
            </a:rPr>
            <a:t>100,000  population</a:t>
          </a:r>
          <a:endParaRPr lang="en-GB" sz="700"/>
        </a:p>
        <a:p xmlns:a="http://schemas.openxmlformats.org/drawingml/2006/main">
          <a:pPr algn="ctr"/>
          <a:endParaRPr lang="en-GB" sz="700"/>
        </a:p>
      </cdr:txBody>
    </cdr:sp>
  </cdr:relSizeAnchor>
</c:userShapes>
</file>

<file path=word/drawings/drawing11.xml><?xml version="1.0" encoding="utf-8"?>
<c:userShapes xmlns:c="http://schemas.openxmlformats.org/drawingml/2006/chart">
  <cdr:relSizeAnchor xmlns:cdr="http://schemas.openxmlformats.org/drawingml/2006/chartDrawing">
    <cdr:from>
      <cdr:x>0.00081</cdr:x>
      <cdr:y>0.13919</cdr:y>
    </cdr:from>
    <cdr:to>
      <cdr:x>0.11665</cdr:x>
      <cdr:y>0.80271</cdr:y>
    </cdr:to>
    <cdr:sp macro="" textlink="">
      <cdr:nvSpPr>
        <cdr:cNvPr id="2" name="TextBox 1"/>
        <cdr:cNvSpPr txBox="1"/>
      </cdr:nvSpPr>
      <cdr:spPr>
        <a:xfrm xmlns:a="http://schemas.openxmlformats.org/drawingml/2006/main" rot="-5400000">
          <a:off x="-1022767" y="1716524"/>
          <a:ext cx="3266885" cy="120450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GB" sz="700">
              <a:latin typeface="Calibri"/>
            </a:rPr>
            <a:t>Directly Standardised Incidence  Rate per </a:t>
          </a:r>
          <a:endParaRPr lang="en-GB" sz="700"/>
        </a:p>
        <a:p xmlns:a="http://schemas.openxmlformats.org/drawingml/2006/main">
          <a:pPr algn="ctr"/>
          <a:r>
            <a:rPr lang="en-GB" sz="700">
              <a:latin typeface="Calibri"/>
            </a:rPr>
            <a:t>100,000  population</a:t>
          </a:r>
          <a:endParaRPr lang="en-GB" sz="700"/>
        </a:p>
        <a:p xmlns:a="http://schemas.openxmlformats.org/drawingml/2006/main">
          <a:pPr algn="ctr"/>
          <a:endParaRPr lang="en-GB" sz="700"/>
        </a:p>
      </cdr:txBody>
    </cdr:sp>
  </cdr:relSizeAnchor>
</c:userShapes>
</file>

<file path=word/drawings/drawing12.xml><?xml version="1.0" encoding="utf-8"?>
<c:userShapes xmlns:c="http://schemas.openxmlformats.org/drawingml/2006/chart">
  <cdr:relSizeAnchor xmlns:cdr="http://schemas.openxmlformats.org/drawingml/2006/chartDrawing">
    <cdr:from>
      <cdr:x>0</cdr:x>
      <cdr:y>0.09316</cdr:y>
    </cdr:from>
    <cdr:to>
      <cdr:x>0.10987</cdr:x>
      <cdr:y>0.75393</cdr:y>
    </cdr:to>
    <cdr:sp macro="" textlink="">
      <cdr:nvSpPr>
        <cdr:cNvPr id="2" name="TextBox 1"/>
        <cdr:cNvSpPr txBox="1"/>
      </cdr:nvSpPr>
      <cdr:spPr>
        <a:xfrm xmlns:a="http://schemas.openxmlformats.org/drawingml/2006/main" rot="-5400000">
          <a:off x="-1112664" y="1588914"/>
          <a:ext cx="3378054" cy="11527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GB" sz="700">
              <a:latin typeface="Calibri"/>
            </a:rPr>
            <a:t>Directly Standardised Incidence  Rate per </a:t>
          </a:r>
          <a:endParaRPr lang="en-GB" sz="700"/>
        </a:p>
        <a:p xmlns:a="http://schemas.openxmlformats.org/drawingml/2006/main">
          <a:pPr algn="ctr"/>
          <a:r>
            <a:rPr lang="en-GB" sz="700">
              <a:latin typeface="Calibri"/>
            </a:rPr>
            <a:t>100,000  population</a:t>
          </a:r>
          <a:endParaRPr lang="en-GB" sz="700"/>
        </a:p>
        <a:p xmlns:a="http://schemas.openxmlformats.org/drawingml/2006/main">
          <a:pPr algn="ctr"/>
          <a:endParaRPr lang="en-GB" sz="700"/>
        </a:p>
      </cdr:txBody>
    </cdr:sp>
  </cdr:relSizeAnchor>
</c:userShapes>
</file>

<file path=word/drawings/drawing13.xml><?xml version="1.0" encoding="utf-8"?>
<c:userShapes xmlns:c="http://schemas.openxmlformats.org/drawingml/2006/chart">
  <cdr:relSizeAnchor xmlns:cdr="http://schemas.openxmlformats.org/drawingml/2006/chartDrawing">
    <cdr:from>
      <cdr:x>0.43137</cdr:x>
      <cdr:y>0.90954</cdr:y>
    </cdr:from>
    <cdr:to>
      <cdr:x>0.61006</cdr:x>
      <cdr:y>0.97066</cdr:y>
    </cdr:to>
    <cdr:sp macro="" textlink="">
      <cdr:nvSpPr>
        <cdr:cNvPr id="2" name="TextBox 1"/>
        <cdr:cNvSpPr txBox="1"/>
      </cdr:nvSpPr>
      <cdr:spPr>
        <a:xfrm xmlns:a="http://schemas.openxmlformats.org/drawingml/2006/main">
          <a:off x="1959897" y="3543318"/>
          <a:ext cx="811878" cy="23810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600"/>
            <a:t>Male	</a:t>
          </a:r>
        </a:p>
      </cdr:txBody>
    </cdr:sp>
  </cdr:relSizeAnchor>
</c:userShapes>
</file>

<file path=word/drawings/drawing14.xml><?xml version="1.0" encoding="utf-8"?>
<c:userShapes xmlns:c="http://schemas.openxmlformats.org/drawingml/2006/chart">
  <cdr:relSizeAnchor xmlns:cdr="http://schemas.openxmlformats.org/drawingml/2006/chartDrawing">
    <cdr:from>
      <cdr:x>0.40625</cdr:x>
      <cdr:y>0.91912</cdr:y>
    </cdr:from>
    <cdr:to>
      <cdr:x>0.54688</cdr:x>
      <cdr:y>0.97794</cdr:y>
    </cdr:to>
    <cdr:sp macro="" textlink="">
      <cdr:nvSpPr>
        <cdr:cNvPr id="2" name="TextBox 1"/>
        <cdr:cNvSpPr txBox="1"/>
      </cdr:nvSpPr>
      <cdr:spPr>
        <a:xfrm xmlns:a="http://schemas.openxmlformats.org/drawingml/2006/main">
          <a:off x="1981200" y="3571875"/>
          <a:ext cx="6858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600"/>
            <a:t>Female	</a:t>
          </a:r>
        </a:p>
      </cdr:txBody>
    </cdr:sp>
  </cdr:relSizeAnchor>
</c:userShapes>
</file>

<file path=word/drawings/drawing15.xml><?xml version="1.0" encoding="utf-8"?>
<c:userShapes xmlns:c="http://schemas.openxmlformats.org/drawingml/2006/chart">
  <cdr:relSizeAnchor xmlns:cdr="http://schemas.openxmlformats.org/drawingml/2006/chartDrawing">
    <cdr:from>
      <cdr:x>6.55868E-7</cdr:x>
      <cdr:y>0.03214</cdr:y>
    </cdr:from>
    <cdr:to>
      <cdr:x>0.05193</cdr:x>
      <cdr:y>0.77166</cdr:y>
    </cdr:to>
    <cdr:sp macro="" textlink="">
      <cdr:nvSpPr>
        <cdr:cNvPr id="2" name="TextBox 1"/>
        <cdr:cNvSpPr txBox="1"/>
      </cdr:nvSpPr>
      <cdr:spPr>
        <a:xfrm xmlns:a="http://schemas.openxmlformats.org/drawingml/2006/main" rot="-5400000">
          <a:off x="-964905" y="1059112"/>
          <a:ext cx="2167341" cy="2375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GB" sz="600"/>
            <a:t>Age standardised relative one year</a:t>
          </a:r>
          <a:r>
            <a:rPr lang="en-GB" sz="600" baseline="0"/>
            <a:t> survival rate (%)</a:t>
          </a:r>
          <a:endParaRPr lang="en-GB" sz="600"/>
        </a:p>
      </cdr:txBody>
    </cdr:sp>
  </cdr:relSizeAnchor>
</c:userShapes>
</file>

<file path=word/drawings/drawing16.xml><?xml version="1.0" encoding="utf-8"?>
<c:userShapes xmlns:c="http://schemas.openxmlformats.org/drawingml/2006/chart">
  <cdr:relSizeAnchor xmlns:cdr="http://schemas.openxmlformats.org/drawingml/2006/chartDrawing">
    <cdr:from>
      <cdr:x>0.00161</cdr:x>
      <cdr:y>0</cdr:y>
    </cdr:from>
    <cdr:to>
      <cdr:x>0.05161</cdr:x>
      <cdr:y>0.48358</cdr:y>
    </cdr:to>
    <cdr:sp macro="" textlink="">
      <cdr:nvSpPr>
        <cdr:cNvPr id="2" name="TextBox 1"/>
        <cdr:cNvSpPr txBox="1"/>
      </cdr:nvSpPr>
      <cdr:spPr>
        <a:xfrm xmlns:a="http://schemas.openxmlformats.org/drawingml/2006/main" rot="-5400000">
          <a:off x="-614361" y="623887"/>
          <a:ext cx="1543050" cy="2952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700"/>
            <a:t>Percentage</a:t>
          </a:r>
        </a:p>
      </cdr:txBody>
    </cdr:sp>
  </cdr:relSizeAnchor>
  <cdr:relSizeAnchor xmlns:cdr="http://schemas.openxmlformats.org/drawingml/2006/chartDrawing">
    <cdr:from>
      <cdr:x>0.78226</cdr:x>
      <cdr:y>0.85075</cdr:y>
    </cdr:from>
    <cdr:to>
      <cdr:x>0.95484</cdr:x>
      <cdr:y>0.94627</cdr:y>
    </cdr:to>
    <cdr:sp macro="" textlink="">
      <cdr:nvSpPr>
        <cdr:cNvPr id="3" name="TextBox 2"/>
        <cdr:cNvSpPr txBox="1"/>
      </cdr:nvSpPr>
      <cdr:spPr>
        <a:xfrm xmlns:a="http://schemas.openxmlformats.org/drawingml/2006/main">
          <a:off x="4619636" y="2714637"/>
          <a:ext cx="1019172" cy="30479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600"/>
            <a:t>Eurocare 4 Study</a:t>
          </a:r>
        </a:p>
      </cdr:txBody>
    </cdr:sp>
  </cdr:relSizeAnchor>
  <cdr:relSizeAnchor xmlns:cdr="http://schemas.openxmlformats.org/drawingml/2006/chartDrawing">
    <cdr:from>
      <cdr:x>0.74758</cdr:x>
      <cdr:y>0.79104</cdr:y>
    </cdr:from>
    <cdr:to>
      <cdr:x>0.95323</cdr:x>
      <cdr:y>0.85672</cdr:y>
    </cdr:to>
    <cdr:sp macro="" textlink="">
      <cdr:nvSpPr>
        <cdr:cNvPr id="4" name="Left Brace 3"/>
        <cdr:cNvSpPr/>
      </cdr:nvSpPr>
      <cdr:spPr>
        <a:xfrm xmlns:a="http://schemas.openxmlformats.org/drawingml/2006/main" rot="-5400000">
          <a:off x="4917281" y="2021682"/>
          <a:ext cx="209551" cy="1214436"/>
        </a:xfrm>
        <a:prstGeom xmlns:a="http://schemas.openxmlformats.org/drawingml/2006/main" prst="leftBrace">
          <a:avLst/>
        </a:prstGeom>
        <a:ln xmlns:a="http://schemas.openxmlformats.org/drawingml/2006/main">
          <a:solidFill>
            <a:sysClr val="windowText" lastClr="0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GB"/>
        </a:p>
      </cdr:txBody>
    </cdr:sp>
  </cdr:relSizeAnchor>
</c:userShapes>
</file>

<file path=word/drawings/drawing17.xml><?xml version="1.0" encoding="utf-8"?>
<c:userShapes xmlns:c="http://schemas.openxmlformats.org/drawingml/2006/chart">
  <cdr:relSizeAnchor xmlns:cdr="http://schemas.openxmlformats.org/drawingml/2006/chartDrawing">
    <cdr:from>
      <cdr:x>0.00161</cdr:x>
      <cdr:y>0</cdr:y>
    </cdr:from>
    <cdr:to>
      <cdr:x>0.05161</cdr:x>
      <cdr:y>0.48358</cdr:y>
    </cdr:to>
    <cdr:sp macro="" textlink="">
      <cdr:nvSpPr>
        <cdr:cNvPr id="2" name="TextBox 1"/>
        <cdr:cNvSpPr txBox="1"/>
      </cdr:nvSpPr>
      <cdr:spPr>
        <a:xfrm xmlns:a="http://schemas.openxmlformats.org/drawingml/2006/main" rot="-5400000">
          <a:off x="-614361" y="623887"/>
          <a:ext cx="1543050" cy="2952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700"/>
            <a:t>Percentage</a:t>
          </a:r>
        </a:p>
      </cdr:txBody>
    </cdr:sp>
  </cdr:relSizeAnchor>
  <cdr:relSizeAnchor xmlns:cdr="http://schemas.openxmlformats.org/drawingml/2006/chartDrawing">
    <cdr:from>
      <cdr:x>0.78226</cdr:x>
      <cdr:y>0.92937</cdr:y>
    </cdr:from>
    <cdr:to>
      <cdr:x>0.95484</cdr:x>
      <cdr:y>1</cdr:y>
    </cdr:to>
    <cdr:sp macro="" textlink="">
      <cdr:nvSpPr>
        <cdr:cNvPr id="3" name="TextBox 2"/>
        <cdr:cNvSpPr txBox="1"/>
      </cdr:nvSpPr>
      <cdr:spPr>
        <a:xfrm xmlns:a="http://schemas.openxmlformats.org/drawingml/2006/main">
          <a:off x="4483531" y="2381249"/>
          <a:ext cx="989144"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600"/>
            <a:t>Eurocare 4 Study</a:t>
          </a:r>
        </a:p>
      </cdr:txBody>
    </cdr:sp>
  </cdr:relSizeAnchor>
  <cdr:relSizeAnchor xmlns:cdr="http://schemas.openxmlformats.org/drawingml/2006/chartDrawing">
    <cdr:from>
      <cdr:x>0.74758</cdr:x>
      <cdr:y>0.88228</cdr:y>
    </cdr:from>
    <cdr:to>
      <cdr:x>0.95323</cdr:x>
      <cdr:y>0.94796</cdr:y>
    </cdr:to>
    <cdr:sp macro="" textlink="">
      <cdr:nvSpPr>
        <cdr:cNvPr id="4" name="Left Brace 3"/>
        <cdr:cNvSpPr/>
      </cdr:nvSpPr>
      <cdr:spPr>
        <a:xfrm xmlns:a="http://schemas.openxmlformats.org/drawingml/2006/main" rot="-5400000">
          <a:off x="4789961" y="1755389"/>
          <a:ext cx="168287" cy="1178685"/>
        </a:xfrm>
        <a:prstGeom xmlns:a="http://schemas.openxmlformats.org/drawingml/2006/main" prst="leftBrace">
          <a:avLst/>
        </a:prstGeom>
        <a:ln xmlns:a="http://schemas.openxmlformats.org/drawingml/2006/main">
          <a:solidFill>
            <a:sysClr val="windowText" lastClr="0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GB"/>
        </a:p>
      </cdr:txBody>
    </cdr:sp>
  </cdr:relSizeAnchor>
</c:userShapes>
</file>

<file path=word/drawings/drawing18.xml><?xml version="1.0" encoding="utf-8"?>
<c:userShapes xmlns:c="http://schemas.openxmlformats.org/drawingml/2006/chart">
  <cdr:relSizeAnchor xmlns:cdr="http://schemas.openxmlformats.org/drawingml/2006/chartDrawing">
    <cdr:from>
      <cdr:x>0</cdr:x>
      <cdr:y>0.01736</cdr:y>
    </cdr:from>
    <cdr:to>
      <cdr:x>0.05195</cdr:x>
      <cdr:y>0.80744</cdr:y>
    </cdr:to>
    <cdr:sp macro="" textlink="">
      <cdr:nvSpPr>
        <cdr:cNvPr id="2" name="TextBox 1"/>
        <cdr:cNvSpPr txBox="1"/>
      </cdr:nvSpPr>
      <cdr:spPr>
        <a:xfrm xmlns:a="http://schemas.openxmlformats.org/drawingml/2006/main" rot="-5400000">
          <a:off x="-964908" y="1012533"/>
          <a:ext cx="2167341" cy="2375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GB" sz="600"/>
            <a:t>Age standardised relative one year</a:t>
          </a:r>
          <a:r>
            <a:rPr lang="en-GB" sz="600" baseline="0"/>
            <a:t> survival rate (%)</a:t>
          </a:r>
          <a:endParaRPr lang="en-GB" sz="600"/>
        </a:p>
      </cdr:txBody>
    </cdr:sp>
  </cdr:relSizeAnchor>
</c:userShapes>
</file>

<file path=word/drawings/drawing19.xml><?xml version="1.0" encoding="utf-8"?>
<c:userShapes xmlns:c="http://schemas.openxmlformats.org/drawingml/2006/chart">
  <cdr:relSizeAnchor xmlns:cdr="http://schemas.openxmlformats.org/drawingml/2006/chartDrawing">
    <cdr:from>
      <cdr:x>0</cdr:x>
      <cdr:y>0.30994</cdr:y>
    </cdr:from>
    <cdr:to>
      <cdr:x>0.05455</cdr:x>
      <cdr:y>0.59942</cdr:y>
    </cdr:to>
    <cdr:sp macro="" textlink="">
      <cdr:nvSpPr>
        <cdr:cNvPr id="2" name="TextBox 1"/>
        <cdr:cNvSpPr txBox="1"/>
      </cdr:nvSpPr>
      <cdr:spPr>
        <a:xfrm xmlns:a="http://schemas.openxmlformats.org/drawingml/2006/main" rot="-5400000">
          <a:off x="-285750" y="1295400"/>
          <a:ext cx="942975"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700"/>
            <a:t>Percentage</a:t>
          </a:r>
        </a:p>
      </cdr:txBody>
    </cdr:sp>
  </cdr:relSizeAnchor>
</c:userShapes>
</file>

<file path=word/drawings/drawing2.xml><?xml version="1.0" encoding="utf-8"?>
<c:userShapes xmlns:c="http://schemas.openxmlformats.org/drawingml/2006/chart">
  <cdr:relSizeAnchor xmlns:cdr="http://schemas.openxmlformats.org/drawingml/2006/chartDrawing">
    <cdr:from>
      <cdr:x>1.95871E-7</cdr:x>
      <cdr:y>0.09864</cdr:y>
    </cdr:from>
    <cdr:to>
      <cdr:x>0.07369</cdr:x>
      <cdr:y>0.82143</cdr:y>
    </cdr:to>
    <cdr:sp macro="" textlink="">
      <cdr:nvSpPr>
        <cdr:cNvPr id="2" name="TextBox 1"/>
        <cdr:cNvSpPr txBox="1"/>
      </cdr:nvSpPr>
      <cdr:spPr>
        <a:xfrm xmlns:a="http://schemas.openxmlformats.org/drawingml/2006/main" rot="-5400000">
          <a:off x="-823923" y="1100149"/>
          <a:ext cx="2024070" cy="37622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GB" sz="700"/>
            <a:t>Estimated percentage of adult population</a:t>
          </a:r>
        </a:p>
      </cdr:txBody>
    </cdr:sp>
  </cdr:relSizeAnchor>
</c:userShapes>
</file>

<file path=word/drawings/drawing20.xml><?xml version="1.0" encoding="utf-8"?>
<c:userShapes xmlns:c="http://schemas.openxmlformats.org/drawingml/2006/chart">
  <cdr:relSizeAnchor xmlns:cdr="http://schemas.openxmlformats.org/drawingml/2006/chartDrawing">
    <cdr:from>
      <cdr:x>0</cdr:x>
      <cdr:y>0</cdr:y>
    </cdr:from>
    <cdr:to>
      <cdr:x>0</cdr:x>
      <cdr:y>0</cdr:y>
    </cdr:to>
    <cdr:sp macro="" textlink="">
      <cdr:nvSpPr>
        <cdr:cNvPr id="3" name="TextBox 1"/>
        <cdr:cNvSpPr txBox="1"/>
      </cdr:nvSpPr>
      <cdr:spPr>
        <a:xfrm xmlns:a="http://schemas.openxmlformats.org/drawingml/2006/main" rot="-5400000">
          <a:off x="-1499290" y="1430268"/>
          <a:ext cx="3835816" cy="80962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GB"/>
        </a:p>
      </cdr:txBody>
    </cdr:sp>
  </cdr:relSizeAnchor>
  <cdr:relSizeAnchor xmlns:cdr="http://schemas.openxmlformats.org/drawingml/2006/chartDrawing">
    <cdr:from>
      <cdr:x>0</cdr:x>
      <cdr:y>0</cdr:y>
    </cdr:from>
    <cdr:to>
      <cdr:x>0</cdr:x>
      <cdr:y>0</cdr:y>
    </cdr:to>
    <cdr:sp macro="" textlink="">
      <cdr:nvSpPr>
        <cdr:cNvPr id="4" name="TextBox 3"/>
        <cdr:cNvSpPr txBox="1"/>
      </cdr:nvSpPr>
      <cdr:spPr>
        <a:xfrm xmlns:a="http://schemas.openxmlformats.org/drawingml/2006/main" rot="-5400000">
          <a:off x="-1189381" y="1227896"/>
          <a:ext cx="3575326" cy="119656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700"/>
            <a:t>Directly standardised mortality rate per</a:t>
          </a:r>
        </a:p>
        <a:p xmlns:a="http://schemas.openxmlformats.org/drawingml/2006/main">
          <a:pPr algn="ctr"/>
          <a:r>
            <a:rPr lang="en-GB" sz="700"/>
            <a:t>100,000 population</a:t>
          </a:r>
        </a:p>
      </cdr:txBody>
    </cdr:sp>
  </cdr:relSizeAnchor>
  <cdr:relSizeAnchor xmlns:cdr="http://schemas.openxmlformats.org/drawingml/2006/chartDrawing">
    <cdr:from>
      <cdr:x>0.00301</cdr:x>
      <cdr:y>0.01764</cdr:y>
    </cdr:from>
    <cdr:to>
      <cdr:x>0.05429</cdr:x>
      <cdr:y>0.77864</cdr:y>
    </cdr:to>
    <cdr:sp macro="" textlink="">
      <cdr:nvSpPr>
        <cdr:cNvPr id="5" name="TextBox 1"/>
        <cdr:cNvSpPr txBox="1"/>
      </cdr:nvSpPr>
      <cdr:spPr>
        <a:xfrm xmlns:a="http://schemas.openxmlformats.org/drawingml/2006/main" rot="-5400000">
          <a:off x="-1422657" y="1538815"/>
          <a:ext cx="3507990" cy="59298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GB" sz="700"/>
            <a:t>Directly standardised mortality rate per</a:t>
          </a:r>
        </a:p>
        <a:p xmlns:a="http://schemas.openxmlformats.org/drawingml/2006/main">
          <a:pPr algn="ctr"/>
          <a:r>
            <a:rPr lang="en-GB" sz="700"/>
            <a:t>100,000 population</a:t>
          </a:r>
        </a:p>
      </cdr:txBody>
    </cdr:sp>
  </cdr:relSizeAnchor>
</c:userShapes>
</file>

<file path=word/drawings/drawing21.xml><?xml version="1.0" encoding="utf-8"?>
<c:userShapes xmlns:c="http://schemas.openxmlformats.org/drawingml/2006/chart">
  <cdr:relSizeAnchor xmlns:cdr="http://schemas.openxmlformats.org/drawingml/2006/chartDrawing">
    <cdr:from>
      <cdr:x>0.00081</cdr:x>
      <cdr:y>0.12446</cdr:y>
    </cdr:from>
    <cdr:to>
      <cdr:x>0.11665</cdr:x>
      <cdr:y>0.8927</cdr:y>
    </cdr:to>
    <cdr:sp macro="" textlink="">
      <cdr:nvSpPr>
        <cdr:cNvPr id="2" name="TextBox 1"/>
        <cdr:cNvSpPr txBox="1"/>
      </cdr:nvSpPr>
      <cdr:spPr>
        <a:xfrm xmlns:a="http://schemas.openxmlformats.org/drawingml/2006/main" rot="-5400000">
          <a:off x="-515875" y="796743"/>
          <a:ext cx="1704974" cy="66393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GB" sz="700">
              <a:latin typeface="Calibri"/>
            </a:rPr>
            <a:t>Directly Standardised mortality Rate per </a:t>
          </a:r>
          <a:endParaRPr lang="en-GB" sz="700"/>
        </a:p>
        <a:p xmlns:a="http://schemas.openxmlformats.org/drawingml/2006/main">
          <a:pPr algn="ctr"/>
          <a:r>
            <a:rPr lang="en-GB" sz="700">
              <a:latin typeface="Calibri"/>
            </a:rPr>
            <a:t>100,000  population</a:t>
          </a:r>
          <a:endParaRPr lang="en-GB" sz="700"/>
        </a:p>
        <a:p xmlns:a="http://schemas.openxmlformats.org/drawingml/2006/main">
          <a:pPr algn="ctr"/>
          <a:endParaRPr lang="en-GB" sz="700"/>
        </a:p>
      </cdr:txBody>
    </cdr:sp>
  </cdr:relSizeAnchor>
</c:userShapes>
</file>

<file path=word/drawings/drawing22.xml><?xml version="1.0" encoding="utf-8"?>
<c:userShapes xmlns:c="http://schemas.openxmlformats.org/drawingml/2006/chart">
  <cdr:relSizeAnchor xmlns:cdr="http://schemas.openxmlformats.org/drawingml/2006/chartDrawing">
    <cdr:from>
      <cdr:x>0</cdr:x>
      <cdr:y>0.11536</cdr:y>
    </cdr:from>
    <cdr:to>
      <cdr:x>0.1099</cdr:x>
      <cdr:y>0.73428</cdr:y>
    </cdr:to>
    <cdr:sp macro="" textlink="">
      <cdr:nvSpPr>
        <cdr:cNvPr id="2" name="TextBox 1"/>
        <cdr:cNvSpPr txBox="1"/>
      </cdr:nvSpPr>
      <cdr:spPr>
        <a:xfrm xmlns:a="http://schemas.openxmlformats.org/drawingml/2006/main" rot="-5400000">
          <a:off x="-1008823" y="1599816"/>
          <a:ext cx="3170372" cy="11527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GB" sz="700">
              <a:latin typeface="Calibri"/>
            </a:rPr>
            <a:t>Directly Standardised mortality Rate per </a:t>
          </a:r>
          <a:endParaRPr lang="en-GB" sz="700"/>
        </a:p>
        <a:p xmlns:a="http://schemas.openxmlformats.org/drawingml/2006/main">
          <a:pPr algn="ctr"/>
          <a:r>
            <a:rPr lang="en-GB" sz="700">
              <a:latin typeface="Calibri"/>
            </a:rPr>
            <a:t>100,000  population</a:t>
          </a:r>
          <a:endParaRPr lang="en-GB" sz="700"/>
        </a:p>
        <a:p xmlns:a="http://schemas.openxmlformats.org/drawingml/2006/main">
          <a:pPr algn="ctr"/>
          <a:endParaRPr lang="en-GB" sz="700"/>
        </a:p>
      </cdr:txBody>
    </cdr:sp>
  </cdr:relSizeAnchor>
</c:userShapes>
</file>

<file path=word/drawings/drawing23.xml><?xml version="1.0" encoding="utf-8"?>
<c:userShapes xmlns:c="http://schemas.openxmlformats.org/drawingml/2006/chart">
  <cdr:relSizeAnchor xmlns:cdr="http://schemas.openxmlformats.org/drawingml/2006/chartDrawing">
    <cdr:from>
      <cdr:x>3.15284E-7</cdr:x>
      <cdr:y>0.01296</cdr:y>
    </cdr:from>
    <cdr:to>
      <cdr:x>0.12795</cdr:x>
      <cdr:y>0.84904</cdr:y>
    </cdr:to>
    <cdr:sp macro="" textlink="">
      <cdr:nvSpPr>
        <cdr:cNvPr id="2" name="TextBox 1"/>
        <cdr:cNvSpPr txBox="1"/>
      </cdr:nvSpPr>
      <cdr:spPr>
        <a:xfrm xmlns:a="http://schemas.openxmlformats.org/drawingml/2006/main" rot="-5400000">
          <a:off x="-927160" y="974788"/>
          <a:ext cx="3071812" cy="12174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GB" sz="700">
              <a:latin typeface="Calibri"/>
            </a:rPr>
            <a:t>Directly Standardised mortality  Rate per </a:t>
          </a:r>
          <a:endParaRPr lang="en-GB" sz="700"/>
        </a:p>
        <a:p xmlns:a="http://schemas.openxmlformats.org/drawingml/2006/main">
          <a:pPr algn="ctr"/>
          <a:r>
            <a:rPr lang="en-GB" sz="700">
              <a:latin typeface="Calibri"/>
            </a:rPr>
            <a:t>100,000  population</a:t>
          </a:r>
          <a:endParaRPr lang="en-GB" sz="700"/>
        </a:p>
        <a:p xmlns:a="http://schemas.openxmlformats.org/drawingml/2006/main">
          <a:pPr algn="ctr"/>
          <a:endParaRPr lang="en-GB" sz="700"/>
        </a:p>
      </cdr:txBody>
    </cdr:sp>
  </cdr:relSizeAnchor>
</c:userShapes>
</file>

<file path=word/drawings/drawing24.xml><?xml version="1.0" encoding="utf-8"?>
<c:userShapes xmlns:c="http://schemas.openxmlformats.org/drawingml/2006/chart">
  <cdr:relSizeAnchor xmlns:cdr="http://schemas.openxmlformats.org/drawingml/2006/chartDrawing">
    <cdr:from>
      <cdr:x>0</cdr:x>
      <cdr:y>0.02951</cdr:y>
    </cdr:from>
    <cdr:to>
      <cdr:x>0.06061</cdr:x>
      <cdr:y>0.74132</cdr:y>
    </cdr:to>
    <cdr:sp macro="" textlink="">
      <cdr:nvSpPr>
        <cdr:cNvPr id="2" name="TextBox 1"/>
        <cdr:cNvSpPr txBox="1"/>
      </cdr:nvSpPr>
      <cdr:spPr>
        <a:xfrm xmlns:a="http://schemas.openxmlformats.org/drawingml/2006/main" rot="-5400000">
          <a:off x="-700093" y="781044"/>
          <a:ext cx="1952637" cy="55245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600"/>
            <a:t>Cancer Emergency Admissions per 100,000 population</a:t>
          </a:r>
        </a:p>
      </cdr:txBody>
    </cdr:sp>
  </cdr:relSizeAnchor>
</c:userShapes>
</file>

<file path=word/drawings/drawing25.xml><?xml version="1.0" encoding="utf-8"?>
<c:userShapes xmlns:c="http://schemas.openxmlformats.org/drawingml/2006/chart">
  <cdr:relSizeAnchor xmlns:cdr="http://schemas.openxmlformats.org/drawingml/2006/chartDrawing">
    <cdr:from>
      <cdr:x>0</cdr:x>
      <cdr:y>0.02951</cdr:y>
    </cdr:from>
    <cdr:to>
      <cdr:x>0.06479</cdr:x>
      <cdr:y>0.74132</cdr:y>
    </cdr:to>
    <cdr:sp macro="" textlink="">
      <cdr:nvSpPr>
        <cdr:cNvPr id="2" name="TextBox 1"/>
        <cdr:cNvSpPr txBox="1"/>
      </cdr:nvSpPr>
      <cdr:spPr>
        <a:xfrm xmlns:a="http://schemas.openxmlformats.org/drawingml/2006/main" rot="-5400000">
          <a:off x="-681043" y="761995"/>
          <a:ext cx="1952637" cy="59055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600"/>
            <a:t>Cancer Emergency Admissions per 100,000 population</a:t>
          </a:r>
        </a:p>
      </cdr:txBody>
    </cdr:sp>
  </cdr:relSizeAnchor>
</c:userShapes>
</file>

<file path=word/drawings/drawing26.xml><?xml version="1.0" encoding="utf-8"?>
<c:userShapes xmlns:c="http://schemas.openxmlformats.org/drawingml/2006/chart">
  <cdr:relSizeAnchor xmlns:cdr="http://schemas.openxmlformats.org/drawingml/2006/chartDrawing">
    <cdr:from>
      <cdr:x>0</cdr:x>
      <cdr:y>0.02951</cdr:y>
    </cdr:from>
    <cdr:to>
      <cdr:x>0.05747</cdr:x>
      <cdr:y>0.74132</cdr:y>
    </cdr:to>
    <cdr:sp macro="" textlink="">
      <cdr:nvSpPr>
        <cdr:cNvPr id="2" name="TextBox 1"/>
        <cdr:cNvSpPr txBox="1"/>
      </cdr:nvSpPr>
      <cdr:spPr>
        <a:xfrm xmlns:a="http://schemas.openxmlformats.org/drawingml/2006/main" rot="-5400000">
          <a:off x="-714380" y="795332"/>
          <a:ext cx="1952637" cy="5238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600"/>
            <a:t>Cancer Emergency Admissions per 100,000 population</a:t>
          </a:r>
        </a:p>
      </cdr:txBody>
    </cdr:sp>
  </cdr:relSizeAnchor>
</c:userShapes>
</file>

<file path=word/drawings/drawing27.xml><?xml version="1.0" encoding="utf-8"?>
<c:userShapes xmlns:c="http://schemas.openxmlformats.org/drawingml/2006/chart">
  <cdr:relSizeAnchor xmlns:cdr="http://schemas.openxmlformats.org/drawingml/2006/chartDrawing">
    <cdr:from>
      <cdr:x>0</cdr:x>
      <cdr:y>0.02951</cdr:y>
    </cdr:from>
    <cdr:to>
      <cdr:x>0.06061</cdr:x>
      <cdr:y>0.74132</cdr:y>
    </cdr:to>
    <cdr:sp macro="" textlink="">
      <cdr:nvSpPr>
        <cdr:cNvPr id="2" name="TextBox 1"/>
        <cdr:cNvSpPr txBox="1"/>
      </cdr:nvSpPr>
      <cdr:spPr>
        <a:xfrm xmlns:a="http://schemas.openxmlformats.org/drawingml/2006/main" rot="-5400000">
          <a:off x="-825523" y="916875"/>
          <a:ext cx="2203497" cy="55245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600"/>
            <a:t>Cancer Emergency Admissions per 100,000 population</a:t>
          </a:r>
        </a:p>
      </cdr:txBody>
    </cdr:sp>
  </cdr:relSizeAnchor>
</c:userShapes>
</file>

<file path=word/drawings/drawing28.xml><?xml version="1.0" encoding="utf-8"?>
<c:userShapes xmlns:c="http://schemas.openxmlformats.org/drawingml/2006/chart">
  <cdr:relSizeAnchor xmlns:cdr="http://schemas.openxmlformats.org/drawingml/2006/chartDrawing">
    <cdr:from>
      <cdr:x>0</cdr:x>
      <cdr:y>0.02951</cdr:y>
    </cdr:from>
    <cdr:to>
      <cdr:x>0.06792</cdr:x>
      <cdr:y>0.74132</cdr:y>
    </cdr:to>
    <cdr:sp macro="" textlink="">
      <cdr:nvSpPr>
        <cdr:cNvPr id="2" name="TextBox 1"/>
        <cdr:cNvSpPr txBox="1"/>
      </cdr:nvSpPr>
      <cdr:spPr>
        <a:xfrm xmlns:a="http://schemas.openxmlformats.org/drawingml/2006/main" rot="-5400000">
          <a:off x="-792185" y="883537"/>
          <a:ext cx="2203497" cy="6191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600"/>
            <a:t>Cancer Emergency Admissions per 100,000 population</a:t>
          </a:r>
        </a:p>
      </cdr:txBody>
    </cdr:sp>
  </cdr:relSizeAnchor>
</c:userShapes>
</file>

<file path=word/drawings/drawing29.xml><?xml version="1.0" encoding="utf-8"?>
<c:userShapes xmlns:c="http://schemas.openxmlformats.org/drawingml/2006/chart">
  <cdr:relSizeAnchor xmlns:cdr="http://schemas.openxmlformats.org/drawingml/2006/chartDrawing">
    <cdr:from>
      <cdr:x>0</cdr:x>
      <cdr:y>0</cdr:y>
    </cdr:from>
    <cdr:to>
      <cdr:x>0.10886</cdr:x>
      <cdr:y>0.93769</cdr:y>
    </cdr:to>
    <cdr:sp macro="" textlink="">
      <cdr:nvSpPr>
        <cdr:cNvPr id="2" name="TextBox 1"/>
        <cdr:cNvSpPr txBox="1"/>
      </cdr:nvSpPr>
      <cdr:spPr>
        <a:xfrm xmlns:a="http://schemas.openxmlformats.org/drawingml/2006/main" rot="-5400000">
          <a:off x="-1135856" y="1135856"/>
          <a:ext cx="2938462" cy="666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600"/>
            <a:t>Emergency bed days per 100,000 weighted population </a:t>
          </a:r>
        </a:p>
      </cdr:txBody>
    </cdr:sp>
  </cdr:relSizeAnchor>
  <cdr:relSizeAnchor xmlns:cdr="http://schemas.openxmlformats.org/drawingml/2006/chartDrawing">
    <cdr:from>
      <cdr:x>0.59409</cdr:x>
      <cdr:y>0.19087</cdr:y>
    </cdr:from>
    <cdr:to>
      <cdr:x>0.82426</cdr:x>
      <cdr:y>0.24558</cdr:y>
    </cdr:to>
    <cdr:sp macro="" textlink="">
      <cdr:nvSpPr>
        <cdr:cNvPr id="3" name="TextBox 2"/>
        <cdr:cNvSpPr txBox="1"/>
      </cdr:nvSpPr>
      <cdr:spPr>
        <a:xfrm xmlns:a="http://schemas.openxmlformats.org/drawingml/2006/main">
          <a:off x="3405033" y="559714"/>
          <a:ext cx="1319221" cy="16043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600"/>
            <a:t>National Average 374 per 100,000	</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0.06944</cdr:y>
    </cdr:from>
    <cdr:to>
      <cdr:x>0.07553</cdr:x>
      <cdr:y>0.80729</cdr:y>
    </cdr:to>
    <cdr:sp macro="" textlink="">
      <cdr:nvSpPr>
        <cdr:cNvPr id="2" name="TextBox 1"/>
        <cdr:cNvSpPr txBox="1"/>
      </cdr:nvSpPr>
      <cdr:spPr>
        <a:xfrm xmlns:a="http://schemas.openxmlformats.org/drawingml/2006/main" rot="-5400000">
          <a:off x="-823913" y="1014412"/>
          <a:ext cx="2024064" cy="37623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700"/>
            <a:t>Estimated percentage of adult population</a:t>
          </a:r>
        </a:p>
      </cdr:txBody>
    </cdr:sp>
  </cdr:relSizeAnchor>
</c:userShapes>
</file>

<file path=word/drawings/drawing30.xml><?xml version="1.0" encoding="utf-8"?>
<c:userShapes xmlns:c="http://schemas.openxmlformats.org/drawingml/2006/chart">
  <cdr:relSizeAnchor xmlns:cdr="http://schemas.openxmlformats.org/drawingml/2006/chartDrawing">
    <cdr:from>
      <cdr:x>1.52819E-7</cdr:x>
      <cdr:y>0.02951</cdr:y>
    </cdr:from>
    <cdr:to>
      <cdr:x>0.05531</cdr:x>
      <cdr:y>0.78744</cdr:y>
    </cdr:to>
    <cdr:sp macro="" textlink="">
      <cdr:nvSpPr>
        <cdr:cNvPr id="2" name="TextBox 1"/>
        <cdr:cNvSpPr txBox="1"/>
      </cdr:nvSpPr>
      <cdr:spPr>
        <a:xfrm xmlns:a="http://schemas.openxmlformats.org/drawingml/2006/main" rot="-5400000">
          <a:off x="-566219" y="624403"/>
          <a:ext cx="1494391" cy="36195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600"/>
            <a:t>Cancer Emergency Admissions per 100,000 population</a:t>
          </a:r>
        </a:p>
      </cdr:txBody>
    </cdr:sp>
  </cdr:relSizeAnchor>
</c:userShapes>
</file>

<file path=word/drawings/drawing31.xml><?xml version="1.0" encoding="utf-8"?>
<c:userShapes xmlns:c="http://schemas.openxmlformats.org/drawingml/2006/chart">
  <cdr:relSizeAnchor xmlns:cdr="http://schemas.openxmlformats.org/drawingml/2006/chartDrawing">
    <cdr:from>
      <cdr:x>0</cdr:x>
      <cdr:y>0.02951</cdr:y>
    </cdr:from>
    <cdr:to>
      <cdr:x>0.05603</cdr:x>
      <cdr:y>0.74132</cdr:y>
    </cdr:to>
    <cdr:sp macro="" textlink="">
      <cdr:nvSpPr>
        <cdr:cNvPr id="2" name="TextBox 1"/>
        <cdr:cNvSpPr txBox="1"/>
      </cdr:nvSpPr>
      <cdr:spPr>
        <a:xfrm xmlns:a="http://schemas.openxmlformats.org/drawingml/2006/main" rot="-5400000">
          <a:off x="-428303" y="479216"/>
          <a:ext cx="1228083" cy="3714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600"/>
            <a:t>Cancer Emergency Admissions per 100,000 population</a:t>
          </a:r>
        </a:p>
      </cdr:txBody>
    </cdr:sp>
  </cdr:relSizeAnchor>
</c:userShapes>
</file>

<file path=word/drawings/drawing32.xml><?xml version="1.0" encoding="utf-8"?>
<c:userShapes xmlns:c="http://schemas.openxmlformats.org/drawingml/2006/chart">
  <cdr:relSizeAnchor xmlns:cdr="http://schemas.openxmlformats.org/drawingml/2006/chartDrawing">
    <cdr:from>
      <cdr:x>0</cdr:x>
      <cdr:y>0.02951</cdr:y>
    </cdr:from>
    <cdr:to>
      <cdr:x>0.04965</cdr:x>
      <cdr:y>0.74132</cdr:y>
    </cdr:to>
    <cdr:sp macro="" textlink="">
      <cdr:nvSpPr>
        <cdr:cNvPr id="2" name="TextBox 1"/>
        <cdr:cNvSpPr txBox="1"/>
      </cdr:nvSpPr>
      <cdr:spPr>
        <a:xfrm xmlns:a="http://schemas.openxmlformats.org/drawingml/2006/main" rot="-5400000">
          <a:off x="-447353" y="498266"/>
          <a:ext cx="1228083" cy="3333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600"/>
            <a:t>Cancer Emergency Admissions per 100,000 population</a:t>
          </a:r>
        </a:p>
      </cdr:txBody>
    </cdr:sp>
  </cdr:relSizeAnchor>
</c:userShapes>
</file>

<file path=word/drawings/drawing33.xml><?xml version="1.0" encoding="utf-8"?>
<c:userShapes xmlns:c="http://schemas.openxmlformats.org/drawingml/2006/chart">
  <cdr:relSizeAnchor xmlns:cdr="http://schemas.openxmlformats.org/drawingml/2006/chartDrawing">
    <cdr:from>
      <cdr:x>0</cdr:x>
      <cdr:y>0.02951</cdr:y>
    </cdr:from>
    <cdr:to>
      <cdr:x>0.06688</cdr:x>
      <cdr:y>0.74132</cdr:y>
    </cdr:to>
    <cdr:sp macro="" textlink="">
      <cdr:nvSpPr>
        <cdr:cNvPr id="2" name="TextBox 1"/>
        <cdr:cNvSpPr txBox="1"/>
      </cdr:nvSpPr>
      <cdr:spPr>
        <a:xfrm xmlns:a="http://schemas.openxmlformats.org/drawingml/2006/main" rot="-5400000">
          <a:off x="-796948" y="888300"/>
          <a:ext cx="2203497" cy="60960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600"/>
            <a:t>Cancer Emergency Admissions per 100,000 population</a:t>
          </a:r>
        </a:p>
      </cdr:txBody>
    </cdr:sp>
  </cdr:relSizeAnchor>
</c:userShapes>
</file>

<file path=word/drawings/drawing34.xml><?xml version="1.0" encoding="utf-8"?>
<c:userShapes xmlns:c="http://schemas.openxmlformats.org/drawingml/2006/chart">
  <cdr:relSizeAnchor xmlns:cdr="http://schemas.openxmlformats.org/drawingml/2006/chartDrawing">
    <cdr:from>
      <cdr:x>0</cdr:x>
      <cdr:y>0.02951</cdr:y>
    </cdr:from>
    <cdr:to>
      <cdr:x>0.05747</cdr:x>
      <cdr:y>0.74132</cdr:y>
    </cdr:to>
    <cdr:sp macro="" textlink="">
      <cdr:nvSpPr>
        <cdr:cNvPr id="2" name="TextBox 1"/>
        <cdr:cNvSpPr txBox="1"/>
      </cdr:nvSpPr>
      <cdr:spPr>
        <a:xfrm xmlns:a="http://schemas.openxmlformats.org/drawingml/2006/main" rot="-5400000">
          <a:off x="-839810" y="931162"/>
          <a:ext cx="2203497" cy="5238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600"/>
            <a:t>Cancer Emergency Admissions per 100,000 population</a:t>
          </a:r>
        </a:p>
      </cdr:txBody>
    </cdr:sp>
  </cdr:relSizeAnchor>
</c:userShapes>
</file>

<file path=word/drawings/drawing35.xml><?xml version="1.0" encoding="utf-8"?>
<c:userShapes xmlns:c="http://schemas.openxmlformats.org/drawingml/2006/chart">
  <cdr:relSizeAnchor xmlns:cdr="http://schemas.openxmlformats.org/drawingml/2006/chartDrawing">
    <cdr:from>
      <cdr:x>0</cdr:x>
      <cdr:y>0</cdr:y>
    </cdr:from>
    <cdr:to>
      <cdr:x>0.10886</cdr:x>
      <cdr:y>0.93769</cdr:y>
    </cdr:to>
    <cdr:sp macro="" textlink="">
      <cdr:nvSpPr>
        <cdr:cNvPr id="2" name="TextBox 1"/>
        <cdr:cNvSpPr txBox="1"/>
      </cdr:nvSpPr>
      <cdr:spPr>
        <a:xfrm xmlns:a="http://schemas.openxmlformats.org/drawingml/2006/main" rot="-5400000">
          <a:off x="-1135856" y="1135856"/>
          <a:ext cx="2938462" cy="666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600"/>
            <a:t>Percentage of diagnosed cases from non-urgent referrals</a:t>
          </a:r>
        </a:p>
      </cdr:txBody>
    </cdr:sp>
  </cdr:relSizeAnchor>
  <cdr:relSizeAnchor xmlns:cdr="http://schemas.openxmlformats.org/drawingml/2006/chartDrawing">
    <cdr:from>
      <cdr:x>0.49612</cdr:x>
      <cdr:y>0.24085</cdr:y>
    </cdr:from>
    <cdr:to>
      <cdr:x>0.72629</cdr:x>
      <cdr:y>0.29556</cdr:y>
    </cdr:to>
    <cdr:sp macro="" textlink="">
      <cdr:nvSpPr>
        <cdr:cNvPr id="3" name="TextBox 1"/>
        <cdr:cNvSpPr txBox="1"/>
      </cdr:nvSpPr>
      <cdr:spPr>
        <a:xfrm xmlns:a="http://schemas.openxmlformats.org/drawingml/2006/main">
          <a:off x="2843517" y="541404"/>
          <a:ext cx="1319221" cy="12298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GB" sz="600"/>
            <a:t>National Average 46.0%	</a:t>
          </a:r>
        </a:p>
      </cdr:txBody>
    </cdr:sp>
  </cdr:relSizeAnchor>
</c:userShapes>
</file>

<file path=word/drawings/drawing36.xml><?xml version="1.0" encoding="utf-8"?>
<c:userShapes xmlns:c="http://schemas.openxmlformats.org/drawingml/2006/chart">
  <cdr:relSizeAnchor xmlns:cdr="http://schemas.openxmlformats.org/drawingml/2006/chartDrawing">
    <cdr:from>
      <cdr:x>0</cdr:x>
      <cdr:y>0</cdr:y>
    </cdr:from>
    <cdr:to>
      <cdr:x>0.05313</cdr:x>
      <cdr:y>0.93548</cdr:y>
    </cdr:to>
    <cdr:sp macro="" textlink="">
      <cdr:nvSpPr>
        <cdr:cNvPr id="2" name="TextBox 1"/>
        <cdr:cNvSpPr txBox="1"/>
      </cdr:nvSpPr>
      <cdr:spPr>
        <a:xfrm xmlns:a="http://schemas.openxmlformats.org/drawingml/2006/main" rot="-5400000">
          <a:off x="-1357313" y="1357313"/>
          <a:ext cx="3038476" cy="3238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600"/>
            <a:t>Percentage of urgent 2 week referrrals with cancer diagnosis</a:t>
          </a:r>
        </a:p>
      </cdr:txBody>
    </cdr:sp>
  </cdr:relSizeAnchor>
  <cdr:relSizeAnchor xmlns:cdr="http://schemas.openxmlformats.org/drawingml/2006/chartDrawing">
    <cdr:from>
      <cdr:x>0.55625</cdr:x>
      <cdr:y>0.20767</cdr:y>
    </cdr:from>
    <cdr:to>
      <cdr:x>0.7875</cdr:x>
      <cdr:y>0.26046</cdr:y>
    </cdr:to>
    <cdr:sp macro="" textlink="">
      <cdr:nvSpPr>
        <cdr:cNvPr id="3" name="TextBox 1"/>
        <cdr:cNvSpPr txBox="1"/>
      </cdr:nvSpPr>
      <cdr:spPr>
        <a:xfrm xmlns:a="http://schemas.openxmlformats.org/drawingml/2006/main">
          <a:off x="3390930" y="634956"/>
          <a:ext cx="1409700" cy="16140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GB" sz="600"/>
            <a:t>National Average 8.8%	</a:t>
          </a: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0.1875</cdr:y>
    </cdr:from>
    <cdr:to>
      <cdr:x>0.04012</cdr:x>
      <cdr:y>0.77826</cdr:y>
    </cdr:to>
    <cdr:sp macro="" textlink="">
      <cdr:nvSpPr>
        <cdr:cNvPr id="2" name="TextBox 1"/>
        <cdr:cNvSpPr txBox="1"/>
      </cdr:nvSpPr>
      <cdr:spPr>
        <a:xfrm xmlns:a="http://schemas.openxmlformats.org/drawingml/2006/main" rot="-5400000">
          <a:off x="-681706" y="1196056"/>
          <a:ext cx="1620583" cy="25717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GB" sz="700"/>
            <a:t>Age standardised incidence rate per 100,000 population</a:t>
          </a: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0.0642</cdr:y>
    </cdr:from>
    <cdr:to>
      <cdr:x>0.10706</cdr:x>
      <cdr:y>0.61096</cdr:y>
    </cdr:to>
    <cdr:sp macro="" textlink="">
      <cdr:nvSpPr>
        <cdr:cNvPr id="2" name="TextBox 1"/>
        <cdr:cNvSpPr txBox="1"/>
      </cdr:nvSpPr>
      <cdr:spPr>
        <a:xfrm xmlns:a="http://schemas.openxmlformats.org/drawingml/2006/main" rot="-5400000">
          <a:off x="-1326465" y="1772484"/>
          <a:ext cx="3798831" cy="114590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600"/>
            <a:t>Percentage of total population</a:t>
          </a:r>
        </a:p>
      </cdr:txBody>
    </cdr:sp>
  </cdr:relSizeAnchor>
</c:userShapes>
</file>

<file path=word/drawings/drawing6.xml><?xml version="1.0" encoding="utf-8"?>
<c:userShapes xmlns:c="http://schemas.openxmlformats.org/drawingml/2006/chart">
  <cdr:relSizeAnchor xmlns:cdr="http://schemas.openxmlformats.org/drawingml/2006/chartDrawing">
    <cdr:from>
      <cdr:x>1.441E-7</cdr:x>
      <cdr:y>0.20485</cdr:y>
    </cdr:from>
    <cdr:to>
      <cdr:x>0.06536</cdr:x>
      <cdr:y>0.7938</cdr:y>
    </cdr:to>
    <cdr:sp macro="" textlink="">
      <cdr:nvSpPr>
        <cdr:cNvPr id="2" name="TextBox 1"/>
        <cdr:cNvSpPr txBox="1"/>
      </cdr:nvSpPr>
      <cdr:spPr>
        <a:xfrm xmlns:a="http://schemas.openxmlformats.org/drawingml/2006/main" rot="-5400000">
          <a:off x="-1012041" y="1873828"/>
          <a:ext cx="2477630" cy="45354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GB" sz="700"/>
            <a:t>Percentage</a:t>
          </a:r>
          <a:r>
            <a:rPr lang="en-GB" sz="700" baseline="0"/>
            <a:t> of total population</a:t>
          </a:r>
          <a:endParaRPr lang="en-GB" sz="700"/>
        </a:p>
      </cdr:txBody>
    </cdr:sp>
  </cdr:relSizeAnchor>
</c:userShapes>
</file>

<file path=word/drawings/drawing7.xml><?xml version="1.0" encoding="utf-8"?>
<c:userShapes xmlns:c="http://schemas.openxmlformats.org/drawingml/2006/chart">
  <cdr:relSizeAnchor xmlns:cdr="http://schemas.openxmlformats.org/drawingml/2006/chartDrawing">
    <cdr:from>
      <cdr:x>0.0008</cdr:x>
      <cdr:y>0.04861</cdr:y>
    </cdr:from>
    <cdr:to>
      <cdr:x>0.05183</cdr:x>
      <cdr:y>0.69271</cdr:y>
    </cdr:to>
    <cdr:sp macro="" textlink="">
      <cdr:nvSpPr>
        <cdr:cNvPr id="2" name="TextBox 1"/>
        <cdr:cNvSpPr txBox="1"/>
      </cdr:nvSpPr>
      <cdr:spPr>
        <a:xfrm xmlns:a="http://schemas.openxmlformats.org/drawingml/2006/main" rot="-5400000">
          <a:off x="-726280" y="864393"/>
          <a:ext cx="1766888"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700"/>
            <a:t>Estimated percentage of population</a:t>
          </a:r>
        </a:p>
      </cdr:txBody>
    </cdr:sp>
  </cdr:relSizeAnchor>
</c:userShapes>
</file>

<file path=word/drawings/drawing8.xml><?xml version="1.0" encoding="utf-8"?>
<c:userShapes xmlns:c="http://schemas.openxmlformats.org/drawingml/2006/chart">
  <cdr:relSizeAnchor xmlns:cdr="http://schemas.openxmlformats.org/drawingml/2006/chartDrawing">
    <cdr:from>
      <cdr:x>0</cdr:x>
      <cdr:y>0.12674</cdr:y>
    </cdr:from>
    <cdr:to>
      <cdr:x>0.07006</cdr:x>
      <cdr:y>0.81076</cdr:y>
    </cdr:to>
    <cdr:sp macro="" textlink="">
      <cdr:nvSpPr>
        <cdr:cNvPr id="2" name="TextBox 1"/>
        <cdr:cNvSpPr txBox="1"/>
      </cdr:nvSpPr>
      <cdr:spPr>
        <a:xfrm xmlns:a="http://schemas.openxmlformats.org/drawingml/2006/main" rot="-5400000">
          <a:off x="-728663" y="1076325"/>
          <a:ext cx="1876425" cy="4191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700"/>
            <a:t>Percentage</a:t>
          </a:r>
          <a:r>
            <a:rPr lang="en-GB" sz="700" baseline="0"/>
            <a:t> Uptake (%)</a:t>
          </a:r>
          <a:endParaRPr lang="en-GB" sz="700"/>
        </a:p>
      </cdr:txBody>
    </cdr:sp>
  </cdr:relSizeAnchor>
</c:userShapes>
</file>

<file path=word/drawings/drawing9.xml><?xml version="1.0" encoding="utf-8"?>
<c:userShapes xmlns:c="http://schemas.openxmlformats.org/drawingml/2006/chart">
  <cdr:relSizeAnchor xmlns:cdr="http://schemas.openxmlformats.org/drawingml/2006/chartDrawing">
    <cdr:from>
      <cdr:x>0</cdr:x>
      <cdr:y>0</cdr:y>
    </cdr:from>
    <cdr:to>
      <cdr:x>0</cdr:x>
      <cdr:y>0</cdr:y>
    </cdr:to>
    <cdr:sp macro="" textlink="">
      <cdr:nvSpPr>
        <cdr:cNvPr id="2" name="TextBox 1"/>
        <cdr:cNvSpPr txBox="1"/>
      </cdr:nvSpPr>
      <cdr:spPr>
        <a:xfrm xmlns:a="http://schemas.openxmlformats.org/drawingml/2006/main" rot="-5400000">
          <a:off x="-1348381" y="1348381"/>
          <a:ext cx="3411141" cy="7143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a:p>
      </cdr:txBody>
    </cdr:sp>
  </cdr:relSizeAnchor>
  <cdr:relSizeAnchor xmlns:cdr="http://schemas.openxmlformats.org/drawingml/2006/chartDrawing">
    <cdr:from>
      <cdr:x>0</cdr:x>
      <cdr:y>0</cdr:y>
    </cdr:from>
    <cdr:to>
      <cdr:x>0</cdr:x>
      <cdr:y>0</cdr:y>
    </cdr:to>
    <cdr:sp macro="" textlink="">
      <cdr:nvSpPr>
        <cdr:cNvPr id="3" name="TextBox 2"/>
        <cdr:cNvSpPr txBox="1"/>
      </cdr:nvSpPr>
      <cdr:spPr>
        <a:xfrm xmlns:a="http://schemas.openxmlformats.org/drawingml/2006/main" rot="-5400000">
          <a:off x="-1223365" y="1240035"/>
          <a:ext cx="3256359" cy="8096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a:p>
      </cdr:txBody>
    </cdr:sp>
  </cdr:relSizeAnchor>
  <cdr:relSizeAnchor xmlns:cdr="http://schemas.openxmlformats.org/drawingml/2006/chartDrawing">
    <cdr:from>
      <cdr:x>0</cdr:x>
      <cdr:y>0.04236</cdr:y>
    </cdr:from>
    <cdr:to>
      <cdr:x>0.1049</cdr:x>
      <cdr:y>0.83862</cdr:y>
    </cdr:to>
    <cdr:sp macro="" textlink="">
      <cdr:nvSpPr>
        <cdr:cNvPr id="4" name="TextBox 3"/>
        <cdr:cNvSpPr txBox="1"/>
      </cdr:nvSpPr>
      <cdr:spPr>
        <a:xfrm xmlns:a="http://schemas.openxmlformats.org/drawingml/2006/main" rot="-5400000">
          <a:off x="-1021032" y="1183653"/>
          <a:ext cx="3056479" cy="10144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700">
              <a:latin typeface="+mn-lt"/>
              <a:ea typeface="+mn-ea"/>
              <a:cs typeface="+mn-cs"/>
            </a:rPr>
            <a:t>Directly Standardised Incidence  Rate per </a:t>
          </a:r>
          <a:endParaRPr lang="en-GB" sz="700"/>
        </a:p>
        <a:p xmlns:a="http://schemas.openxmlformats.org/drawingml/2006/main">
          <a:pPr algn="ctr"/>
          <a:r>
            <a:rPr lang="en-GB" sz="700">
              <a:latin typeface="+mn-lt"/>
              <a:ea typeface="+mn-ea"/>
              <a:cs typeface="+mn-cs"/>
            </a:rPr>
            <a:t>100,000  population</a:t>
          </a:r>
          <a:endParaRPr lang="en-GB" sz="700"/>
        </a:p>
        <a:p xmlns:a="http://schemas.openxmlformats.org/drawingml/2006/main">
          <a:pPr algn="ctr"/>
          <a:endParaRPr lang="en-GB" sz="7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1955C6-F128-4D5A-95A1-49325CFE4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18364</Words>
  <Characters>104680</Characters>
  <Application>Microsoft Office Word</Application>
  <DocSecurity>0</DocSecurity>
  <Lines>872</Lines>
  <Paragraphs>245</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122799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dthomas</dc:creator>
  <cp:keywords/>
  <dc:description/>
  <cp:lastModifiedBy>Acranston</cp:lastModifiedBy>
  <cp:revision>3</cp:revision>
  <cp:lastPrinted>2010-11-19T15:41:00Z</cp:lastPrinted>
  <dcterms:created xsi:type="dcterms:W3CDTF">2010-11-19T15:46:00Z</dcterms:created>
  <dcterms:modified xsi:type="dcterms:W3CDTF">2011-02-01T16:12:00Z</dcterms:modified>
</cp:coreProperties>
</file>