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CA" w:rsidRDefault="007B66CA" w:rsidP="00770E50">
      <w:pPr>
        <w:pStyle w:val="Heading3"/>
      </w:pPr>
    </w:p>
    <w:p w:rsidR="00A92E0E" w:rsidRPr="00A92E0E" w:rsidRDefault="00A92E0E" w:rsidP="00A92E0E"/>
    <w:p w:rsidR="00A811A4" w:rsidRPr="00433711" w:rsidRDefault="00A811A4" w:rsidP="00575DB3">
      <w:pPr>
        <w:spacing w:after="0"/>
        <w:rPr>
          <w:sz w:val="48"/>
          <w:szCs w:val="48"/>
        </w:rPr>
      </w:pPr>
    </w:p>
    <w:p w:rsidR="00A811A4" w:rsidRPr="00433711" w:rsidRDefault="00A811A4" w:rsidP="00575DB3">
      <w:pPr>
        <w:spacing w:after="0"/>
        <w:rPr>
          <w:sz w:val="48"/>
          <w:szCs w:val="48"/>
        </w:rPr>
      </w:pPr>
    </w:p>
    <w:p w:rsidR="009922E0" w:rsidRPr="00332537" w:rsidRDefault="00655A4D" w:rsidP="00A82EAC">
      <w:pPr>
        <w:pStyle w:val="Heading1"/>
        <w:rPr>
          <w:b w:val="0"/>
          <w:sz w:val="36"/>
          <w:szCs w:val="36"/>
        </w:rPr>
      </w:pPr>
      <w:r w:rsidRPr="00332537">
        <w:rPr>
          <w:b w:val="0"/>
          <w:sz w:val="36"/>
          <w:szCs w:val="36"/>
        </w:rPr>
        <w:t>COPD in Wandsworth</w:t>
      </w:r>
      <w:r w:rsidR="009922E0" w:rsidRPr="00332537">
        <w:rPr>
          <w:b w:val="0"/>
          <w:sz w:val="36"/>
          <w:szCs w:val="36"/>
        </w:rPr>
        <w:t xml:space="preserve">: </w:t>
      </w:r>
    </w:p>
    <w:p w:rsidR="00865408" w:rsidRDefault="00655A4D" w:rsidP="00A82EAC">
      <w:pPr>
        <w:pStyle w:val="Heading1"/>
        <w:rPr>
          <w:b w:val="0"/>
          <w:sz w:val="36"/>
          <w:szCs w:val="36"/>
        </w:rPr>
      </w:pPr>
      <w:r w:rsidRPr="00332537">
        <w:rPr>
          <w:b w:val="0"/>
          <w:sz w:val="36"/>
          <w:szCs w:val="36"/>
        </w:rPr>
        <w:t>Health Needs Assessment</w:t>
      </w:r>
      <w:r w:rsidR="00865408">
        <w:rPr>
          <w:b w:val="0"/>
          <w:sz w:val="36"/>
          <w:szCs w:val="36"/>
        </w:rPr>
        <w:t xml:space="preserve"> </w:t>
      </w:r>
    </w:p>
    <w:p w:rsidR="00655A4D" w:rsidRPr="00332537" w:rsidRDefault="00655A4D" w:rsidP="00A82EAC">
      <w:pPr>
        <w:pStyle w:val="Heading1"/>
        <w:rPr>
          <w:b w:val="0"/>
          <w:sz w:val="36"/>
          <w:szCs w:val="36"/>
        </w:rPr>
      </w:pPr>
    </w:p>
    <w:p w:rsidR="00A811A4" w:rsidRPr="00433711" w:rsidRDefault="00A811A4" w:rsidP="00575DB3">
      <w:pPr>
        <w:spacing w:after="0"/>
      </w:pPr>
    </w:p>
    <w:p w:rsidR="00A811A4" w:rsidRPr="00433711" w:rsidRDefault="00A811A4" w:rsidP="00575DB3">
      <w:pPr>
        <w:spacing w:after="0"/>
      </w:pPr>
    </w:p>
    <w:p w:rsidR="00A811A4" w:rsidRPr="00433711" w:rsidRDefault="00A811A4" w:rsidP="00575DB3">
      <w:pPr>
        <w:spacing w:after="0"/>
      </w:pPr>
    </w:p>
    <w:p w:rsidR="00A811A4" w:rsidRPr="00433711" w:rsidRDefault="00A811A4" w:rsidP="00575DB3">
      <w:pPr>
        <w:spacing w:after="0"/>
      </w:pPr>
    </w:p>
    <w:p w:rsidR="00A811A4" w:rsidRPr="00433711" w:rsidRDefault="00A811A4" w:rsidP="00575DB3">
      <w:pPr>
        <w:spacing w:after="0"/>
      </w:pPr>
    </w:p>
    <w:p w:rsidR="00A811A4" w:rsidRPr="00433711" w:rsidRDefault="00A811A4" w:rsidP="00575DB3">
      <w:pPr>
        <w:spacing w:after="0"/>
      </w:pPr>
    </w:p>
    <w:p w:rsidR="00A811A4" w:rsidRPr="00433711" w:rsidRDefault="00A811A4" w:rsidP="00575DB3">
      <w:pPr>
        <w:spacing w:after="0"/>
      </w:pPr>
    </w:p>
    <w:p w:rsidR="00A811A4" w:rsidRPr="00433711" w:rsidRDefault="00A811A4" w:rsidP="00575DB3">
      <w:pPr>
        <w:spacing w:after="0"/>
      </w:pPr>
    </w:p>
    <w:p w:rsidR="00E9503A" w:rsidRDefault="00E9503A" w:rsidP="00575DB3">
      <w:pPr>
        <w:spacing w:after="0"/>
      </w:pPr>
    </w:p>
    <w:p w:rsidR="00E9503A" w:rsidRDefault="00E9503A" w:rsidP="00575DB3">
      <w:pPr>
        <w:spacing w:after="0"/>
      </w:pPr>
    </w:p>
    <w:p w:rsidR="00E9503A" w:rsidRPr="00433711" w:rsidRDefault="00E9503A" w:rsidP="00575DB3">
      <w:pPr>
        <w:spacing w:after="0"/>
      </w:pPr>
    </w:p>
    <w:p w:rsidR="00A811A4" w:rsidRPr="00433711" w:rsidRDefault="00A811A4" w:rsidP="00575DB3">
      <w:pPr>
        <w:spacing w:after="0"/>
      </w:pPr>
    </w:p>
    <w:p w:rsidR="007B66CA" w:rsidRDefault="007B66CA" w:rsidP="00770E50">
      <w:pPr>
        <w:pStyle w:val="Heading3"/>
      </w:pPr>
    </w:p>
    <w:p w:rsidR="007B66CA" w:rsidRDefault="009922E0" w:rsidP="009922E0">
      <w:r>
        <w:t>Felix Greaves</w:t>
      </w:r>
    </w:p>
    <w:p w:rsidR="009922E0" w:rsidRDefault="009922E0" w:rsidP="009922E0">
      <w:r>
        <w:t>Josephine Ruwende</w:t>
      </w:r>
    </w:p>
    <w:p w:rsidR="009922E0" w:rsidRPr="009922E0" w:rsidRDefault="009922E0" w:rsidP="009922E0">
      <w:r>
        <w:t>May 2010</w:t>
      </w:r>
    </w:p>
    <w:p w:rsidR="007B66CA" w:rsidRDefault="007B66CA" w:rsidP="00770E50">
      <w:pPr>
        <w:pStyle w:val="Heading3"/>
      </w:pPr>
    </w:p>
    <w:sdt>
      <w:sdtPr>
        <w:rPr>
          <w:rFonts w:asciiTheme="minorHAnsi" w:eastAsiaTheme="minorHAnsi" w:hAnsiTheme="minorHAnsi" w:cstheme="minorBidi"/>
          <w:b w:val="0"/>
          <w:bCs w:val="0"/>
          <w:color w:val="auto"/>
          <w:sz w:val="22"/>
          <w:szCs w:val="22"/>
          <w:lang w:val="en-GB"/>
        </w:rPr>
        <w:id w:val="95114190"/>
        <w:docPartObj>
          <w:docPartGallery w:val="Table of Contents"/>
          <w:docPartUnique/>
        </w:docPartObj>
      </w:sdtPr>
      <w:sdtContent>
        <w:p w:rsidR="00A811A4" w:rsidRDefault="00A811A4" w:rsidP="00575DB3">
          <w:pPr>
            <w:pStyle w:val="TOCHeading"/>
            <w:spacing w:before="0"/>
            <w:rPr>
              <w:rFonts w:asciiTheme="minorHAnsi" w:eastAsiaTheme="minorHAnsi" w:hAnsiTheme="minorHAnsi" w:cstheme="minorBidi"/>
              <w:b w:val="0"/>
              <w:bCs w:val="0"/>
              <w:color w:val="auto"/>
              <w:sz w:val="22"/>
              <w:szCs w:val="22"/>
              <w:lang w:val="en-GB"/>
            </w:rPr>
          </w:pPr>
        </w:p>
        <w:p w:rsidR="00A811A4" w:rsidRPr="00433711" w:rsidRDefault="00A811A4" w:rsidP="00575DB3">
          <w:pPr>
            <w:spacing w:after="0"/>
          </w:pPr>
          <w:r w:rsidRPr="00433711">
            <w:br w:type="page"/>
          </w:r>
        </w:p>
        <w:p w:rsidR="007B66CA" w:rsidRDefault="007B66CA" w:rsidP="00575DB3">
          <w:pPr>
            <w:pStyle w:val="TOCHeading"/>
            <w:spacing w:before="0"/>
          </w:pPr>
          <w:r>
            <w:lastRenderedPageBreak/>
            <w:t>Contents</w:t>
          </w:r>
        </w:p>
        <w:p w:rsidR="00510BFE" w:rsidRDefault="00924AF3">
          <w:pPr>
            <w:pStyle w:val="TOC1"/>
            <w:tabs>
              <w:tab w:val="right" w:leader="dot" w:pos="9016"/>
            </w:tabs>
            <w:rPr>
              <w:rFonts w:eastAsia="SimSun"/>
              <w:noProof/>
              <w:lang w:eastAsia="zh-CN"/>
            </w:rPr>
          </w:pPr>
          <w:r w:rsidRPr="00433711">
            <w:fldChar w:fldCharType="begin"/>
          </w:r>
          <w:r w:rsidR="007B66CA" w:rsidRPr="00433711">
            <w:instrText xml:space="preserve"> TOC \o "1-3" \h \z \u </w:instrText>
          </w:r>
          <w:r w:rsidRPr="00433711">
            <w:fldChar w:fldCharType="separate"/>
          </w:r>
          <w:hyperlink w:anchor="_Toc256345712" w:history="1">
            <w:r w:rsidR="00510BFE" w:rsidRPr="00F928E2">
              <w:rPr>
                <w:rStyle w:val="Hyperlink"/>
                <w:noProof/>
              </w:rPr>
              <w:t>Executive Summary</w:t>
            </w:r>
            <w:r w:rsidR="00510BFE">
              <w:rPr>
                <w:noProof/>
                <w:webHidden/>
              </w:rPr>
              <w:tab/>
            </w:r>
            <w:r>
              <w:rPr>
                <w:noProof/>
                <w:webHidden/>
              </w:rPr>
              <w:fldChar w:fldCharType="begin"/>
            </w:r>
            <w:r w:rsidR="00510BFE">
              <w:rPr>
                <w:noProof/>
                <w:webHidden/>
              </w:rPr>
              <w:instrText xml:space="preserve"> PAGEREF _Toc256345712 \h </w:instrText>
            </w:r>
            <w:r>
              <w:rPr>
                <w:noProof/>
                <w:webHidden/>
              </w:rPr>
            </w:r>
            <w:r>
              <w:rPr>
                <w:noProof/>
                <w:webHidden/>
              </w:rPr>
              <w:fldChar w:fldCharType="separate"/>
            </w:r>
            <w:r w:rsidR="00A82EAC">
              <w:rPr>
                <w:noProof/>
                <w:webHidden/>
              </w:rPr>
              <w:t>3</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14" w:history="1">
            <w:r w:rsidR="00510BFE" w:rsidRPr="00F928E2">
              <w:rPr>
                <w:rStyle w:val="Hyperlink"/>
                <w:noProof/>
              </w:rPr>
              <w:t>Aim:</w:t>
            </w:r>
            <w:r w:rsidR="00510BFE">
              <w:rPr>
                <w:noProof/>
                <w:webHidden/>
              </w:rPr>
              <w:tab/>
            </w:r>
            <w:r>
              <w:rPr>
                <w:noProof/>
                <w:webHidden/>
              </w:rPr>
              <w:fldChar w:fldCharType="begin"/>
            </w:r>
            <w:r w:rsidR="00510BFE">
              <w:rPr>
                <w:noProof/>
                <w:webHidden/>
              </w:rPr>
              <w:instrText xml:space="preserve"> PAGEREF _Toc256345714 \h </w:instrText>
            </w:r>
            <w:r>
              <w:rPr>
                <w:noProof/>
                <w:webHidden/>
              </w:rPr>
            </w:r>
            <w:r>
              <w:rPr>
                <w:noProof/>
                <w:webHidden/>
              </w:rPr>
              <w:fldChar w:fldCharType="separate"/>
            </w:r>
            <w:r w:rsidR="00A82EAC">
              <w:rPr>
                <w:noProof/>
                <w:webHidden/>
              </w:rPr>
              <w:t>4</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16" w:history="1">
            <w:r w:rsidR="00510BFE" w:rsidRPr="00F928E2">
              <w:rPr>
                <w:rStyle w:val="Hyperlink"/>
                <w:noProof/>
              </w:rPr>
              <w:t>Background</w:t>
            </w:r>
            <w:r w:rsidR="00510BFE">
              <w:rPr>
                <w:noProof/>
                <w:webHidden/>
              </w:rPr>
              <w:tab/>
            </w:r>
            <w:r>
              <w:rPr>
                <w:noProof/>
                <w:webHidden/>
              </w:rPr>
              <w:fldChar w:fldCharType="begin"/>
            </w:r>
            <w:r w:rsidR="00510BFE">
              <w:rPr>
                <w:noProof/>
                <w:webHidden/>
              </w:rPr>
              <w:instrText xml:space="preserve"> PAGEREF _Toc256345716 \h </w:instrText>
            </w:r>
            <w:r>
              <w:rPr>
                <w:noProof/>
                <w:webHidden/>
              </w:rPr>
            </w:r>
            <w:r>
              <w:rPr>
                <w:noProof/>
                <w:webHidden/>
              </w:rPr>
              <w:fldChar w:fldCharType="separate"/>
            </w:r>
            <w:r w:rsidR="00A82EAC">
              <w:rPr>
                <w:noProof/>
                <w:webHidden/>
              </w:rPr>
              <w:t>5</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17" w:history="1">
            <w:r w:rsidR="00510BFE">
              <w:rPr>
                <w:rStyle w:val="Hyperlink"/>
                <w:noProof/>
              </w:rPr>
              <w:t>COPD definition,</w:t>
            </w:r>
            <w:r w:rsidR="00510BFE" w:rsidRPr="00F928E2">
              <w:rPr>
                <w:rStyle w:val="Hyperlink"/>
                <w:noProof/>
              </w:rPr>
              <w:t xml:space="preserve"> natural history</w:t>
            </w:r>
            <w:r w:rsidR="00510BFE">
              <w:rPr>
                <w:rStyle w:val="Hyperlink"/>
                <w:noProof/>
              </w:rPr>
              <w:t xml:space="preserve"> and burden of disease</w:t>
            </w:r>
            <w:r w:rsidR="00510BFE">
              <w:rPr>
                <w:noProof/>
                <w:webHidden/>
              </w:rPr>
              <w:tab/>
            </w:r>
            <w:r>
              <w:rPr>
                <w:noProof/>
                <w:webHidden/>
              </w:rPr>
              <w:fldChar w:fldCharType="begin"/>
            </w:r>
            <w:r w:rsidR="00510BFE">
              <w:rPr>
                <w:noProof/>
                <w:webHidden/>
              </w:rPr>
              <w:instrText xml:space="preserve"> PAGEREF _Toc256345717 \h </w:instrText>
            </w:r>
            <w:r>
              <w:rPr>
                <w:noProof/>
                <w:webHidden/>
              </w:rPr>
            </w:r>
            <w:r>
              <w:rPr>
                <w:noProof/>
                <w:webHidden/>
              </w:rPr>
              <w:fldChar w:fldCharType="separate"/>
            </w:r>
            <w:r w:rsidR="00A82EAC">
              <w:rPr>
                <w:noProof/>
                <w:webHidden/>
              </w:rPr>
              <w:t>5</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18" w:history="1">
            <w:r w:rsidR="00510BFE" w:rsidRPr="00F928E2">
              <w:rPr>
                <w:rStyle w:val="Hyperlink"/>
                <w:noProof/>
              </w:rPr>
              <w:t>Global burden</w:t>
            </w:r>
            <w:r w:rsidR="00510BFE">
              <w:rPr>
                <w:noProof/>
                <w:webHidden/>
              </w:rPr>
              <w:tab/>
            </w:r>
            <w:r>
              <w:rPr>
                <w:noProof/>
                <w:webHidden/>
              </w:rPr>
              <w:fldChar w:fldCharType="begin"/>
            </w:r>
            <w:r w:rsidR="00510BFE">
              <w:rPr>
                <w:noProof/>
                <w:webHidden/>
              </w:rPr>
              <w:instrText xml:space="preserve"> PAGEREF _Toc256345718 \h </w:instrText>
            </w:r>
            <w:r>
              <w:rPr>
                <w:noProof/>
                <w:webHidden/>
              </w:rPr>
            </w:r>
            <w:r>
              <w:rPr>
                <w:noProof/>
                <w:webHidden/>
              </w:rPr>
              <w:fldChar w:fldCharType="separate"/>
            </w:r>
            <w:r w:rsidR="00A82EAC">
              <w:rPr>
                <w:noProof/>
                <w:webHidden/>
              </w:rPr>
              <w:t>5</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21" w:history="1">
            <w:r w:rsidR="00510BFE" w:rsidRPr="00F928E2">
              <w:rPr>
                <w:rStyle w:val="Hyperlink"/>
                <w:noProof/>
              </w:rPr>
              <w:t>Diagnosis</w:t>
            </w:r>
            <w:r w:rsidR="00510BFE">
              <w:rPr>
                <w:noProof/>
                <w:webHidden/>
              </w:rPr>
              <w:tab/>
            </w:r>
            <w:r>
              <w:rPr>
                <w:noProof/>
                <w:webHidden/>
              </w:rPr>
              <w:fldChar w:fldCharType="begin"/>
            </w:r>
            <w:r w:rsidR="00510BFE">
              <w:rPr>
                <w:noProof/>
                <w:webHidden/>
              </w:rPr>
              <w:instrText xml:space="preserve"> PAGEREF _Toc256345721 \h </w:instrText>
            </w:r>
            <w:r>
              <w:rPr>
                <w:noProof/>
                <w:webHidden/>
              </w:rPr>
            </w:r>
            <w:r>
              <w:rPr>
                <w:noProof/>
                <w:webHidden/>
              </w:rPr>
              <w:fldChar w:fldCharType="separate"/>
            </w:r>
            <w:r w:rsidR="00A82EAC">
              <w:rPr>
                <w:noProof/>
                <w:webHidden/>
              </w:rPr>
              <w:t>6</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22" w:history="1">
            <w:r w:rsidR="00510BFE" w:rsidRPr="00F928E2">
              <w:rPr>
                <w:rStyle w:val="Hyperlink"/>
                <w:noProof/>
              </w:rPr>
              <w:t>Treatment</w:t>
            </w:r>
            <w:r w:rsidR="00510BFE">
              <w:rPr>
                <w:noProof/>
                <w:webHidden/>
              </w:rPr>
              <w:tab/>
            </w:r>
            <w:r>
              <w:rPr>
                <w:noProof/>
                <w:webHidden/>
              </w:rPr>
              <w:fldChar w:fldCharType="begin"/>
            </w:r>
            <w:r w:rsidR="00510BFE">
              <w:rPr>
                <w:noProof/>
                <w:webHidden/>
              </w:rPr>
              <w:instrText xml:space="preserve"> PAGEREF _Toc256345722 \h </w:instrText>
            </w:r>
            <w:r>
              <w:rPr>
                <w:noProof/>
                <w:webHidden/>
              </w:rPr>
            </w:r>
            <w:r>
              <w:rPr>
                <w:noProof/>
                <w:webHidden/>
              </w:rPr>
              <w:fldChar w:fldCharType="separate"/>
            </w:r>
            <w:r w:rsidR="00A82EAC">
              <w:rPr>
                <w:noProof/>
                <w:webHidden/>
              </w:rPr>
              <w:t>6</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23" w:history="1">
            <w:r w:rsidR="00510BFE" w:rsidRPr="00F928E2">
              <w:rPr>
                <w:rStyle w:val="Hyperlink"/>
                <w:noProof/>
              </w:rPr>
              <w:t>Burden of disease in Wandsworth</w:t>
            </w:r>
            <w:r w:rsidR="00510BFE">
              <w:rPr>
                <w:noProof/>
                <w:webHidden/>
              </w:rPr>
              <w:tab/>
            </w:r>
            <w:r>
              <w:rPr>
                <w:noProof/>
                <w:webHidden/>
              </w:rPr>
              <w:fldChar w:fldCharType="begin"/>
            </w:r>
            <w:r w:rsidR="00510BFE">
              <w:rPr>
                <w:noProof/>
                <w:webHidden/>
              </w:rPr>
              <w:instrText xml:space="preserve"> PAGEREF _Toc256345723 \h </w:instrText>
            </w:r>
            <w:r>
              <w:rPr>
                <w:noProof/>
                <w:webHidden/>
              </w:rPr>
            </w:r>
            <w:r>
              <w:rPr>
                <w:noProof/>
                <w:webHidden/>
              </w:rPr>
              <w:fldChar w:fldCharType="separate"/>
            </w:r>
            <w:r w:rsidR="00A82EAC">
              <w:rPr>
                <w:noProof/>
                <w:webHidden/>
              </w:rPr>
              <w:t>7</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24" w:history="1">
            <w:r w:rsidR="00510BFE" w:rsidRPr="00F928E2">
              <w:rPr>
                <w:rStyle w:val="Hyperlink"/>
                <w:noProof/>
              </w:rPr>
              <w:t>Prevalence</w:t>
            </w:r>
            <w:r w:rsidR="00510BFE">
              <w:rPr>
                <w:noProof/>
                <w:webHidden/>
              </w:rPr>
              <w:tab/>
            </w:r>
            <w:r>
              <w:rPr>
                <w:noProof/>
                <w:webHidden/>
              </w:rPr>
              <w:fldChar w:fldCharType="begin"/>
            </w:r>
            <w:r w:rsidR="00510BFE">
              <w:rPr>
                <w:noProof/>
                <w:webHidden/>
              </w:rPr>
              <w:instrText xml:space="preserve"> PAGEREF _Toc256345724 \h </w:instrText>
            </w:r>
            <w:r>
              <w:rPr>
                <w:noProof/>
                <w:webHidden/>
              </w:rPr>
            </w:r>
            <w:r>
              <w:rPr>
                <w:noProof/>
                <w:webHidden/>
              </w:rPr>
              <w:fldChar w:fldCharType="separate"/>
            </w:r>
            <w:r w:rsidR="00A82EAC">
              <w:rPr>
                <w:noProof/>
                <w:webHidden/>
              </w:rPr>
              <w:t>7</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25" w:history="1">
            <w:r w:rsidR="00510BFE" w:rsidRPr="00F928E2">
              <w:rPr>
                <w:rStyle w:val="Hyperlink"/>
                <w:noProof/>
              </w:rPr>
              <w:t>Observed Vs Modelled Prevalence</w:t>
            </w:r>
            <w:r w:rsidR="00510BFE">
              <w:rPr>
                <w:noProof/>
                <w:webHidden/>
              </w:rPr>
              <w:tab/>
            </w:r>
            <w:r>
              <w:rPr>
                <w:noProof/>
                <w:webHidden/>
              </w:rPr>
              <w:fldChar w:fldCharType="begin"/>
            </w:r>
            <w:r w:rsidR="00510BFE">
              <w:rPr>
                <w:noProof/>
                <w:webHidden/>
              </w:rPr>
              <w:instrText xml:space="preserve"> PAGEREF _Toc256345725 \h </w:instrText>
            </w:r>
            <w:r>
              <w:rPr>
                <w:noProof/>
                <w:webHidden/>
              </w:rPr>
            </w:r>
            <w:r>
              <w:rPr>
                <w:noProof/>
                <w:webHidden/>
              </w:rPr>
              <w:fldChar w:fldCharType="separate"/>
            </w:r>
            <w:r w:rsidR="00A82EAC">
              <w:rPr>
                <w:noProof/>
                <w:webHidden/>
              </w:rPr>
              <w:t>9</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26" w:history="1">
            <w:r w:rsidR="00510BFE" w:rsidRPr="00F928E2">
              <w:rPr>
                <w:rStyle w:val="Hyperlink"/>
                <w:noProof/>
              </w:rPr>
              <w:t>Future Projections of Prevalence</w:t>
            </w:r>
            <w:r w:rsidR="00510BFE">
              <w:rPr>
                <w:noProof/>
                <w:webHidden/>
              </w:rPr>
              <w:tab/>
            </w:r>
            <w:r>
              <w:rPr>
                <w:noProof/>
                <w:webHidden/>
              </w:rPr>
              <w:fldChar w:fldCharType="begin"/>
            </w:r>
            <w:r w:rsidR="00510BFE">
              <w:rPr>
                <w:noProof/>
                <w:webHidden/>
              </w:rPr>
              <w:instrText xml:space="preserve"> PAGEREF _Toc256345726 \h </w:instrText>
            </w:r>
            <w:r>
              <w:rPr>
                <w:noProof/>
                <w:webHidden/>
              </w:rPr>
            </w:r>
            <w:r>
              <w:rPr>
                <w:noProof/>
                <w:webHidden/>
              </w:rPr>
              <w:fldChar w:fldCharType="separate"/>
            </w:r>
            <w:r w:rsidR="00A82EAC">
              <w:rPr>
                <w:noProof/>
                <w:webHidden/>
              </w:rPr>
              <w:t>12</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27" w:history="1">
            <w:r w:rsidR="00510BFE" w:rsidRPr="00F928E2">
              <w:rPr>
                <w:rStyle w:val="Hyperlink"/>
                <w:noProof/>
              </w:rPr>
              <w:t>Prevalence and inequalities</w:t>
            </w:r>
            <w:r w:rsidR="00510BFE">
              <w:rPr>
                <w:noProof/>
                <w:webHidden/>
              </w:rPr>
              <w:tab/>
            </w:r>
            <w:r>
              <w:rPr>
                <w:noProof/>
                <w:webHidden/>
              </w:rPr>
              <w:fldChar w:fldCharType="begin"/>
            </w:r>
            <w:r w:rsidR="00510BFE">
              <w:rPr>
                <w:noProof/>
                <w:webHidden/>
              </w:rPr>
              <w:instrText xml:space="preserve"> PAGEREF _Toc256345727 \h </w:instrText>
            </w:r>
            <w:r>
              <w:rPr>
                <w:noProof/>
                <w:webHidden/>
              </w:rPr>
            </w:r>
            <w:r>
              <w:rPr>
                <w:noProof/>
                <w:webHidden/>
              </w:rPr>
              <w:fldChar w:fldCharType="separate"/>
            </w:r>
            <w:r w:rsidR="00A82EAC">
              <w:rPr>
                <w:noProof/>
                <w:webHidden/>
              </w:rPr>
              <w:t>13</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29" w:history="1">
            <w:r w:rsidR="00510BFE" w:rsidRPr="00F928E2">
              <w:rPr>
                <w:rStyle w:val="Hyperlink"/>
                <w:noProof/>
              </w:rPr>
              <w:t>Risk factors</w:t>
            </w:r>
            <w:r w:rsidR="00510BFE">
              <w:rPr>
                <w:noProof/>
                <w:webHidden/>
              </w:rPr>
              <w:tab/>
            </w:r>
            <w:r>
              <w:rPr>
                <w:noProof/>
                <w:webHidden/>
              </w:rPr>
              <w:fldChar w:fldCharType="begin"/>
            </w:r>
            <w:r w:rsidR="00510BFE">
              <w:rPr>
                <w:noProof/>
                <w:webHidden/>
              </w:rPr>
              <w:instrText xml:space="preserve"> PAGEREF _Toc256345729 \h </w:instrText>
            </w:r>
            <w:r>
              <w:rPr>
                <w:noProof/>
                <w:webHidden/>
              </w:rPr>
            </w:r>
            <w:r>
              <w:rPr>
                <w:noProof/>
                <w:webHidden/>
              </w:rPr>
              <w:fldChar w:fldCharType="separate"/>
            </w:r>
            <w:r w:rsidR="00A82EAC">
              <w:rPr>
                <w:noProof/>
                <w:webHidden/>
              </w:rPr>
              <w:t>15</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31" w:history="1">
            <w:r w:rsidR="00510BFE" w:rsidRPr="00F928E2">
              <w:rPr>
                <w:rStyle w:val="Hyperlink"/>
                <w:noProof/>
              </w:rPr>
              <w:t>Mortality</w:t>
            </w:r>
            <w:r w:rsidR="00510BFE">
              <w:rPr>
                <w:noProof/>
                <w:webHidden/>
              </w:rPr>
              <w:tab/>
            </w:r>
            <w:r>
              <w:rPr>
                <w:noProof/>
                <w:webHidden/>
              </w:rPr>
              <w:fldChar w:fldCharType="begin"/>
            </w:r>
            <w:r w:rsidR="00510BFE">
              <w:rPr>
                <w:noProof/>
                <w:webHidden/>
              </w:rPr>
              <w:instrText xml:space="preserve"> PAGEREF _Toc256345731 \h </w:instrText>
            </w:r>
            <w:r>
              <w:rPr>
                <w:noProof/>
                <w:webHidden/>
              </w:rPr>
            </w:r>
            <w:r>
              <w:rPr>
                <w:noProof/>
                <w:webHidden/>
              </w:rPr>
              <w:fldChar w:fldCharType="separate"/>
            </w:r>
            <w:r w:rsidR="00A82EAC">
              <w:rPr>
                <w:noProof/>
                <w:webHidden/>
              </w:rPr>
              <w:t>18</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32" w:history="1">
            <w:r w:rsidR="00510BFE" w:rsidRPr="00F928E2">
              <w:rPr>
                <w:rStyle w:val="Hyperlink"/>
                <w:noProof/>
              </w:rPr>
              <w:t>The COPD Service Pathway in Wandsworth</w:t>
            </w:r>
            <w:r w:rsidR="00510BFE">
              <w:rPr>
                <w:noProof/>
                <w:webHidden/>
              </w:rPr>
              <w:tab/>
            </w:r>
            <w:r>
              <w:rPr>
                <w:noProof/>
                <w:webHidden/>
              </w:rPr>
              <w:fldChar w:fldCharType="begin"/>
            </w:r>
            <w:r w:rsidR="00510BFE">
              <w:rPr>
                <w:noProof/>
                <w:webHidden/>
              </w:rPr>
              <w:instrText xml:space="preserve"> PAGEREF _Toc256345732 \h </w:instrText>
            </w:r>
            <w:r>
              <w:rPr>
                <w:noProof/>
                <w:webHidden/>
              </w:rPr>
            </w:r>
            <w:r>
              <w:rPr>
                <w:noProof/>
                <w:webHidden/>
              </w:rPr>
              <w:fldChar w:fldCharType="separate"/>
            </w:r>
            <w:r w:rsidR="00A82EAC">
              <w:rPr>
                <w:noProof/>
                <w:webHidden/>
              </w:rPr>
              <w:t>22</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33" w:history="1">
            <w:r w:rsidR="00510BFE" w:rsidRPr="00F928E2">
              <w:rPr>
                <w:rStyle w:val="Hyperlink"/>
                <w:noProof/>
              </w:rPr>
              <w:t>Service Pathway</w:t>
            </w:r>
            <w:r w:rsidR="00510BFE">
              <w:rPr>
                <w:noProof/>
                <w:webHidden/>
              </w:rPr>
              <w:tab/>
            </w:r>
            <w:r>
              <w:rPr>
                <w:noProof/>
                <w:webHidden/>
              </w:rPr>
              <w:fldChar w:fldCharType="begin"/>
            </w:r>
            <w:r w:rsidR="00510BFE">
              <w:rPr>
                <w:noProof/>
                <w:webHidden/>
              </w:rPr>
              <w:instrText xml:space="preserve"> PAGEREF _Toc256345733 \h </w:instrText>
            </w:r>
            <w:r>
              <w:rPr>
                <w:noProof/>
                <w:webHidden/>
              </w:rPr>
            </w:r>
            <w:r>
              <w:rPr>
                <w:noProof/>
                <w:webHidden/>
              </w:rPr>
              <w:fldChar w:fldCharType="separate"/>
            </w:r>
            <w:r w:rsidR="00A82EAC">
              <w:rPr>
                <w:noProof/>
                <w:webHidden/>
              </w:rPr>
              <w:t>22</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34" w:history="1">
            <w:r w:rsidR="00510BFE" w:rsidRPr="00F928E2">
              <w:rPr>
                <w:rStyle w:val="Hyperlink"/>
                <w:noProof/>
              </w:rPr>
              <w:t>Evidence based guidance</w:t>
            </w:r>
            <w:r w:rsidR="00510BFE">
              <w:rPr>
                <w:noProof/>
                <w:webHidden/>
              </w:rPr>
              <w:tab/>
            </w:r>
            <w:r>
              <w:rPr>
                <w:noProof/>
                <w:webHidden/>
              </w:rPr>
              <w:fldChar w:fldCharType="begin"/>
            </w:r>
            <w:r w:rsidR="00510BFE">
              <w:rPr>
                <w:noProof/>
                <w:webHidden/>
              </w:rPr>
              <w:instrText xml:space="preserve"> PAGEREF _Toc256345734 \h </w:instrText>
            </w:r>
            <w:r>
              <w:rPr>
                <w:noProof/>
                <w:webHidden/>
              </w:rPr>
            </w:r>
            <w:r>
              <w:rPr>
                <w:noProof/>
                <w:webHidden/>
              </w:rPr>
              <w:fldChar w:fldCharType="separate"/>
            </w:r>
            <w:r w:rsidR="00A82EAC">
              <w:rPr>
                <w:noProof/>
                <w:webHidden/>
              </w:rPr>
              <w:t>22</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37" w:history="1">
            <w:r w:rsidR="00510BFE" w:rsidRPr="00F928E2">
              <w:rPr>
                <w:rStyle w:val="Hyperlink"/>
                <w:noProof/>
              </w:rPr>
              <w:t>Measuring performance of services</w:t>
            </w:r>
            <w:r w:rsidR="00510BFE">
              <w:rPr>
                <w:noProof/>
                <w:webHidden/>
              </w:rPr>
              <w:tab/>
            </w:r>
            <w:r>
              <w:rPr>
                <w:noProof/>
                <w:webHidden/>
              </w:rPr>
              <w:fldChar w:fldCharType="begin"/>
            </w:r>
            <w:r w:rsidR="00510BFE">
              <w:rPr>
                <w:noProof/>
                <w:webHidden/>
              </w:rPr>
              <w:instrText xml:space="preserve"> PAGEREF _Toc256345737 \h </w:instrText>
            </w:r>
            <w:r>
              <w:rPr>
                <w:noProof/>
                <w:webHidden/>
              </w:rPr>
            </w:r>
            <w:r>
              <w:rPr>
                <w:noProof/>
                <w:webHidden/>
              </w:rPr>
              <w:fldChar w:fldCharType="separate"/>
            </w:r>
            <w:r w:rsidR="00A82EAC">
              <w:rPr>
                <w:noProof/>
                <w:webHidden/>
              </w:rPr>
              <w:t>25</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40" w:history="1">
            <w:r w:rsidR="00510BFE" w:rsidRPr="00F928E2">
              <w:rPr>
                <w:rStyle w:val="Hyperlink"/>
                <w:rFonts w:eastAsiaTheme="majorEastAsia"/>
                <w:noProof/>
              </w:rPr>
              <w:t>Diagnosis</w:t>
            </w:r>
            <w:r w:rsidR="00510BFE">
              <w:rPr>
                <w:noProof/>
                <w:webHidden/>
              </w:rPr>
              <w:tab/>
            </w:r>
            <w:r>
              <w:rPr>
                <w:noProof/>
                <w:webHidden/>
              </w:rPr>
              <w:fldChar w:fldCharType="begin"/>
            </w:r>
            <w:r w:rsidR="00510BFE">
              <w:rPr>
                <w:noProof/>
                <w:webHidden/>
              </w:rPr>
              <w:instrText xml:space="preserve"> PAGEREF _Toc256345740 \h </w:instrText>
            </w:r>
            <w:r>
              <w:rPr>
                <w:noProof/>
                <w:webHidden/>
              </w:rPr>
            </w:r>
            <w:r>
              <w:rPr>
                <w:noProof/>
                <w:webHidden/>
              </w:rPr>
              <w:fldChar w:fldCharType="separate"/>
            </w:r>
            <w:r w:rsidR="00A82EAC">
              <w:rPr>
                <w:noProof/>
                <w:webHidden/>
              </w:rPr>
              <w:t>25</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43" w:history="1">
            <w:r w:rsidR="00510BFE" w:rsidRPr="00F928E2">
              <w:rPr>
                <w:rStyle w:val="Hyperlink"/>
                <w:noProof/>
              </w:rPr>
              <w:t>Chronic Disease Management</w:t>
            </w:r>
            <w:r w:rsidR="00510BFE">
              <w:rPr>
                <w:noProof/>
                <w:webHidden/>
              </w:rPr>
              <w:tab/>
            </w:r>
            <w:r>
              <w:rPr>
                <w:noProof/>
                <w:webHidden/>
              </w:rPr>
              <w:fldChar w:fldCharType="begin"/>
            </w:r>
            <w:r w:rsidR="00510BFE">
              <w:rPr>
                <w:noProof/>
                <w:webHidden/>
              </w:rPr>
              <w:instrText xml:space="preserve"> PAGEREF _Toc256345743 \h </w:instrText>
            </w:r>
            <w:r>
              <w:rPr>
                <w:noProof/>
                <w:webHidden/>
              </w:rPr>
            </w:r>
            <w:r>
              <w:rPr>
                <w:noProof/>
                <w:webHidden/>
              </w:rPr>
              <w:fldChar w:fldCharType="separate"/>
            </w:r>
            <w:r w:rsidR="00A82EAC">
              <w:rPr>
                <w:noProof/>
                <w:webHidden/>
              </w:rPr>
              <w:t>28</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47" w:history="1">
            <w:r w:rsidR="00510BFE" w:rsidRPr="00F928E2">
              <w:rPr>
                <w:rStyle w:val="Hyperlink"/>
                <w:noProof/>
              </w:rPr>
              <w:t>Aggregated measures</w:t>
            </w:r>
            <w:r w:rsidR="00510BFE">
              <w:rPr>
                <w:noProof/>
                <w:webHidden/>
              </w:rPr>
              <w:tab/>
            </w:r>
            <w:r>
              <w:rPr>
                <w:noProof/>
                <w:webHidden/>
              </w:rPr>
              <w:fldChar w:fldCharType="begin"/>
            </w:r>
            <w:r w:rsidR="00510BFE">
              <w:rPr>
                <w:noProof/>
                <w:webHidden/>
              </w:rPr>
              <w:instrText xml:space="preserve"> PAGEREF _Toc256345747 \h </w:instrText>
            </w:r>
            <w:r>
              <w:rPr>
                <w:noProof/>
                <w:webHidden/>
              </w:rPr>
            </w:r>
            <w:r>
              <w:rPr>
                <w:noProof/>
                <w:webHidden/>
              </w:rPr>
              <w:fldChar w:fldCharType="separate"/>
            </w:r>
            <w:r w:rsidR="00A82EAC">
              <w:rPr>
                <w:noProof/>
                <w:webHidden/>
              </w:rPr>
              <w:t>31</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48" w:history="1">
            <w:r w:rsidR="00510BFE" w:rsidRPr="00F928E2">
              <w:rPr>
                <w:rStyle w:val="Hyperlink"/>
                <w:noProof/>
              </w:rPr>
              <w:t>Management of Acute Exacerbations</w:t>
            </w:r>
            <w:r w:rsidR="00510BFE">
              <w:rPr>
                <w:noProof/>
                <w:webHidden/>
              </w:rPr>
              <w:tab/>
            </w:r>
            <w:r>
              <w:rPr>
                <w:noProof/>
                <w:webHidden/>
              </w:rPr>
              <w:fldChar w:fldCharType="begin"/>
            </w:r>
            <w:r w:rsidR="00510BFE">
              <w:rPr>
                <w:noProof/>
                <w:webHidden/>
              </w:rPr>
              <w:instrText xml:space="preserve"> PAGEREF _Toc256345748 \h </w:instrText>
            </w:r>
            <w:r>
              <w:rPr>
                <w:noProof/>
                <w:webHidden/>
              </w:rPr>
            </w:r>
            <w:r>
              <w:rPr>
                <w:noProof/>
                <w:webHidden/>
              </w:rPr>
              <w:fldChar w:fldCharType="separate"/>
            </w:r>
            <w:r w:rsidR="00A82EAC">
              <w:rPr>
                <w:noProof/>
                <w:webHidden/>
              </w:rPr>
              <w:t>32</w:t>
            </w:r>
            <w:r>
              <w:rPr>
                <w:noProof/>
                <w:webHidden/>
              </w:rPr>
              <w:fldChar w:fldCharType="end"/>
            </w:r>
          </w:hyperlink>
        </w:p>
        <w:p w:rsidR="00510BFE" w:rsidRDefault="00924AF3">
          <w:pPr>
            <w:pStyle w:val="TOC2"/>
            <w:tabs>
              <w:tab w:val="right" w:leader="dot" w:pos="9016"/>
            </w:tabs>
            <w:rPr>
              <w:rFonts w:eastAsia="SimSun"/>
              <w:noProof/>
              <w:lang w:eastAsia="zh-CN"/>
            </w:rPr>
          </w:pPr>
          <w:hyperlink w:anchor="_Toc256345750" w:history="1">
            <w:r w:rsidR="00510BFE" w:rsidRPr="00F928E2">
              <w:rPr>
                <w:rStyle w:val="Hyperlink"/>
                <w:noProof/>
              </w:rPr>
              <w:t>Discharge services</w:t>
            </w:r>
            <w:r w:rsidR="00510BFE">
              <w:rPr>
                <w:noProof/>
                <w:webHidden/>
              </w:rPr>
              <w:tab/>
            </w:r>
            <w:r>
              <w:rPr>
                <w:noProof/>
                <w:webHidden/>
              </w:rPr>
              <w:fldChar w:fldCharType="begin"/>
            </w:r>
            <w:r w:rsidR="00510BFE">
              <w:rPr>
                <w:noProof/>
                <w:webHidden/>
              </w:rPr>
              <w:instrText xml:space="preserve"> PAGEREF _Toc256345750 \h </w:instrText>
            </w:r>
            <w:r>
              <w:rPr>
                <w:noProof/>
                <w:webHidden/>
              </w:rPr>
            </w:r>
            <w:r>
              <w:rPr>
                <w:noProof/>
                <w:webHidden/>
              </w:rPr>
              <w:fldChar w:fldCharType="separate"/>
            </w:r>
            <w:r w:rsidR="00A82EAC">
              <w:rPr>
                <w:noProof/>
                <w:webHidden/>
              </w:rPr>
              <w:t>36</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53" w:history="1">
            <w:r w:rsidR="00510BFE" w:rsidRPr="00F928E2">
              <w:rPr>
                <w:rStyle w:val="Hyperlink"/>
                <w:noProof/>
              </w:rPr>
              <w:t>Service costs</w:t>
            </w:r>
            <w:r w:rsidR="00510BFE">
              <w:rPr>
                <w:noProof/>
                <w:webHidden/>
              </w:rPr>
              <w:tab/>
            </w:r>
            <w:r>
              <w:rPr>
                <w:noProof/>
                <w:webHidden/>
              </w:rPr>
              <w:fldChar w:fldCharType="begin"/>
            </w:r>
            <w:r w:rsidR="00510BFE">
              <w:rPr>
                <w:noProof/>
                <w:webHidden/>
              </w:rPr>
              <w:instrText xml:space="preserve"> PAGEREF _Toc256345753 \h </w:instrText>
            </w:r>
            <w:r>
              <w:rPr>
                <w:noProof/>
                <w:webHidden/>
              </w:rPr>
            </w:r>
            <w:r>
              <w:rPr>
                <w:noProof/>
                <w:webHidden/>
              </w:rPr>
              <w:fldChar w:fldCharType="separate"/>
            </w:r>
            <w:r w:rsidR="00A82EAC">
              <w:rPr>
                <w:noProof/>
                <w:webHidden/>
              </w:rPr>
              <w:t>40</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54" w:history="1">
            <w:r w:rsidR="00510BFE" w:rsidRPr="00F928E2">
              <w:rPr>
                <w:rStyle w:val="Hyperlink"/>
                <w:noProof/>
              </w:rPr>
              <w:t>Elements of innovative Service Provision in NHS Wandsworth</w:t>
            </w:r>
            <w:r w:rsidR="00510BFE">
              <w:rPr>
                <w:noProof/>
                <w:webHidden/>
              </w:rPr>
              <w:tab/>
            </w:r>
            <w:r>
              <w:rPr>
                <w:noProof/>
                <w:webHidden/>
              </w:rPr>
              <w:fldChar w:fldCharType="begin"/>
            </w:r>
            <w:r w:rsidR="00510BFE">
              <w:rPr>
                <w:noProof/>
                <w:webHidden/>
              </w:rPr>
              <w:instrText xml:space="preserve"> PAGEREF _Toc256345754 \h </w:instrText>
            </w:r>
            <w:r>
              <w:rPr>
                <w:noProof/>
                <w:webHidden/>
              </w:rPr>
            </w:r>
            <w:r>
              <w:rPr>
                <w:noProof/>
                <w:webHidden/>
              </w:rPr>
              <w:fldChar w:fldCharType="separate"/>
            </w:r>
            <w:r w:rsidR="00A82EAC">
              <w:rPr>
                <w:noProof/>
                <w:webHidden/>
              </w:rPr>
              <w:t>42</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59" w:history="1">
            <w:r w:rsidR="00510BFE" w:rsidRPr="00F928E2">
              <w:rPr>
                <w:rStyle w:val="Hyperlink"/>
                <w:noProof/>
              </w:rPr>
              <w:t>Views from local stakeholders</w:t>
            </w:r>
            <w:r w:rsidR="00510BFE">
              <w:rPr>
                <w:noProof/>
                <w:webHidden/>
              </w:rPr>
              <w:tab/>
            </w:r>
            <w:r>
              <w:rPr>
                <w:noProof/>
                <w:webHidden/>
              </w:rPr>
              <w:fldChar w:fldCharType="begin"/>
            </w:r>
            <w:r w:rsidR="00510BFE">
              <w:rPr>
                <w:noProof/>
                <w:webHidden/>
              </w:rPr>
              <w:instrText xml:space="preserve"> PAGEREF _Toc256345759 \h </w:instrText>
            </w:r>
            <w:r>
              <w:rPr>
                <w:noProof/>
                <w:webHidden/>
              </w:rPr>
            </w:r>
            <w:r>
              <w:rPr>
                <w:noProof/>
                <w:webHidden/>
              </w:rPr>
              <w:fldChar w:fldCharType="separate"/>
            </w:r>
            <w:r w:rsidR="00A82EAC">
              <w:rPr>
                <w:noProof/>
                <w:webHidden/>
              </w:rPr>
              <w:t>43</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62" w:history="1">
            <w:r w:rsidR="00510BFE" w:rsidRPr="00F928E2">
              <w:rPr>
                <w:rStyle w:val="Hyperlink"/>
                <w:noProof/>
              </w:rPr>
              <w:t>Policy context</w:t>
            </w:r>
            <w:r w:rsidR="00510BFE">
              <w:rPr>
                <w:noProof/>
                <w:webHidden/>
              </w:rPr>
              <w:tab/>
            </w:r>
            <w:r>
              <w:rPr>
                <w:noProof/>
                <w:webHidden/>
              </w:rPr>
              <w:fldChar w:fldCharType="begin"/>
            </w:r>
            <w:r w:rsidR="00510BFE">
              <w:rPr>
                <w:noProof/>
                <w:webHidden/>
              </w:rPr>
              <w:instrText xml:space="preserve"> PAGEREF _Toc256345762 \h </w:instrText>
            </w:r>
            <w:r>
              <w:rPr>
                <w:noProof/>
                <w:webHidden/>
              </w:rPr>
            </w:r>
            <w:r>
              <w:rPr>
                <w:noProof/>
                <w:webHidden/>
              </w:rPr>
              <w:fldChar w:fldCharType="separate"/>
            </w:r>
            <w:r w:rsidR="00A82EAC">
              <w:rPr>
                <w:noProof/>
                <w:webHidden/>
              </w:rPr>
              <w:t>45</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66" w:history="1">
            <w:r w:rsidR="00510BFE" w:rsidRPr="00F928E2">
              <w:rPr>
                <w:rStyle w:val="Hyperlink"/>
                <w:noProof/>
              </w:rPr>
              <w:t>Analysis and Discussion</w:t>
            </w:r>
            <w:r w:rsidR="00510BFE">
              <w:rPr>
                <w:noProof/>
                <w:webHidden/>
              </w:rPr>
              <w:tab/>
            </w:r>
            <w:r>
              <w:rPr>
                <w:noProof/>
                <w:webHidden/>
              </w:rPr>
              <w:fldChar w:fldCharType="begin"/>
            </w:r>
            <w:r w:rsidR="00510BFE">
              <w:rPr>
                <w:noProof/>
                <w:webHidden/>
              </w:rPr>
              <w:instrText xml:space="preserve"> PAGEREF _Toc256345766 \h </w:instrText>
            </w:r>
            <w:r>
              <w:rPr>
                <w:noProof/>
                <w:webHidden/>
              </w:rPr>
            </w:r>
            <w:r>
              <w:rPr>
                <w:noProof/>
                <w:webHidden/>
              </w:rPr>
              <w:fldChar w:fldCharType="separate"/>
            </w:r>
            <w:r w:rsidR="00A82EAC">
              <w:rPr>
                <w:noProof/>
                <w:webHidden/>
              </w:rPr>
              <w:t>46</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67" w:history="1">
            <w:r w:rsidR="00510BFE" w:rsidRPr="00F928E2">
              <w:rPr>
                <w:rStyle w:val="Hyperlink"/>
                <w:noProof/>
              </w:rPr>
              <w:t>Recommendations to improve services</w:t>
            </w:r>
            <w:r w:rsidR="00510BFE">
              <w:rPr>
                <w:noProof/>
                <w:webHidden/>
              </w:rPr>
              <w:tab/>
            </w:r>
            <w:r>
              <w:rPr>
                <w:noProof/>
                <w:webHidden/>
              </w:rPr>
              <w:fldChar w:fldCharType="begin"/>
            </w:r>
            <w:r w:rsidR="00510BFE">
              <w:rPr>
                <w:noProof/>
                <w:webHidden/>
              </w:rPr>
              <w:instrText xml:space="preserve"> PAGEREF _Toc256345767 \h </w:instrText>
            </w:r>
            <w:r>
              <w:rPr>
                <w:noProof/>
                <w:webHidden/>
              </w:rPr>
            </w:r>
            <w:r>
              <w:rPr>
                <w:noProof/>
                <w:webHidden/>
              </w:rPr>
              <w:fldChar w:fldCharType="separate"/>
            </w:r>
            <w:r w:rsidR="00A82EAC">
              <w:rPr>
                <w:noProof/>
                <w:webHidden/>
              </w:rPr>
              <w:t>48</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68" w:history="1">
            <w:r w:rsidR="00510BFE" w:rsidRPr="00F928E2">
              <w:rPr>
                <w:rStyle w:val="Hyperlink"/>
                <w:noProof/>
              </w:rPr>
              <w:t>Appendix 1: Management Protocols NICE</w:t>
            </w:r>
            <w:r w:rsidR="00510BFE">
              <w:rPr>
                <w:noProof/>
                <w:webHidden/>
              </w:rPr>
              <w:tab/>
            </w:r>
            <w:r>
              <w:rPr>
                <w:noProof/>
                <w:webHidden/>
              </w:rPr>
              <w:fldChar w:fldCharType="begin"/>
            </w:r>
            <w:r w:rsidR="00510BFE">
              <w:rPr>
                <w:noProof/>
                <w:webHidden/>
              </w:rPr>
              <w:instrText xml:space="preserve"> PAGEREF _Toc256345768 \h </w:instrText>
            </w:r>
            <w:r>
              <w:rPr>
                <w:noProof/>
                <w:webHidden/>
              </w:rPr>
            </w:r>
            <w:r>
              <w:rPr>
                <w:noProof/>
                <w:webHidden/>
              </w:rPr>
              <w:fldChar w:fldCharType="separate"/>
            </w:r>
            <w:r w:rsidR="00A82EAC">
              <w:rPr>
                <w:noProof/>
                <w:webHidden/>
              </w:rPr>
              <w:t>49</w:t>
            </w:r>
            <w:r>
              <w:rPr>
                <w:noProof/>
                <w:webHidden/>
              </w:rPr>
              <w:fldChar w:fldCharType="end"/>
            </w:r>
          </w:hyperlink>
        </w:p>
        <w:p w:rsidR="00510BFE" w:rsidRDefault="00924AF3">
          <w:pPr>
            <w:pStyle w:val="TOC1"/>
            <w:tabs>
              <w:tab w:val="right" w:leader="dot" w:pos="9016"/>
            </w:tabs>
            <w:rPr>
              <w:rFonts w:eastAsia="SimSun"/>
              <w:noProof/>
              <w:lang w:eastAsia="zh-CN"/>
            </w:rPr>
          </w:pPr>
          <w:hyperlink w:anchor="_Toc256345769" w:history="1">
            <w:r w:rsidR="00510BFE" w:rsidRPr="00F928E2">
              <w:rPr>
                <w:rStyle w:val="Hyperlink"/>
                <w:noProof/>
              </w:rPr>
              <w:t>Appendix 2: Management Protocols NHSW</w:t>
            </w:r>
            <w:r w:rsidR="00510BFE">
              <w:rPr>
                <w:noProof/>
                <w:webHidden/>
              </w:rPr>
              <w:tab/>
            </w:r>
            <w:r>
              <w:rPr>
                <w:noProof/>
                <w:webHidden/>
              </w:rPr>
              <w:fldChar w:fldCharType="begin"/>
            </w:r>
            <w:r w:rsidR="00510BFE">
              <w:rPr>
                <w:noProof/>
                <w:webHidden/>
              </w:rPr>
              <w:instrText xml:space="preserve"> PAGEREF _Toc256345769 \h </w:instrText>
            </w:r>
            <w:r>
              <w:rPr>
                <w:noProof/>
                <w:webHidden/>
              </w:rPr>
            </w:r>
            <w:r>
              <w:rPr>
                <w:noProof/>
                <w:webHidden/>
              </w:rPr>
              <w:fldChar w:fldCharType="separate"/>
            </w:r>
            <w:r w:rsidR="00A82EAC">
              <w:rPr>
                <w:noProof/>
                <w:webHidden/>
              </w:rPr>
              <w:t>51</w:t>
            </w:r>
            <w:r>
              <w:rPr>
                <w:noProof/>
                <w:webHidden/>
              </w:rPr>
              <w:fldChar w:fldCharType="end"/>
            </w:r>
          </w:hyperlink>
        </w:p>
        <w:p w:rsidR="007B66CA" w:rsidRPr="00433711" w:rsidRDefault="00924AF3" w:rsidP="00575DB3">
          <w:pPr>
            <w:spacing w:after="0"/>
          </w:pPr>
          <w:r w:rsidRPr="00433711">
            <w:fldChar w:fldCharType="end"/>
          </w:r>
        </w:p>
      </w:sdtContent>
    </w:sdt>
    <w:p w:rsidR="00A811A4" w:rsidRPr="00433711" w:rsidRDefault="00A811A4" w:rsidP="00575DB3">
      <w:pPr>
        <w:spacing w:after="0"/>
        <w:rPr>
          <w:rFonts w:ascii="Arial" w:eastAsia="Times New Roman" w:hAnsi="Arial" w:cs="Times New Roman"/>
          <w:b/>
          <w:bCs/>
          <w:color w:val="1F497D" w:themeColor="text2"/>
          <w:kern w:val="36"/>
          <w:lang w:eastAsia="en-GB"/>
        </w:rPr>
      </w:pPr>
      <w:r w:rsidRPr="00433711">
        <w:br w:type="page"/>
      </w:r>
    </w:p>
    <w:p w:rsidR="007B66CA" w:rsidRDefault="007B66CA" w:rsidP="008A0365">
      <w:pPr>
        <w:pStyle w:val="Heading1"/>
        <w:spacing w:before="0" w:beforeAutospacing="0" w:after="0" w:afterAutospacing="0" w:line="276" w:lineRule="auto"/>
        <w:ind w:right="-188"/>
      </w:pPr>
      <w:bookmarkStart w:id="0" w:name="_Toc256345712"/>
      <w:r>
        <w:lastRenderedPageBreak/>
        <w:t>Executive Summary</w:t>
      </w:r>
      <w:bookmarkEnd w:id="0"/>
    </w:p>
    <w:p w:rsidR="00AF0499" w:rsidRDefault="00AF0499" w:rsidP="008A0365">
      <w:pPr>
        <w:pStyle w:val="Heading3"/>
        <w:ind w:right="-188"/>
      </w:pPr>
      <w:r>
        <w:t>Burden of disease</w:t>
      </w:r>
    </w:p>
    <w:p w:rsidR="00AF0499" w:rsidRPr="00AF0499" w:rsidRDefault="00A92E0E" w:rsidP="008A0365">
      <w:pPr>
        <w:pStyle w:val="ListParagraph"/>
        <w:numPr>
          <w:ilvl w:val="0"/>
          <w:numId w:val="29"/>
        </w:numPr>
        <w:ind w:right="-188"/>
        <w:rPr>
          <w:rFonts w:ascii="Arial" w:hAnsi="Arial" w:cs="Arial"/>
        </w:rPr>
      </w:pPr>
      <w:r w:rsidRPr="00AF0499">
        <w:rPr>
          <w:rFonts w:ascii="Arial" w:hAnsi="Arial" w:cs="Arial"/>
        </w:rPr>
        <w:t xml:space="preserve">COPD is a common </w:t>
      </w:r>
      <w:r w:rsidR="00FD1967" w:rsidRPr="00AF0499">
        <w:rPr>
          <w:rFonts w:ascii="Arial" w:hAnsi="Arial" w:cs="Arial"/>
        </w:rPr>
        <w:t>chronic</w:t>
      </w:r>
      <w:r w:rsidRPr="00AF0499">
        <w:rPr>
          <w:rFonts w:ascii="Arial" w:hAnsi="Arial" w:cs="Arial"/>
        </w:rPr>
        <w:t xml:space="preserve"> disease.</w:t>
      </w:r>
      <w:r w:rsidR="00FD1967" w:rsidRPr="00AF0499">
        <w:rPr>
          <w:rFonts w:ascii="Arial" w:hAnsi="Arial" w:cs="Arial"/>
        </w:rPr>
        <w:t xml:space="preserve"> </w:t>
      </w:r>
      <w:r w:rsidRPr="00AF0499">
        <w:rPr>
          <w:rFonts w:ascii="Arial" w:hAnsi="Arial" w:cs="Arial"/>
        </w:rPr>
        <w:t xml:space="preserve">The prevalence </w:t>
      </w:r>
      <w:r w:rsidR="00FD1967" w:rsidRPr="00AF0499">
        <w:rPr>
          <w:rFonts w:ascii="Arial" w:hAnsi="Arial" w:cs="Arial"/>
        </w:rPr>
        <w:t>of</w:t>
      </w:r>
      <w:r w:rsidRPr="00AF0499">
        <w:rPr>
          <w:rFonts w:ascii="Arial" w:hAnsi="Arial" w:cs="Arial"/>
        </w:rPr>
        <w:t xml:space="preserve"> COPD in Wandsworth is less than the national average, as a result of the younger </w:t>
      </w:r>
      <w:r w:rsidR="00FD1967" w:rsidRPr="00AF0499">
        <w:rPr>
          <w:rFonts w:ascii="Arial" w:hAnsi="Arial" w:cs="Arial"/>
        </w:rPr>
        <w:t xml:space="preserve">population. </w:t>
      </w:r>
    </w:p>
    <w:p w:rsidR="00A92E0E" w:rsidRPr="00AF0499" w:rsidRDefault="00FD1967" w:rsidP="008A0365">
      <w:pPr>
        <w:pStyle w:val="ListParagraph"/>
        <w:numPr>
          <w:ilvl w:val="0"/>
          <w:numId w:val="29"/>
        </w:numPr>
        <w:ind w:right="-188"/>
        <w:rPr>
          <w:rFonts w:ascii="Arial" w:hAnsi="Arial" w:cs="Arial"/>
        </w:rPr>
      </w:pPr>
      <w:r w:rsidRPr="00AF0499">
        <w:rPr>
          <w:rFonts w:ascii="Arial" w:hAnsi="Arial" w:cs="Arial"/>
        </w:rPr>
        <w:t xml:space="preserve">QOF data reveals 2,700 patients </w:t>
      </w:r>
      <w:r w:rsidR="00040119">
        <w:rPr>
          <w:rFonts w:ascii="Arial" w:hAnsi="Arial" w:cs="Arial"/>
        </w:rPr>
        <w:t>who have been diagnosed with the disease. M</w:t>
      </w:r>
      <w:r w:rsidRPr="00AF0499">
        <w:rPr>
          <w:rFonts w:ascii="Arial" w:hAnsi="Arial" w:cs="Arial"/>
        </w:rPr>
        <w:t xml:space="preserve">odelled estimates suggest </w:t>
      </w:r>
      <w:r w:rsidR="00AF0499" w:rsidRPr="00AF0499">
        <w:rPr>
          <w:rFonts w:ascii="Arial" w:hAnsi="Arial" w:cs="Arial"/>
        </w:rPr>
        <w:t>there</w:t>
      </w:r>
      <w:r w:rsidRPr="00AF0499">
        <w:rPr>
          <w:rFonts w:ascii="Arial" w:hAnsi="Arial" w:cs="Arial"/>
        </w:rPr>
        <w:t xml:space="preserve"> may be as many as 7,400 patients</w:t>
      </w:r>
      <w:r w:rsidR="00040119">
        <w:rPr>
          <w:rFonts w:ascii="Arial" w:hAnsi="Arial" w:cs="Arial"/>
        </w:rPr>
        <w:t xml:space="preserve"> who have the disease</w:t>
      </w:r>
      <w:r w:rsidRPr="00AF0499">
        <w:rPr>
          <w:rFonts w:ascii="Arial" w:hAnsi="Arial" w:cs="Arial"/>
        </w:rPr>
        <w:t xml:space="preserve">. This suggests a substantial level of </w:t>
      </w:r>
      <w:r w:rsidR="00652BDF">
        <w:rPr>
          <w:rFonts w:ascii="Arial" w:hAnsi="Arial" w:cs="Arial"/>
        </w:rPr>
        <w:t>under-</w:t>
      </w:r>
      <w:r w:rsidR="00AF0499" w:rsidRPr="00AF0499">
        <w:rPr>
          <w:rFonts w:ascii="Arial" w:hAnsi="Arial" w:cs="Arial"/>
        </w:rPr>
        <w:t>diagnosis</w:t>
      </w:r>
      <w:r w:rsidRPr="00AF0499">
        <w:rPr>
          <w:rFonts w:ascii="Arial" w:hAnsi="Arial" w:cs="Arial"/>
        </w:rPr>
        <w:t>.</w:t>
      </w:r>
    </w:p>
    <w:p w:rsidR="00FD1967" w:rsidRPr="00AF0499" w:rsidRDefault="00AF0499" w:rsidP="008A0365">
      <w:pPr>
        <w:pStyle w:val="ListParagraph"/>
        <w:numPr>
          <w:ilvl w:val="0"/>
          <w:numId w:val="29"/>
        </w:numPr>
        <w:ind w:right="-188"/>
        <w:rPr>
          <w:rFonts w:ascii="Arial" w:hAnsi="Arial" w:cs="Arial"/>
        </w:rPr>
      </w:pPr>
      <w:r w:rsidRPr="00AF0499">
        <w:rPr>
          <w:rFonts w:ascii="Arial" w:hAnsi="Arial" w:cs="Arial"/>
        </w:rPr>
        <w:t>Mortality</w:t>
      </w:r>
      <w:r w:rsidR="00FD1967" w:rsidRPr="00AF0499">
        <w:rPr>
          <w:rFonts w:ascii="Arial" w:hAnsi="Arial" w:cs="Arial"/>
        </w:rPr>
        <w:t xml:space="preserve"> from COPD in Wandsworth is similar to national levels.</w:t>
      </w:r>
    </w:p>
    <w:p w:rsidR="00AF0499" w:rsidRDefault="00AF0499" w:rsidP="008A0365">
      <w:pPr>
        <w:pStyle w:val="Heading3"/>
        <w:ind w:right="-188"/>
      </w:pPr>
      <w:r>
        <w:t>COPD Care in Wandsworth</w:t>
      </w:r>
    </w:p>
    <w:p w:rsidR="00FD1967" w:rsidRPr="00AF0499" w:rsidRDefault="00867514" w:rsidP="008A0365">
      <w:pPr>
        <w:pStyle w:val="ListParagraph"/>
        <w:numPr>
          <w:ilvl w:val="0"/>
          <w:numId w:val="30"/>
        </w:numPr>
        <w:ind w:right="-188"/>
        <w:rPr>
          <w:rFonts w:ascii="Arial" w:hAnsi="Arial" w:cs="Arial"/>
        </w:rPr>
      </w:pPr>
      <w:r w:rsidRPr="00AF0499">
        <w:rPr>
          <w:rFonts w:ascii="Arial" w:hAnsi="Arial" w:cs="Arial"/>
        </w:rPr>
        <w:t>The services provided by the borough to manage COPD are well developed, with good links between primary and secondary care, a well established community nursing team,</w:t>
      </w:r>
      <w:r>
        <w:rPr>
          <w:rFonts w:ascii="Arial" w:hAnsi="Arial" w:cs="Arial"/>
        </w:rPr>
        <w:t xml:space="preserve"> and a clearly defined pathway.</w:t>
      </w:r>
    </w:p>
    <w:p w:rsidR="00FD1967" w:rsidRPr="00AF0499" w:rsidRDefault="00FD1967" w:rsidP="008A0365">
      <w:pPr>
        <w:pStyle w:val="ListParagraph"/>
        <w:numPr>
          <w:ilvl w:val="0"/>
          <w:numId w:val="30"/>
        </w:numPr>
        <w:ind w:right="-188"/>
        <w:rPr>
          <w:rFonts w:ascii="Arial" w:hAnsi="Arial" w:cs="Arial"/>
        </w:rPr>
      </w:pPr>
      <w:r w:rsidRPr="00AF0499">
        <w:rPr>
          <w:rFonts w:ascii="Arial" w:hAnsi="Arial" w:cs="Arial"/>
        </w:rPr>
        <w:t>NHS Wandsworth has clearly defined standards of care that it hopes to achieve, with established evidence based protocols, which are based on national NICE guidance. However it does not have complete systems in place to monitor whether these standards are being met.</w:t>
      </w:r>
    </w:p>
    <w:p w:rsidR="00AF0499" w:rsidRPr="00AF0499" w:rsidRDefault="00AF0499" w:rsidP="008A0365">
      <w:pPr>
        <w:pStyle w:val="ListParagraph"/>
        <w:numPr>
          <w:ilvl w:val="0"/>
          <w:numId w:val="30"/>
        </w:numPr>
        <w:spacing w:after="0"/>
        <w:ind w:right="-188"/>
        <w:rPr>
          <w:rFonts w:ascii="Arial" w:hAnsi="Arial" w:cs="Arial"/>
        </w:rPr>
      </w:pPr>
      <w:r w:rsidRPr="00AF0499">
        <w:rPr>
          <w:rFonts w:ascii="Arial" w:hAnsi="Arial" w:cs="Arial"/>
        </w:rPr>
        <w:t>The QOF data reveals generally good performance in COPD man</w:t>
      </w:r>
      <w:r w:rsidR="00671955">
        <w:rPr>
          <w:rFonts w:ascii="Arial" w:hAnsi="Arial" w:cs="Arial"/>
        </w:rPr>
        <w:t>agement</w:t>
      </w:r>
      <w:r w:rsidRPr="00AF0499">
        <w:rPr>
          <w:rFonts w:ascii="Arial" w:hAnsi="Arial" w:cs="Arial"/>
        </w:rPr>
        <w:t xml:space="preserve"> in general practice, although it also reveals a small number of GP surgeries that are </w:t>
      </w:r>
      <w:r w:rsidR="00671955" w:rsidRPr="00AF0499">
        <w:rPr>
          <w:rFonts w:ascii="Arial" w:hAnsi="Arial" w:cs="Arial"/>
        </w:rPr>
        <w:t>consistent</w:t>
      </w:r>
      <w:r w:rsidRPr="00AF0499">
        <w:rPr>
          <w:rFonts w:ascii="Arial" w:hAnsi="Arial" w:cs="Arial"/>
        </w:rPr>
        <w:t xml:space="preserve"> </w:t>
      </w:r>
      <w:r w:rsidR="00671955" w:rsidRPr="00AF0499">
        <w:rPr>
          <w:rFonts w:ascii="Arial" w:hAnsi="Arial" w:cs="Arial"/>
        </w:rPr>
        <w:t>underperformers</w:t>
      </w:r>
      <w:r w:rsidRPr="00AF0499">
        <w:rPr>
          <w:rFonts w:ascii="Arial" w:hAnsi="Arial" w:cs="Arial"/>
        </w:rPr>
        <w:t xml:space="preserve"> across a number of indicators</w:t>
      </w:r>
      <w:r w:rsidR="00040119">
        <w:rPr>
          <w:rFonts w:ascii="Arial" w:hAnsi="Arial" w:cs="Arial"/>
        </w:rPr>
        <w:t>.</w:t>
      </w:r>
    </w:p>
    <w:p w:rsidR="008A0365" w:rsidRPr="008A0365" w:rsidRDefault="00FD1967" w:rsidP="008A0365">
      <w:pPr>
        <w:pStyle w:val="ListParagraph"/>
        <w:numPr>
          <w:ilvl w:val="0"/>
          <w:numId w:val="30"/>
        </w:numPr>
        <w:spacing w:after="0"/>
        <w:ind w:right="-188"/>
        <w:rPr>
          <w:rFonts w:ascii="Arial" w:hAnsi="Arial" w:cs="Arial"/>
        </w:rPr>
      </w:pPr>
      <w:r w:rsidRPr="008A0365">
        <w:rPr>
          <w:rFonts w:ascii="Arial" w:eastAsia="Times New Roman" w:hAnsi="Arial" w:cs="Arial"/>
          <w:bCs/>
          <w:lang w:eastAsia="en-GB"/>
        </w:rPr>
        <w:t>There is variability in general practice COPD managemen</w:t>
      </w:r>
      <w:r w:rsidR="008A0365" w:rsidRPr="008A0365">
        <w:rPr>
          <w:rFonts w:ascii="Arial" w:eastAsia="Times New Roman" w:hAnsi="Arial" w:cs="Arial"/>
          <w:bCs/>
          <w:lang w:eastAsia="en-GB"/>
        </w:rPr>
        <w:t>t across all of the polysystems, and in particular across the</w:t>
      </w:r>
      <w:r w:rsidRPr="008A0365">
        <w:rPr>
          <w:rFonts w:ascii="Arial" w:eastAsia="Times New Roman" w:hAnsi="Arial" w:cs="Arial"/>
          <w:bCs/>
          <w:lang w:eastAsia="en-GB"/>
        </w:rPr>
        <w:t xml:space="preserve"> potential South Wandsworth Polysystem</w:t>
      </w:r>
      <w:r w:rsidR="008A0365">
        <w:rPr>
          <w:rFonts w:ascii="Arial" w:eastAsia="Times New Roman" w:hAnsi="Arial" w:cs="Arial"/>
          <w:bCs/>
          <w:lang w:eastAsia="en-GB"/>
        </w:rPr>
        <w:t>.</w:t>
      </w:r>
    </w:p>
    <w:p w:rsidR="008A0365" w:rsidRPr="008A0365" w:rsidRDefault="008A0365" w:rsidP="008A0365">
      <w:pPr>
        <w:pStyle w:val="ListParagraph"/>
        <w:numPr>
          <w:ilvl w:val="0"/>
          <w:numId w:val="30"/>
        </w:numPr>
        <w:spacing w:after="0"/>
        <w:ind w:right="-188"/>
        <w:rPr>
          <w:rFonts w:ascii="Arial" w:hAnsi="Arial" w:cs="Arial"/>
        </w:rPr>
      </w:pPr>
      <w:r w:rsidRPr="008A0365">
        <w:rPr>
          <w:rFonts w:ascii="Arial" w:hAnsi="Arial" w:cs="Arial"/>
        </w:rPr>
        <w:t xml:space="preserve">Emergency admission rates are higher than the national average, but lower than the cluster average. There is variation in emergency admission rates between practices. The six practices with a statistically significantly level of emergency admission compared to the average are candidates for investigation and improvement. </w:t>
      </w:r>
    </w:p>
    <w:p w:rsidR="00FD1967" w:rsidRPr="00AF0499" w:rsidRDefault="00FD1967" w:rsidP="008A0365">
      <w:pPr>
        <w:pStyle w:val="ListParagraph"/>
        <w:numPr>
          <w:ilvl w:val="0"/>
          <w:numId w:val="30"/>
        </w:numPr>
        <w:spacing w:after="0"/>
        <w:ind w:right="-188"/>
        <w:rPr>
          <w:rFonts w:ascii="Arial" w:hAnsi="Arial" w:cs="Arial"/>
        </w:rPr>
      </w:pPr>
      <w:r w:rsidRPr="00AF0499">
        <w:rPr>
          <w:rFonts w:ascii="Arial" w:hAnsi="Arial" w:cs="Arial"/>
        </w:rPr>
        <w:t xml:space="preserve">While length of stay in </w:t>
      </w:r>
      <w:r w:rsidR="00AF0499" w:rsidRPr="00AF0499">
        <w:rPr>
          <w:rFonts w:ascii="Arial" w:hAnsi="Arial" w:cs="Arial"/>
        </w:rPr>
        <w:t>hospital for COPD</w:t>
      </w:r>
      <w:r w:rsidRPr="00AF0499">
        <w:rPr>
          <w:rFonts w:ascii="Arial" w:hAnsi="Arial" w:cs="Arial"/>
        </w:rPr>
        <w:t xml:space="preserve"> in Wandsworth is above average, readmission rates are lower than average. This suggests there is potential for the improvement of discharge services.</w:t>
      </w:r>
    </w:p>
    <w:p w:rsidR="00FD1967" w:rsidRPr="00AF0499" w:rsidRDefault="00FD1967" w:rsidP="008A0365">
      <w:pPr>
        <w:pStyle w:val="ListParagraph"/>
        <w:numPr>
          <w:ilvl w:val="0"/>
          <w:numId w:val="30"/>
        </w:numPr>
        <w:spacing w:after="0"/>
        <w:ind w:right="-188"/>
        <w:rPr>
          <w:rFonts w:ascii="Arial" w:hAnsi="Arial" w:cs="Arial"/>
        </w:rPr>
      </w:pPr>
      <w:r w:rsidRPr="00AF0499">
        <w:rPr>
          <w:rFonts w:ascii="Arial" w:hAnsi="Arial" w:cs="Arial"/>
        </w:rPr>
        <w:t xml:space="preserve">Data on service performance is available, but not complete. </w:t>
      </w:r>
      <w:r w:rsidR="00867514" w:rsidRPr="00AF0499">
        <w:rPr>
          <w:rFonts w:ascii="Arial" w:hAnsi="Arial" w:cs="Arial"/>
        </w:rPr>
        <w:t>Data is available from national sources to allow evaluation of some aspects of services at the primary and secondary level, but there are few local mechanism</w:t>
      </w:r>
      <w:r w:rsidR="00867514">
        <w:rPr>
          <w:rFonts w:ascii="Arial" w:hAnsi="Arial" w:cs="Arial"/>
        </w:rPr>
        <w:t>s</w:t>
      </w:r>
      <w:r w:rsidR="00867514" w:rsidRPr="00AF0499">
        <w:rPr>
          <w:rFonts w:ascii="Arial" w:hAnsi="Arial" w:cs="Arial"/>
        </w:rPr>
        <w:t xml:space="preserve"> to audit services.</w:t>
      </w:r>
    </w:p>
    <w:p w:rsidR="00FD1967" w:rsidRPr="00F1325F" w:rsidRDefault="00FD1967" w:rsidP="008A0365">
      <w:pPr>
        <w:pStyle w:val="Heading2"/>
        <w:ind w:right="-188"/>
      </w:pPr>
      <w:r>
        <w:t>Recommendations</w:t>
      </w:r>
    </w:p>
    <w:p w:rsidR="00FD1967" w:rsidRPr="001F2FF9" w:rsidRDefault="00FD1967" w:rsidP="008A0365">
      <w:pPr>
        <w:pStyle w:val="ListParagraph"/>
        <w:numPr>
          <w:ilvl w:val="0"/>
          <w:numId w:val="27"/>
        </w:numPr>
        <w:spacing w:after="0"/>
        <w:ind w:right="-188"/>
        <w:rPr>
          <w:rFonts w:ascii="Arial" w:eastAsia="Times New Roman" w:hAnsi="Arial" w:cs="Arial"/>
          <w:bCs/>
          <w:lang w:eastAsia="en-GB"/>
        </w:rPr>
      </w:pPr>
      <w:r>
        <w:rPr>
          <w:rFonts w:ascii="Arial" w:eastAsia="Times New Roman" w:hAnsi="Arial" w:cs="Arial"/>
          <w:bCs/>
          <w:lang w:eastAsia="en-GB"/>
        </w:rPr>
        <w:t xml:space="preserve">NHSW should work to understand and </w:t>
      </w:r>
      <w:r w:rsidR="008A0365">
        <w:rPr>
          <w:rFonts w:ascii="Arial" w:eastAsia="Times New Roman" w:hAnsi="Arial" w:cs="Arial"/>
          <w:bCs/>
          <w:lang w:eastAsia="en-GB"/>
        </w:rPr>
        <w:t xml:space="preserve">reduce </w:t>
      </w:r>
      <w:r>
        <w:rPr>
          <w:rFonts w:ascii="Arial" w:eastAsia="Times New Roman" w:hAnsi="Arial" w:cs="Arial"/>
          <w:bCs/>
          <w:lang w:eastAsia="en-GB"/>
        </w:rPr>
        <w:t xml:space="preserve">the variation </w:t>
      </w:r>
      <w:r w:rsidR="00652BDF">
        <w:rPr>
          <w:rFonts w:ascii="Arial" w:eastAsia="Times New Roman" w:hAnsi="Arial" w:cs="Arial"/>
          <w:bCs/>
          <w:lang w:eastAsia="en-GB"/>
        </w:rPr>
        <w:t>in COPD diagnosis and management</w:t>
      </w:r>
      <w:r w:rsidR="008A0365">
        <w:rPr>
          <w:rFonts w:ascii="Arial" w:eastAsia="Times New Roman" w:hAnsi="Arial" w:cs="Arial"/>
          <w:bCs/>
          <w:lang w:eastAsia="en-GB"/>
        </w:rPr>
        <w:t xml:space="preserve"> </w:t>
      </w:r>
      <w:r>
        <w:rPr>
          <w:rFonts w:ascii="Arial" w:eastAsia="Times New Roman" w:hAnsi="Arial" w:cs="Arial"/>
          <w:bCs/>
          <w:lang w:eastAsia="en-GB"/>
        </w:rPr>
        <w:t>between GP practices.</w:t>
      </w:r>
    </w:p>
    <w:p w:rsidR="00FD1967" w:rsidRPr="00FD1967" w:rsidRDefault="00FD1967" w:rsidP="008A0365">
      <w:pPr>
        <w:pStyle w:val="ListParagraph"/>
        <w:numPr>
          <w:ilvl w:val="0"/>
          <w:numId w:val="27"/>
        </w:numPr>
        <w:spacing w:after="0"/>
        <w:ind w:right="-188"/>
        <w:rPr>
          <w:rFonts w:ascii="Arial" w:eastAsia="Times New Roman" w:hAnsi="Arial" w:cs="Arial"/>
          <w:bCs/>
          <w:lang w:eastAsia="en-GB"/>
        </w:rPr>
      </w:pPr>
      <w:r w:rsidRPr="00FD1967">
        <w:rPr>
          <w:rFonts w:ascii="Arial" w:eastAsia="Times New Roman" w:hAnsi="Arial" w:cs="Arial"/>
          <w:bCs/>
          <w:lang w:eastAsia="en-GB"/>
        </w:rPr>
        <w:t>Existing practice based commissioning clusters or potential future polysystem</w:t>
      </w:r>
      <w:r w:rsidR="00652BDF">
        <w:rPr>
          <w:rFonts w:ascii="Arial" w:eastAsia="Times New Roman" w:hAnsi="Arial" w:cs="Arial"/>
          <w:bCs/>
          <w:lang w:eastAsia="en-GB"/>
        </w:rPr>
        <w:t>s</w:t>
      </w:r>
      <w:r w:rsidRPr="00FD1967">
        <w:rPr>
          <w:rFonts w:ascii="Arial" w:eastAsia="Times New Roman" w:hAnsi="Arial" w:cs="Arial"/>
          <w:bCs/>
          <w:lang w:eastAsia="en-GB"/>
        </w:rPr>
        <w:t xml:space="preserve"> should take local action to deal with specific local areas of poor performance. </w:t>
      </w:r>
    </w:p>
    <w:p w:rsidR="00FD1967" w:rsidRPr="00FD1967" w:rsidRDefault="00FD1967" w:rsidP="008A0365">
      <w:pPr>
        <w:pStyle w:val="ListParagraph"/>
        <w:numPr>
          <w:ilvl w:val="0"/>
          <w:numId w:val="27"/>
        </w:numPr>
        <w:spacing w:after="0"/>
        <w:ind w:right="-188"/>
        <w:rPr>
          <w:rFonts w:ascii="Arial" w:eastAsia="Times New Roman" w:hAnsi="Arial" w:cs="Arial"/>
          <w:bCs/>
          <w:lang w:eastAsia="en-GB"/>
        </w:rPr>
      </w:pPr>
      <w:r w:rsidRPr="00FD1967">
        <w:rPr>
          <w:rFonts w:ascii="Arial" w:eastAsia="Times New Roman" w:hAnsi="Arial" w:cs="Arial"/>
          <w:bCs/>
          <w:lang w:eastAsia="en-GB"/>
        </w:rPr>
        <w:t>The PCT needs to work with its partners at St George’s Hospital to strengthen the</w:t>
      </w:r>
      <w:r>
        <w:rPr>
          <w:rFonts w:ascii="Arial" w:eastAsia="Times New Roman" w:hAnsi="Arial" w:cs="Arial"/>
          <w:bCs/>
          <w:lang w:eastAsia="en-GB"/>
        </w:rPr>
        <w:t xml:space="preserve"> nature of discharge provision.</w:t>
      </w:r>
    </w:p>
    <w:p w:rsidR="00FD1967" w:rsidRPr="001F2FF9" w:rsidRDefault="00FD1967" w:rsidP="008A0365">
      <w:pPr>
        <w:pStyle w:val="ListParagraph"/>
        <w:numPr>
          <w:ilvl w:val="0"/>
          <w:numId w:val="27"/>
        </w:numPr>
        <w:spacing w:after="0"/>
        <w:ind w:right="-188"/>
        <w:rPr>
          <w:rFonts w:ascii="Arial" w:eastAsia="Times New Roman" w:hAnsi="Arial" w:cs="Arial"/>
          <w:bCs/>
          <w:lang w:eastAsia="en-GB"/>
        </w:rPr>
      </w:pPr>
      <w:r w:rsidRPr="001F2FF9">
        <w:rPr>
          <w:rFonts w:ascii="Arial" w:eastAsia="Times New Roman" w:hAnsi="Arial" w:cs="Arial"/>
          <w:bCs/>
          <w:lang w:eastAsia="en-GB"/>
        </w:rPr>
        <w:t>The PCT needs to consider expanding existing provision of pulmonary rehabilitation services, in order to meet the increasingly unmet need for this service.</w:t>
      </w:r>
    </w:p>
    <w:p w:rsidR="00FD1967" w:rsidRPr="00FD1967" w:rsidRDefault="00FD1967" w:rsidP="008A0365">
      <w:pPr>
        <w:pStyle w:val="ListParagraph"/>
        <w:numPr>
          <w:ilvl w:val="0"/>
          <w:numId w:val="27"/>
        </w:numPr>
        <w:spacing w:after="0"/>
        <w:ind w:right="-188"/>
        <w:rPr>
          <w:rFonts w:ascii="Arial" w:eastAsia="Times New Roman" w:hAnsi="Arial" w:cs="Arial"/>
          <w:bCs/>
          <w:lang w:eastAsia="en-GB"/>
        </w:rPr>
      </w:pPr>
      <w:r w:rsidRPr="00FD1967">
        <w:rPr>
          <w:rFonts w:ascii="Arial" w:eastAsia="Times New Roman" w:hAnsi="Arial" w:cs="Arial"/>
          <w:bCs/>
          <w:lang w:eastAsia="en-GB"/>
        </w:rPr>
        <w:t>The PCT should work with its community respiratory team to develop systems to generate stronger measures of process and activity</w:t>
      </w:r>
      <w:r>
        <w:rPr>
          <w:rFonts w:ascii="Arial" w:eastAsia="Times New Roman" w:hAnsi="Arial" w:cs="Arial"/>
          <w:bCs/>
          <w:lang w:eastAsia="en-GB"/>
        </w:rPr>
        <w:t>.</w:t>
      </w:r>
    </w:p>
    <w:p w:rsidR="00FD1967" w:rsidRPr="001F2FF9" w:rsidRDefault="00FD1967" w:rsidP="00FD1967">
      <w:pPr>
        <w:pStyle w:val="ListParagraph"/>
        <w:numPr>
          <w:ilvl w:val="0"/>
          <w:numId w:val="27"/>
        </w:numPr>
        <w:spacing w:after="0"/>
        <w:rPr>
          <w:rFonts w:ascii="Arial" w:eastAsia="Times New Roman" w:hAnsi="Arial" w:cs="Arial"/>
          <w:bCs/>
          <w:lang w:eastAsia="en-GB"/>
        </w:rPr>
      </w:pPr>
      <w:r>
        <w:rPr>
          <w:rFonts w:ascii="Arial" w:eastAsia="Times New Roman" w:hAnsi="Arial" w:cs="Arial"/>
          <w:bCs/>
          <w:lang w:eastAsia="en-GB"/>
        </w:rPr>
        <w:t>Audits of COPD management should be undertaken in primary and secondary care, to measure compliance with local and NICE guidance.</w:t>
      </w:r>
    </w:p>
    <w:p w:rsidR="00DB5841" w:rsidRPr="00643BBA" w:rsidRDefault="00DB5841" w:rsidP="00575DB3">
      <w:pPr>
        <w:pStyle w:val="Heading1"/>
        <w:spacing w:before="0" w:beforeAutospacing="0" w:after="0" w:afterAutospacing="0" w:line="276" w:lineRule="auto"/>
      </w:pPr>
      <w:bookmarkStart w:id="1" w:name="_Toc252533098"/>
      <w:bookmarkStart w:id="2" w:name="_Toc256345713"/>
      <w:r w:rsidRPr="00643BBA">
        <w:lastRenderedPageBreak/>
        <w:t>COPD in Wandsworth: Health Needs Assessment</w:t>
      </w:r>
      <w:bookmarkEnd w:id="1"/>
      <w:bookmarkEnd w:id="2"/>
    </w:p>
    <w:p w:rsidR="00307AEC" w:rsidRDefault="00307AEC" w:rsidP="00575DB3">
      <w:pPr>
        <w:pStyle w:val="Heading1"/>
        <w:spacing w:before="0" w:beforeAutospacing="0" w:after="0" w:afterAutospacing="0" w:line="276" w:lineRule="auto"/>
      </w:pPr>
    </w:p>
    <w:p w:rsidR="003E75C5" w:rsidRPr="00643BBA" w:rsidRDefault="00B72D2B" w:rsidP="00575DB3">
      <w:pPr>
        <w:pStyle w:val="Heading1"/>
        <w:spacing w:before="0" w:beforeAutospacing="0" w:after="0" w:afterAutospacing="0" w:line="276" w:lineRule="auto"/>
      </w:pPr>
      <w:bookmarkStart w:id="3" w:name="_Toc256345714"/>
      <w:r>
        <w:t>Aim:</w:t>
      </w:r>
      <w:bookmarkEnd w:id="3"/>
    </w:p>
    <w:p w:rsidR="006E2381" w:rsidRPr="00510BFE" w:rsidRDefault="006219B2" w:rsidP="00354039">
      <w:pPr>
        <w:rPr>
          <w:rFonts w:ascii="Arial" w:hAnsi="Arial" w:cs="Arial"/>
          <w:lang w:eastAsia="en-GB"/>
        </w:rPr>
      </w:pPr>
      <w:r w:rsidRPr="00510BFE">
        <w:rPr>
          <w:rFonts w:ascii="Arial" w:hAnsi="Arial" w:cs="Arial"/>
          <w:lang w:eastAsia="en-GB"/>
        </w:rPr>
        <w:t>To understand the health needs of</w:t>
      </w:r>
      <w:r w:rsidR="006E2381" w:rsidRPr="00510BFE">
        <w:rPr>
          <w:rFonts w:ascii="Arial" w:hAnsi="Arial" w:cs="Arial"/>
          <w:lang w:eastAsia="en-GB"/>
        </w:rPr>
        <w:t xml:space="preserve"> </w:t>
      </w:r>
      <w:r w:rsidRPr="00510BFE">
        <w:rPr>
          <w:rFonts w:ascii="Arial" w:hAnsi="Arial" w:cs="Arial"/>
          <w:lang w:eastAsia="en-GB"/>
        </w:rPr>
        <w:t xml:space="preserve">all </w:t>
      </w:r>
      <w:r w:rsidR="006E2381" w:rsidRPr="00510BFE">
        <w:rPr>
          <w:rFonts w:ascii="Arial" w:hAnsi="Arial" w:cs="Arial"/>
          <w:lang w:eastAsia="en-GB"/>
        </w:rPr>
        <w:t>patients</w:t>
      </w:r>
      <w:r w:rsidRPr="00510BFE">
        <w:rPr>
          <w:rFonts w:ascii="Arial" w:hAnsi="Arial" w:cs="Arial"/>
          <w:lang w:eastAsia="en-GB"/>
        </w:rPr>
        <w:t>,</w:t>
      </w:r>
      <w:r w:rsidR="006E2381" w:rsidRPr="00510BFE">
        <w:rPr>
          <w:rFonts w:ascii="Arial" w:hAnsi="Arial" w:cs="Arial"/>
          <w:lang w:eastAsia="en-GB"/>
        </w:rPr>
        <w:t xml:space="preserve"> of any age</w:t>
      </w:r>
      <w:r w:rsidRPr="00510BFE">
        <w:rPr>
          <w:rFonts w:ascii="Arial" w:hAnsi="Arial" w:cs="Arial"/>
          <w:lang w:eastAsia="en-GB"/>
        </w:rPr>
        <w:t>,</w:t>
      </w:r>
      <w:r w:rsidR="006E2381" w:rsidRPr="00510BFE">
        <w:rPr>
          <w:rFonts w:ascii="Arial" w:hAnsi="Arial" w:cs="Arial"/>
          <w:lang w:eastAsia="en-GB"/>
        </w:rPr>
        <w:t xml:space="preserve"> with chronic obstructive pulmonary disease</w:t>
      </w:r>
      <w:r w:rsidR="00B72D2B" w:rsidRPr="00510BFE">
        <w:rPr>
          <w:rFonts w:ascii="Arial" w:hAnsi="Arial" w:cs="Arial"/>
          <w:lang w:eastAsia="en-GB"/>
        </w:rPr>
        <w:t xml:space="preserve"> (COPD)</w:t>
      </w:r>
      <w:r w:rsidR="006E2381" w:rsidRPr="00510BFE">
        <w:rPr>
          <w:rFonts w:ascii="Arial" w:hAnsi="Arial" w:cs="Arial"/>
          <w:lang w:eastAsia="en-GB"/>
        </w:rPr>
        <w:t xml:space="preserve"> in Wandsworth.</w:t>
      </w:r>
      <w:r w:rsidRPr="00510BFE">
        <w:rPr>
          <w:rFonts w:ascii="Arial" w:hAnsi="Arial" w:cs="Arial"/>
          <w:lang w:eastAsia="en-GB"/>
        </w:rPr>
        <w:t xml:space="preserve"> To use this information, together with information on current se</w:t>
      </w:r>
      <w:r w:rsidR="00D75AAF" w:rsidRPr="00510BFE">
        <w:rPr>
          <w:rFonts w:ascii="Arial" w:hAnsi="Arial" w:cs="Arial"/>
          <w:lang w:eastAsia="en-GB"/>
        </w:rPr>
        <w:t xml:space="preserve">rvices available in Wandsworth, </w:t>
      </w:r>
      <w:r w:rsidRPr="00510BFE">
        <w:rPr>
          <w:rFonts w:ascii="Arial" w:hAnsi="Arial" w:cs="Arial"/>
          <w:lang w:eastAsia="en-GB"/>
        </w:rPr>
        <w:t>to inform the design of future services for this disease.</w:t>
      </w:r>
      <w:r w:rsidR="00AD0379" w:rsidRPr="00510BFE">
        <w:rPr>
          <w:rFonts w:ascii="Arial" w:hAnsi="Arial" w:cs="Arial"/>
        </w:rPr>
        <w:t xml:space="preserve"> It will identify any shortfall in service provision and will make recommendations to address any unmet need.</w:t>
      </w:r>
    </w:p>
    <w:p w:rsidR="00BB5D5C" w:rsidRDefault="00BB5D5C" w:rsidP="00770E50">
      <w:pPr>
        <w:pStyle w:val="Heading2"/>
      </w:pPr>
      <w:bookmarkStart w:id="4" w:name="_Toc256345715"/>
    </w:p>
    <w:p w:rsidR="00643BBA" w:rsidRPr="00643BBA" w:rsidRDefault="00643BBA" w:rsidP="00770E50">
      <w:pPr>
        <w:pStyle w:val="Heading2"/>
      </w:pPr>
      <w:r w:rsidRPr="00643BBA">
        <w:t>Objectives</w:t>
      </w:r>
      <w:bookmarkEnd w:id="4"/>
    </w:p>
    <w:p w:rsidR="00643BBA" w:rsidRPr="00A60B12" w:rsidRDefault="00643BBA" w:rsidP="00575DB3">
      <w:pPr>
        <w:pStyle w:val="ListParagraph"/>
        <w:numPr>
          <w:ilvl w:val="0"/>
          <w:numId w:val="11"/>
        </w:numPr>
        <w:spacing w:after="0"/>
        <w:rPr>
          <w:rFonts w:ascii="Arial" w:hAnsi="Arial" w:cs="Arial"/>
        </w:rPr>
      </w:pPr>
      <w:r w:rsidRPr="00A60B12">
        <w:rPr>
          <w:rFonts w:ascii="Arial" w:hAnsi="Arial" w:cs="Arial"/>
        </w:rPr>
        <w:t>Collate and synthesise existing knowledge from local, regional and national policy documents and service plans relating to COPD health services</w:t>
      </w:r>
    </w:p>
    <w:p w:rsidR="00643BBA" w:rsidRPr="00A60B12" w:rsidRDefault="00643BBA" w:rsidP="00575DB3">
      <w:pPr>
        <w:pStyle w:val="ListParagraph"/>
        <w:numPr>
          <w:ilvl w:val="0"/>
          <w:numId w:val="11"/>
        </w:numPr>
        <w:spacing w:after="0"/>
        <w:rPr>
          <w:rFonts w:ascii="Arial" w:hAnsi="Arial" w:cs="Arial"/>
        </w:rPr>
      </w:pPr>
      <w:r w:rsidRPr="00A60B12">
        <w:rPr>
          <w:rFonts w:ascii="Arial" w:hAnsi="Arial" w:cs="Arial"/>
        </w:rPr>
        <w:t xml:space="preserve">Collate and summarise the available epidemiological data on COPD disease frequency and risk factors </w:t>
      </w:r>
    </w:p>
    <w:p w:rsidR="00643BBA" w:rsidRPr="00A60B12" w:rsidRDefault="00643BBA" w:rsidP="00575DB3">
      <w:pPr>
        <w:pStyle w:val="ListParagraph"/>
        <w:numPr>
          <w:ilvl w:val="0"/>
          <w:numId w:val="11"/>
        </w:numPr>
        <w:spacing w:after="0"/>
        <w:rPr>
          <w:rFonts w:ascii="Arial" w:hAnsi="Arial" w:cs="Arial"/>
        </w:rPr>
      </w:pPr>
      <w:r w:rsidRPr="00A60B12">
        <w:rPr>
          <w:rFonts w:ascii="Arial" w:hAnsi="Arial" w:cs="Arial"/>
        </w:rPr>
        <w:t>Map and describe the current pro</w:t>
      </w:r>
      <w:r w:rsidR="00307AEC" w:rsidRPr="00A60B12">
        <w:rPr>
          <w:rFonts w:ascii="Arial" w:hAnsi="Arial" w:cs="Arial"/>
        </w:rPr>
        <w:t xml:space="preserve">vision of COPD health services </w:t>
      </w:r>
      <w:r w:rsidRPr="00A60B12">
        <w:rPr>
          <w:rFonts w:ascii="Arial" w:hAnsi="Arial" w:cs="Arial"/>
        </w:rPr>
        <w:t>which are commissioned at the local (Wandsworth), sector (South West London) and regional (London) scale.</w:t>
      </w:r>
    </w:p>
    <w:p w:rsidR="00643BBA" w:rsidRPr="00A60B12" w:rsidRDefault="00643BBA" w:rsidP="00575DB3">
      <w:pPr>
        <w:pStyle w:val="ListParagraph"/>
        <w:numPr>
          <w:ilvl w:val="1"/>
          <w:numId w:val="11"/>
        </w:numPr>
        <w:spacing w:after="0"/>
        <w:rPr>
          <w:rFonts w:ascii="Arial" w:hAnsi="Arial" w:cs="Arial"/>
        </w:rPr>
      </w:pPr>
      <w:r w:rsidRPr="00A60B12">
        <w:rPr>
          <w:rFonts w:ascii="Arial" w:hAnsi="Arial" w:cs="Arial"/>
        </w:rPr>
        <w:t>Review access routes to care, and assess the v</w:t>
      </w:r>
      <w:r w:rsidR="001F22C7" w:rsidRPr="00A60B12">
        <w:rPr>
          <w:rFonts w:ascii="Arial" w:hAnsi="Arial" w:cs="Arial"/>
        </w:rPr>
        <w:t>iews of the local population on t</w:t>
      </w:r>
      <w:r w:rsidRPr="00A60B12">
        <w:rPr>
          <w:rFonts w:ascii="Arial" w:hAnsi="Arial" w:cs="Arial"/>
        </w:rPr>
        <w:t>heir experiences of existing COPD services</w:t>
      </w:r>
    </w:p>
    <w:p w:rsidR="00643BBA" w:rsidRPr="00A60B12" w:rsidRDefault="00643BBA" w:rsidP="00575DB3">
      <w:pPr>
        <w:pStyle w:val="ListParagraph"/>
        <w:numPr>
          <w:ilvl w:val="0"/>
          <w:numId w:val="11"/>
        </w:numPr>
        <w:spacing w:after="0"/>
        <w:rPr>
          <w:rFonts w:ascii="Arial" w:hAnsi="Arial" w:cs="Arial"/>
        </w:rPr>
      </w:pPr>
      <w:r w:rsidRPr="00A60B12">
        <w:rPr>
          <w:rFonts w:ascii="Arial" w:hAnsi="Arial" w:cs="Arial"/>
        </w:rPr>
        <w:t>Assess the views of respiratory health staff on:</w:t>
      </w:r>
    </w:p>
    <w:p w:rsidR="00643BBA" w:rsidRPr="00A60B12" w:rsidRDefault="00643BBA" w:rsidP="00575DB3">
      <w:pPr>
        <w:pStyle w:val="ListParagraph"/>
        <w:numPr>
          <w:ilvl w:val="1"/>
          <w:numId w:val="11"/>
        </w:numPr>
        <w:spacing w:after="0"/>
        <w:rPr>
          <w:rFonts w:ascii="Arial" w:hAnsi="Arial" w:cs="Arial"/>
        </w:rPr>
      </w:pPr>
      <w:r w:rsidRPr="00A60B12">
        <w:rPr>
          <w:rFonts w:ascii="Arial" w:hAnsi="Arial" w:cs="Arial"/>
        </w:rPr>
        <w:t xml:space="preserve">The needs of the local population </w:t>
      </w:r>
    </w:p>
    <w:p w:rsidR="00643BBA" w:rsidRPr="00A60B12" w:rsidRDefault="00643BBA" w:rsidP="00575DB3">
      <w:pPr>
        <w:pStyle w:val="ListParagraph"/>
        <w:numPr>
          <w:ilvl w:val="1"/>
          <w:numId w:val="11"/>
        </w:numPr>
        <w:spacing w:after="0"/>
        <w:rPr>
          <w:rFonts w:ascii="Arial" w:hAnsi="Arial" w:cs="Arial"/>
        </w:rPr>
      </w:pPr>
      <w:r w:rsidRPr="00A60B12">
        <w:rPr>
          <w:rFonts w:ascii="Arial" w:hAnsi="Arial" w:cs="Arial"/>
        </w:rPr>
        <w:t>COPD service development needs and any gaps in the current provision of COPD services</w:t>
      </w:r>
    </w:p>
    <w:p w:rsidR="00643BBA" w:rsidRPr="00A60B12" w:rsidRDefault="00643BBA" w:rsidP="00575DB3">
      <w:pPr>
        <w:pStyle w:val="ListParagraph"/>
        <w:numPr>
          <w:ilvl w:val="0"/>
          <w:numId w:val="11"/>
        </w:numPr>
        <w:spacing w:after="0"/>
        <w:rPr>
          <w:rFonts w:ascii="Arial" w:hAnsi="Arial" w:cs="Arial"/>
        </w:rPr>
      </w:pPr>
      <w:r w:rsidRPr="00A60B12">
        <w:rPr>
          <w:rFonts w:ascii="Arial" w:hAnsi="Arial" w:cs="Arial"/>
        </w:rPr>
        <w:t>Summarise the findings of the needs assessment and make recommendations to NHS Wands</w:t>
      </w:r>
      <w:r w:rsidR="001F22C7" w:rsidRPr="00A60B12">
        <w:rPr>
          <w:rFonts w:ascii="Arial" w:hAnsi="Arial" w:cs="Arial"/>
        </w:rPr>
        <w:t>worth and other providers of COPD</w:t>
      </w:r>
      <w:r w:rsidRPr="00A60B12">
        <w:rPr>
          <w:rFonts w:ascii="Arial" w:hAnsi="Arial" w:cs="Arial"/>
        </w:rPr>
        <w:t xml:space="preserve"> services.</w:t>
      </w:r>
    </w:p>
    <w:p w:rsidR="00643BBA" w:rsidRPr="00433711" w:rsidRDefault="00643BBA" w:rsidP="00575DB3">
      <w:pPr>
        <w:spacing w:after="0"/>
        <w:rPr>
          <w:rFonts w:ascii="Arial" w:eastAsia="Times New Roman" w:hAnsi="Arial" w:cs="Arial"/>
          <w:b/>
          <w:bCs/>
          <w:lang w:eastAsia="en-GB"/>
        </w:rPr>
      </w:pPr>
    </w:p>
    <w:p w:rsidR="00071B70" w:rsidRPr="00433711" w:rsidRDefault="00071B70" w:rsidP="00575DB3">
      <w:pPr>
        <w:spacing w:after="0"/>
        <w:rPr>
          <w:rFonts w:ascii="Arial" w:eastAsia="Times New Roman" w:hAnsi="Arial" w:cs="Arial"/>
          <w:b/>
          <w:bCs/>
          <w:lang w:eastAsia="en-GB"/>
        </w:rPr>
      </w:pPr>
      <w:r w:rsidRPr="00433711">
        <w:rPr>
          <w:rFonts w:ascii="Arial" w:eastAsia="Times New Roman" w:hAnsi="Arial" w:cs="Arial"/>
          <w:b/>
          <w:bCs/>
          <w:lang w:eastAsia="en-GB"/>
        </w:rPr>
        <w:br w:type="page"/>
      </w:r>
    </w:p>
    <w:p w:rsidR="00E20329" w:rsidRDefault="00F63160" w:rsidP="008C4B7F">
      <w:pPr>
        <w:pStyle w:val="Heading1"/>
        <w:spacing w:before="0" w:beforeAutospacing="0" w:after="0" w:afterAutospacing="0" w:line="276" w:lineRule="auto"/>
      </w:pPr>
      <w:bookmarkStart w:id="5" w:name="_Toc256345716"/>
      <w:r>
        <w:lastRenderedPageBreak/>
        <w:t>Background</w:t>
      </w:r>
      <w:bookmarkEnd w:id="5"/>
    </w:p>
    <w:p w:rsidR="007B66CA" w:rsidRDefault="00EC3096" w:rsidP="00770E50">
      <w:pPr>
        <w:pStyle w:val="Heading2"/>
      </w:pPr>
      <w:bookmarkStart w:id="6" w:name="_Toc256345717"/>
      <w:r>
        <w:t>COPD</w:t>
      </w:r>
      <w:r w:rsidR="007B66CA">
        <w:t xml:space="preserve"> </w:t>
      </w:r>
      <w:r w:rsidR="005234C6">
        <w:t>definition and natural history</w:t>
      </w:r>
      <w:bookmarkEnd w:id="6"/>
    </w:p>
    <w:p w:rsidR="0015605F" w:rsidRDefault="00A811A4" w:rsidP="00284BA6">
      <w:pPr>
        <w:pStyle w:val="NormalWeb"/>
        <w:spacing w:before="0" w:beforeAutospacing="0" w:after="0" w:afterAutospacing="0" w:line="276" w:lineRule="auto"/>
        <w:rPr>
          <w:rFonts w:ascii="Arial" w:hAnsi="Arial" w:cs="Arial"/>
          <w:sz w:val="22"/>
          <w:szCs w:val="22"/>
        </w:rPr>
      </w:pPr>
      <w:r w:rsidRPr="00A60B12">
        <w:rPr>
          <w:rFonts w:ascii="Arial" w:hAnsi="Arial" w:cs="Arial"/>
          <w:sz w:val="22"/>
          <w:szCs w:val="22"/>
        </w:rPr>
        <w:t>The World Hea</w:t>
      </w:r>
      <w:r w:rsidR="00711318" w:rsidRPr="00A60B12">
        <w:rPr>
          <w:rFonts w:ascii="Arial" w:hAnsi="Arial" w:cs="Arial"/>
          <w:sz w:val="22"/>
          <w:szCs w:val="22"/>
        </w:rPr>
        <w:t xml:space="preserve">lth </w:t>
      </w:r>
      <w:r w:rsidR="00AD0379" w:rsidRPr="00A60B12">
        <w:rPr>
          <w:rFonts w:ascii="Arial" w:hAnsi="Arial" w:cs="Arial"/>
          <w:sz w:val="22"/>
          <w:szCs w:val="22"/>
        </w:rPr>
        <w:t>Organization describes Chronic O</w:t>
      </w:r>
      <w:r w:rsidR="00711318" w:rsidRPr="00A60B12">
        <w:rPr>
          <w:rFonts w:ascii="Arial" w:hAnsi="Arial" w:cs="Arial"/>
          <w:sz w:val="22"/>
          <w:szCs w:val="22"/>
        </w:rPr>
        <w:t xml:space="preserve">bstructive </w:t>
      </w:r>
      <w:r w:rsidR="00AD0379" w:rsidRPr="00A60B12">
        <w:rPr>
          <w:rFonts w:ascii="Arial" w:hAnsi="Arial" w:cs="Arial"/>
          <w:sz w:val="22"/>
          <w:szCs w:val="22"/>
        </w:rPr>
        <w:t>Pulmonary D</w:t>
      </w:r>
      <w:r w:rsidR="00711318" w:rsidRPr="00A60B12">
        <w:rPr>
          <w:rFonts w:ascii="Arial" w:hAnsi="Arial" w:cs="Arial"/>
          <w:sz w:val="22"/>
          <w:szCs w:val="22"/>
        </w:rPr>
        <w:t xml:space="preserve">isease (COPD) </w:t>
      </w:r>
      <w:r w:rsidRPr="00A60B12">
        <w:rPr>
          <w:rFonts w:ascii="Arial" w:hAnsi="Arial" w:cs="Arial"/>
          <w:sz w:val="22"/>
          <w:szCs w:val="22"/>
        </w:rPr>
        <w:t>as:</w:t>
      </w:r>
      <w:r w:rsidR="00284BA6">
        <w:rPr>
          <w:rFonts w:ascii="Arial" w:hAnsi="Arial" w:cs="Arial"/>
          <w:sz w:val="22"/>
          <w:szCs w:val="22"/>
        </w:rPr>
        <w:t xml:space="preserve"> </w:t>
      </w:r>
      <w:r w:rsidR="00711318" w:rsidRPr="00A60B12">
        <w:rPr>
          <w:rFonts w:ascii="Arial" w:hAnsi="Arial" w:cs="Arial"/>
          <w:sz w:val="22"/>
          <w:szCs w:val="22"/>
        </w:rPr>
        <w:t>“</w:t>
      </w:r>
      <w:r w:rsidR="00D24614" w:rsidRPr="00A60B12">
        <w:rPr>
          <w:rFonts w:ascii="Arial" w:hAnsi="Arial" w:cs="Arial"/>
          <w:sz w:val="22"/>
          <w:szCs w:val="22"/>
        </w:rPr>
        <w:t>a lung ailment that is characterized by a persistent blockage of airflow from the lungs. It is an under-diagnosed, life-threatening lung disease that interferes with normal breathing and is not fully reversible</w:t>
      </w:r>
      <w:r w:rsidR="00AD0379" w:rsidRPr="00A60B12">
        <w:rPr>
          <w:rStyle w:val="EndnoteReference"/>
          <w:rFonts w:ascii="Arial" w:hAnsi="Arial" w:cs="Arial"/>
          <w:sz w:val="22"/>
          <w:szCs w:val="22"/>
        </w:rPr>
        <w:endnoteReference w:id="1"/>
      </w:r>
      <w:r w:rsidR="00D24614" w:rsidRPr="00A60B12">
        <w:rPr>
          <w:rFonts w:ascii="Arial" w:hAnsi="Arial" w:cs="Arial"/>
          <w:sz w:val="22"/>
          <w:szCs w:val="22"/>
        </w:rPr>
        <w:t>.</w:t>
      </w:r>
      <w:r w:rsidR="00711318" w:rsidRPr="00A60B12">
        <w:rPr>
          <w:rFonts w:ascii="Arial" w:hAnsi="Arial" w:cs="Arial"/>
          <w:sz w:val="22"/>
          <w:szCs w:val="22"/>
        </w:rPr>
        <w:t>”</w:t>
      </w:r>
    </w:p>
    <w:p w:rsidR="00A811A4" w:rsidRDefault="00A811A4" w:rsidP="00697795">
      <w:pPr>
        <w:pStyle w:val="Heading2"/>
      </w:pPr>
      <w:bookmarkStart w:id="7" w:name="_Toc256345718"/>
      <w:r>
        <w:t>Global burden</w:t>
      </w:r>
      <w:bookmarkEnd w:id="7"/>
    </w:p>
    <w:p w:rsidR="00D24614" w:rsidRPr="00A60B12" w:rsidRDefault="005234C6" w:rsidP="00697795">
      <w:pPr>
        <w:spacing w:after="0"/>
        <w:rPr>
          <w:rFonts w:ascii="Arial" w:hAnsi="Arial" w:cs="Arial"/>
        </w:rPr>
      </w:pPr>
      <w:r w:rsidRPr="00A60B12">
        <w:rPr>
          <w:rFonts w:ascii="Arial" w:hAnsi="Arial" w:cs="Arial"/>
        </w:rPr>
        <w:t xml:space="preserve">More than </w:t>
      </w:r>
      <w:r w:rsidR="00D24614" w:rsidRPr="00A60B12">
        <w:rPr>
          <w:rFonts w:ascii="Arial" w:hAnsi="Arial" w:cs="Arial"/>
        </w:rPr>
        <w:t xml:space="preserve">80 million people </w:t>
      </w:r>
      <w:r w:rsidRPr="00A60B12">
        <w:rPr>
          <w:rFonts w:ascii="Arial" w:hAnsi="Arial" w:cs="Arial"/>
        </w:rPr>
        <w:t xml:space="preserve">around the world </w:t>
      </w:r>
      <w:r w:rsidR="00D24614" w:rsidRPr="00A60B12">
        <w:rPr>
          <w:rFonts w:ascii="Arial" w:hAnsi="Arial" w:cs="Arial"/>
        </w:rPr>
        <w:t>have moderate to severe chronic obstru</w:t>
      </w:r>
      <w:r w:rsidRPr="00A60B12">
        <w:rPr>
          <w:rFonts w:ascii="Arial" w:hAnsi="Arial" w:cs="Arial"/>
        </w:rPr>
        <w:t xml:space="preserve">ctive pulmonary disease (COPD) and more than </w:t>
      </w:r>
      <w:r w:rsidR="00D24614" w:rsidRPr="00A60B12">
        <w:rPr>
          <w:rFonts w:ascii="Arial" w:hAnsi="Arial" w:cs="Arial"/>
        </w:rPr>
        <w:t>3 mill</w:t>
      </w:r>
      <w:r w:rsidRPr="00A60B12">
        <w:rPr>
          <w:rFonts w:ascii="Arial" w:hAnsi="Arial" w:cs="Arial"/>
        </w:rPr>
        <w:t>ion people died as a result of it in</w:t>
      </w:r>
      <w:r w:rsidR="00934DFF" w:rsidRPr="00A60B12">
        <w:rPr>
          <w:rFonts w:ascii="Arial" w:hAnsi="Arial" w:cs="Arial"/>
        </w:rPr>
        <w:t xml:space="preserve"> 2005</w:t>
      </w:r>
      <w:r w:rsidRPr="00A60B12">
        <w:rPr>
          <w:rFonts w:ascii="Arial" w:hAnsi="Arial" w:cs="Arial"/>
        </w:rPr>
        <w:t>. This makes it the</w:t>
      </w:r>
      <w:r w:rsidR="00D24614" w:rsidRPr="00A60B12">
        <w:rPr>
          <w:rFonts w:ascii="Arial" w:hAnsi="Arial" w:cs="Arial"/>
        </w:rPr>
        <w:t xml:space="preserve"> fifth </w:t>
      </w:r>
      <w:r w:rsidRPr="00A60B12">
        <w:rPr>
          <w:rFonts w:ascii="Arial" w:hAnsi="Arial" w:cs="Arial"/>
        </w:rPr>
        <w:t>highest</w:t>
      </w:r>
      <w:r w:rsidR="00D24614" w:rsidRPr="00A60B12">
        <w:rPr>
          <w:rFonts w:ascii="Arial" w:hAnsi="Arial" w:cs="Arial"/>
        </w:rPr>
        <w:t xml:space="preserve"> cause of death. Total deaths from COPD are projected to increase by more than 30% in </w:t>
      </w:r>
      <w:r w:rsidR="00575DB3" w:rsidRPr="00A60B12">
        <w:rPr>
          <w:rFonts w:ascii="Arial" w:hAnsi="Arial" w:cs="Arial"/>
        </w:rPr>
        <w:t>the next 10 years</w:t>
      </w:r>
      <w:r w:rsidR="00D24614" w:rsidRPr="00A60B12">
        <w:rPr>
          <w:rFonts w:ascii="Arial" w:hAnsi="Arial" w:cs="Arial"/>
        </w:rPr>
        <w:t xml:space="preserve">. </w:t>
      </w:r>
    </w:p>
    <w:p w:rsidR="00A60B12" w:rsidRPr="00A60B12" w:rsidRDefault="00A60B12" w:rsidP="00697795">
      <w:pPr>
        <w:pStyle w:val="Heading2"/>
      </w:pPr>
      <w:bookmarkStart w:id="8" w:name="_Toc256345719"/>
      <w:r>
        <w:t>National Burden</w:t>
      </w:r>
      <w:bookmarkEnd w:id="8"/>
    </w:p>
    <w:p w:rsidR="008C4B7F" w:rsidRPr="00A60B12" w:rsidRDefault="007658E2" w:rsidP="00697795">
      <w:pPr>
        <w:autoSpaceDE w:val="0"/>
        <w:autoSpaceDN w:val="0"/>
        <w:adjustRightInd w:val="0"/>
        <w:spacing w:after="0"/>
        <w:rPr>
          <w:rFonts w:ascii="Arial" w:hAnsi="Arial" w:cs="Arial"/>
        </w:rPr>
      </w:pPr>
      <w:r w:rsidRPr="00A60B12">
        <w:rPr>
          <w:rFonts w:ascii="Arial" w:hAnsi="Arial" w:cs="Arial"/>
        </w:rPr>
        <w:t>In the UK, COPD leads to more than 27,000 deaths per year</w:t>
      </w:r>
      <w:r w:rsidR="00D93719" w:rsidRPr="00A60B12">
        <w:rPr>
          <w:rStyle w:val="EndnoteReference"/>
          <w:rFonts w:ascii="Arial" w:hAnsi="Arial" w:cs="Arial"/>
        </w:rPr>
        <w:endnoteReference w:id="2"/>
      </w:r>
      <w:r w:rsidR="00EA78DE" w:rsidRPr="00A60B12">
        <w:rPr>
          <w:rFonts w:ascii="Arial" w:hAnsi="Arial" w:cs="Arial"/>
        </w:rPr>
        <w:t>, corresponding to 5.7 percent of adult</w:t>
      </w:r>
      <w:r w:rsidR="00A60B12">
        <w:rPr>
          <w:rFonts w:ascii="Arial" w:hAnsi="Arial" w:cs="Arial"/>
        </w:rPr>
        <w:t xml:space="preserve"> </w:t>
      </w:r>
      <w:r w:rsidR="00EA78DE" w:rsidRPr="00A60B12">
        <w:rPr>
          <w:rFonts w:ascii="Arial" w:hAnsi="Arial" w:cs="Arial"/>
        </w:rPr>
        <w:t>male and 4 percent of adult female deaths.</w:t>
      </w:r>
      <w:r w:rsidR="00A60B12">
        <w:rPr>
          <w:rFonts w:ascii="Arial" w:hAnsi="Arial" w:cs="Arial"/>
        </w:rPr>
        <w:t xml:space="preserve"> </w:t>
      </w:r>
      <w:r w:rsidR="00FC0038" w:rsidRPr="00A60B12">
        <w:rPr>
          <w:rFonts w:ascii="Arial" w:hAnsi="Arial" w:cs="Arial"/>
        </w:rPr>
        <w:t>There</w:t>
      </w:r>
      <w:r w:rsidR="00D93719" w:rsidRPr="00A60B12">
        <w:rPr>
          <w:rFonts w:ascii="Arial" w:hAnsi="Arial" w:cs="Arial"/>
        </w:rPr>
        <w:t xml:space="preserve"> are currently an estimated 3 million people suffering from COPD in the UK,</w:t>
      </w:r>
      <w:r w:rsidR="00FC0038" w:rsidRPr="00A60B12">
        <w:rPr>
          <w:rFonts w:ascii="Arial" w:hAnsi="Arial" w:cs="Arial"/>
        </w:rPr>
        <w:t xml:space="preserve"> </w:t>
      </w:r>
      <w:r w:rsidR="00D93719" w:rsidRPr="00A60B12">
        <w:rPr>
          <w:rFonts w:ascii="Arial" w:hAnsi="Arial" w:cs="Arial"/>
        </w:rPr>
        <w:t xml:space="preserve">and only about 900,000 of these patients have been diagnosed and are receiving </w:t>
      </w:r>
      <w:r w:rsidR="00E20329" w:rsidRPr="00A60B12">
        <w:rPr>
          <w:rFonts w:ascii="Arial" w:hAnsi="Arial" w:cs="Arial"/>
        </w:rPr>
        <w:t>treatment</w:t>
      </w:r>
      <w:r w:rsidR="00EA78DE" w:rsidRPr="00A60B12">
        <w:rPr>
          <w:rStyle w:val="EndnoteReference"/>
          <w:rFonts w:ascii="Arial" w:hAnsi="Arial" w:cs="Arial"/>
        </w:rPr>
        <w:endnoteReference w:id="3"/>
      </w:r>
      <w:r w:rsidR="00D93719" w:rsidRPr="00A60B12">
        <w:rPr>
          <w:rFonts w:ascii="Arial" w:hAnsi="Arial" w:cs="Arial"/>
        </w:rPr>
        <w:t xml:space="preserve">. </w:t>
      </w:r>
    </w:p>
    <w:p w:rsidR="008C4B7F" w:rsidRPr="00A60B12" w:rsidRDefault="008C4B7F" w:rsidP="00697795">
      <w:pPr>
        <w:autoSpaceDE w:val="0"/>
        <w:autoSpaceDN w:val="0"/>
        <w:adjustRightInd w:val="0"/>
        <w:spacing w:after="0"/>
        <w:rPr>
          <w:rFonts w:ascii="Arial" w:hAnsi="Arial" w:cs="Arial"/>
        </w:rPr>
      </w:pPr>
    </w:p>
    <w:p w:rsidR="007658E2" w:rsidRPr="00A60B12" w:rsidRDefault="00261B26" w:rsidP="00697795">
      <w:pPr>
        <w:autoSpaceDE w:val="0"/>
        <w:autoSpaceDN w:val="0"/>
        <w:adjustRightInd w:val="0"/>
        <w:spacing w:after="0"/>
        <w:rPr>
          <w:rFonts w:ascii="Arial" w:hAnsi="Arial" w:cs="Arial"/>
        </w:rPr>
      </w:pPr>
      <w:r>
        <w:rPr>
          <w:rFonts w:ascii="Arial" w:hAnsi="Arial" w:cs="Arial"/>
        </w:rPr>
        <w:t>COPD</w:t>
      </w:r>
      <w:r w:rsidR="00FC0038" w:rsidRPr="00A60B12">
        <w:rPr>
          <w:rFonts w:ascii="Arial" w:hAnsi="Arial" w:cs="Arial"/>
        </w:rPr>
        <w:t xml:space="preserve"> is</w:t>
      </w:r>
      <w:r w:rsidR="00D93719" w:rsidRPr="00A60B12">
        <w:rPr>
          <w:rFonts w:ascii="Arial" w:hAnsi="Arial" w:cs="Arial"/>
        </w:rPr>
        <w:t xml:space="preserve"> </w:t>
      </w:r>
      <w:r w:rsidR="00E20329" w:rsidRPr="00A60B12">
        <w:rPr>
          <w:rFonts w:ascii="Arial" w:hAnsi="Arial" w:cs="Arial"/>
        </w:rPr>
        <w:t>responsible</w:t>
      </w:r>
      <w:r w:rsidR="00D93719" w:rsidRPr="00A60B12">
        <w:rPr>
          <w:rFonts w:ascii="Arial" w:hAnsi="Arial" w:cs="Arial"/>
        </w:rPr>
        <w:t xml:space="preserve"> for a large number of hospital admissions: more than one million (1,099,440) hospital bed days a year in England</w:t>
      </w:r>
      <w:r w:rsidR="00D93719" w:rsidRPr="00A60B12">
        <w:rPr>
          <w:rStyle w:val="EndnoteReference"/>
          <w:rFonts w:ascii="Arial" w:hAnsi="Arial" w:cs="Arial"/>
        </w:rPr>
        <w:endnoteReference w:id="4"/>
      </w:r>
      <w:r w:rsidR="00EA78DE" w:rsidRPr="00A60B12">
        <w:rPr>
          <w:rFonts w:ascii="Arial" w:hAnsi="Arial" w:cs="Arial"/>
        </w:rPr>
        <w:t>. 1.4% of the population consult their general practitioners (GPs) for COPD each year</w:t>
      </w:r>
      <w:r w:rsidR="008C4B7F" w:rsidRPr="00A60B12">
        <w:rPr>
          <w:rStyle w:val="EndnoteReference"/>
          <w:rFonts w:ascii="Arial" w:hAnsi="Arial" w:cs="Arial"/>
        </w:rPr>
        <w:endnoteReference w:id="5"/>
      </w:r>
      <w:r>
        <w:rPr>
          <w:rFonts w:ascii="Arial" w:hAnsi="Arial" w:cs="Arial"/>
        </w:rPr>
        <w:t>. The disease</w:t>
      </w:r>
      <w:r w:rsidR="00EA78DE" w:rsidRPr="00A60B12">
        <w:rPr>
          <w:rFonts w:ascii="Arial" w:hAnsi="Arial" w:cs="Arial"/>
        </w:rPr>
        <w:t xml:space="preserve"> accounts for 2% of hospital admission</w:t>
      </w:r>
      <w:r>
        <w:rPr>
          <w:rFonts w:ascii="Arial" w:hAnsi="Arial" w:cs="Arial"/>
        </w:rPr>
        <w:t>s and over 3%</w:t>
      </w:r>
      <w:r w:rsidR="00EA78DE" w:rsidRPr="00A60B12">
        <w:rPr>
          <w:rFonts w:ascii="Arial" w:hAnsi="Arial" w:cs="Arial"/>
        </w:rPr>
        <w:t xml:space="preserve"> of bed-days in adults, costing the NHS £800 million, and</w:t>
      </w:r>
      <w:r w:rsidR="00652BDF">
        <w:rPr>
          <w:rFonts w:ascii="Arial" w:hAnsi="Arial" w:cs="Arial"/>
        </w:rPr>
        <w:t xml:space="preserve"> </w:t>
      </w:r>
      <w:r w:rsidR="00386DED" w:rsidRPr="00A60B12">
        <w:rPr>
          <w:rFonts w:ascii="Arial" w:hAnsi="Arial" w:cs="Arial"/>
        </w:rPr>
        <w:t>13% of a popul</w:t>
      </w:r>
      <w:r w:rsidR="008C4B7F" w:rsidRPr="00A60B12">
        <w:rPr>
          <w:rFonts w:ascii="Arial" w:hAnsi="Arial" w:cs="Arial"/>
        </w:rPr>
        <w:t>ation of COPD patient</w:t>
      </w:r>
      <w:r>
        <w:rPr>
          <w:rFonts w:ascii="Arial" w:hAnsi="Arial" w:cs="Arial"/>
        </w:rPr>
        <w:t>s</w:t>
      </w:r>
      <w:r w:rsidR="00386DED" w:rsidRPr="00A60B12">
        <w:rPr>
          <w:rFonts w:ascii="Arial" w:hAnsi="Arial" w:cs="Arial"/>
        </w:rPr>
        <w:t xml:space="preserve"> will be hospitalized in a 3 year period</w:t>
      </w:r>
      <w:r w:rsidR="00386DED" w:rsidRPr="00A60B12">
        <w:rPr>
          <w:rStyle w:val="EndnoteReference"/>
          <w:rFonts w:ascii="Arial" w:hAnsi="Arial" w:cs="Arial"/>
        </w:rPr>
        <w:endnoteReference w:id="6"/>
      </w:r>
      <w:r w:rsidR="00386DED" w:rsidRPr="00A60B12">
        <w:rPr>
          <w:rFonts w:ascii="Arial" w:hAnsi="Arial" w:cs="Arial"/>
        </w:rPr>
        <w:t xml:space="preserve">. </w:t>
      </w:r>
      <w:r w:rsidR="00D93719" w:rsidRPr="00A60B12">
        <w:rPr>
          <w:rFonts w:ascii="Arial" w:hAnsi="Arial" w:cs="Arial"/>
        </w:rPr>
        <w:t>A</w:t>
      </w:r>
      <w:r w:rsidR="007658E2" w:rsidRPr="00A60B12">
        <w:rPr>
          <w:rFonts w:ascii="Arial" w:hAnsi="Arial" w:cs="Arial"/>
        </w:rPr>
        <w:t>pproximately 16% of patients</w:t>
      </w:r>
      <w:r w:rsidR="00D93719" w:rsidRPr="00A60B12">
        <w:rPr>
          <w:rFonts w:ascii="Arial" w:hAnsi="Arial" w:cs="Arial"/>
        </w:rPr>
        <w:t xml:space="preserve"> </w:t>
      </w:r>
      <w:r w:rsidR="007658E2" w:rsidRPr="00A60B12">
        <w:rPr>
          <w:rFonts w:ascii="Arial" w:hAnsi="Arial" w:cs="Arial"/>
        </w:rPr>
        <w:t>admitted to hospital for COPD will die within three months, and almost a quarter will die within a year after admission</w:t>
      </w:r>
      <w:r w:rsidR="00D93719" w:rsidRPr="00A60B12">
        <w:rPr>
          <w:rStyle w:val="EndnoteReference"/>
          <w:rFonts w:ascii="Arial" w:hAnsi="Arial" w:cs="Arial"/>
        </w:rPr>
        <w:endnoteReference w:id="7"/>
      </w:r>
      <w:r w:rsidR="00D93719" w:rsidRPr="00A60B12">
        <w:rPr>
          <w:rFonts w:ascii="Arial" w:hAnsi="Arial" w:cs="Arial"/>
        </w:rPr>
        <w:t>.</w:t>
      </w:r>
    </w:p>
    <w:p w:rsidR="007658E2" w:rsidRPr="00A60B12" w:rsidRDefault="007658E2" w:rsidP="00697795">
      <w:pPr>
        <w:pStyle w:val="NormalWeb"/>
        <w:spacing w:before="0" w:beforeAutospacing="0" w:after="0" w:afterAutospacing="0" w:line="276" w:lineRule="auto"/>
        <w:rPr>
          <w:rFonts w:ascii="Arial" w:hAnsi="Arial" w:cs="Arial"/>
          <w:sz w:val="22"/>
          <w:szCs w:val="22"/>
        </w:rPr>
      </w:pPr>
    </w:p>
    <w:p w:rsidR="00D93719" w:rsidRPr="00A60B12" w:rsidRDefault="00D93719" w:rsidP="00697795">
      <w:pPr>
        <w:autoSpaceDE w:val="0"/>
        <w:autoSpaceDN w:val="0"/>
        <w:adjustRightInd w:val="0"/>
        <w:spacing w:after="0"/>
        <w:rPr>
          <w:rFonts w:ascii="Arial" w:hAnsi="Arial" w:cs="Arial"/>
        </w:rPr>
      </w:pPr>
      <w:r w:rsidRPr="00A60B12">
        <w:rPr>
          <w:rFonts w:ascii="Arial" w:hAnsi="Arial" w:cs="Arial"/>
        </w:rPr>
        <w:t xml:space="preserve">There is also a </w:t>
      </w:r>
      <w:r w:rsidR="00E20329" w:rsidRPr="00A60B12">
        <w:rPr>
          <w:rFonts w:ascii="Arial" w:hAnsi="Arial" w:cs="Arial"/>
        </w:rPr>
        <w:t>substantial</w:t>
      </w:r>
      <w:r w:rsidRPr="00A60B12">
        <w:rPr>
          <w:rFonts w:ascii="Arial" w:hAnsi="Arial" w:cs="Arial"/>
        </w:rPr>
        <w:t xml:space="preserve"> burden of morbidity and economic cost. 60% of </w:t>
      </w:r>
      <w:r w:rsidR="00E20329" w:rsidRPr="00A60B12">
        <w:rPr>
          <w:rFonts w:ascii="Arial" w:hAnsi="Arial" w:cs="Arial"/>
        </w:rPr>
        <w:t>COPD</w:t>
      </w:r>
      <w:r w:rsidRPr="00A60B12">
        <w:rPr>
          <w:rFonts w:ascii="Arial" w:hAnsi="Arial" w:cs="Arial"/>
        </w:rPr>
        <w:t xml:space="preserve"> patients </w:t>
      </w:r>
      <w:r w:rsidR="00E20329" w:rsidRPr="00A60B12">
        <w:rPr>
          <w:rFonts w:ascii="Arial" w:hAnsi="Arial" w:cs="Arial"/>
        </w:rPr>
        <w:t>will</w:t>
      </w:r>
      <w:r w:rsidRPr="00A60B12">
        <w:rPr>
          <w:rFonts w:ascii="Arial" w:hAnsi="Arial" w:cs="Arial"/>
        </w:rPr>
        <w:t xml:space="preserve"> report s</w:t>
      </w:r>
      <w:r w:rsidR="00E20329" w:rsidRPr="00A60B12">
        <w:rPr>
          <w:rFonts w:ascii="Arial" w:hAnsi="Arial" w:cs="Arial"/>
        </w:rPr>
        <w:t>ome limitation in the daily activities</w:t>
      </w:r>
      <w:r w:rsidRPr="00A60B12">
        <w:rPr>
          <w:rFonts w:ascii="Arial" w:hAnsi="Arial" w:cs="Arial"/>
        </w:rPr>
        <w:t>, with 45% unable to work, and 75% having difficulty climbing stairs</w:t>
      </w:r>
      <w:r w:rsidR="00E20329" w:rsidRPr="00A60B12">
        <w:rPr>
          <w:rStyle w:val="EndnoteReference"/>
          <w:rFonts w:ascii="Arial" w:hAnsi="Arial" w:cs="Arial"/>
        </w:rPr>
        <w:endnoteReference w:id="8"/>
      </w:r>
      <w:r w:rsidRPr="00A60B12">
        <w:rPr>
          <w:rFonts w:ascii="Arial" w:hAnsi="Arial" w:cs="Arial"/>
        </w:rPr>
        <w:t>. The National Institute for Health and Clinical Excellence (NICE) estimates in 2004 that the direct cost of COPD</w:t>
      </w:r>
      <w:r w:rsidR="005234C6" w:rsidRPr="00A60B12">
        <w:rPr>
          <w:rFonts w:ascii="Arial" w:hAnsi="Arial" w:cs="Arial"/>
        </w:rPr>
        <w:t xml:space="preserve"> in England</w:t>
      </w:r>
      <w:r w:rsidRPr="00A60B12">
        <w:rPr>
          <w:rFonts w:ascii="Arial" w:hAnsi="Arial" w:cs="Arial"/>
        </w:rPr>
        <w:t xml:space="preserve"> is more than £491 million per year and £982 million per year when including indirect costs.</w:t>
      </w:r>
      <w:r w:rsidR="008C4B7F" w:rsidRPr="00A60B12">
        <w:rPr>
          <w:rFonts w:ascii="Arial" w:hAnsi="Arial" w:cs="Arial"/>
        </w:rPr>
        <w:t xml:space="preserve"> It is the cause of 24 million lost working days each year</w:t>
      </w:r>
      <w:r w:rsidR="008C4B7F" w:rsidRPr="00A60B12">
        <w:rPr>
          <w:rStyle w:val="EndnoteReference"/>
          <w:rFonts w:ascii="Arial" w:hAnsi="Arial" w:cs="Arial"/>
        </w:rPr>
        <w:endnoteReference w:id="9"/>
      </w:r>
      <w:r w:rsidR="008C4B7F" w:rsidRPr="00A60B12">
        <w:rPr>
          <w:rFonts w:ascii="Arial" w:hAnsi="Arial" w:cs="Arial"/>
        </w:rPr>
        <w:t>.</w:t>
      </w:r>
    </w:p>
    <w:p w:rsidR="004F2097" w:rsidRPr="00A60B12" w:rsidRDefault="004F2097" w:rsidP="00697795">
      <w:pPr>
        <w:pStyle w:val="Heading2"/>
      </w:pPr>
      <w:bookmarkStart w:id="9" w:name="_Toc256345720"/>
      <w:r w:rsidRPr="00A60B12">
        <w:t>Risk Factors</w:t>
      </w:r>
      <w:bookmarkEnd w:id="9"/>
    </w:p>
    <w:p w:rsidR="00F138F6" w:rsidRPr="00A60B12" w:rsidRDefault="00F138F6" w:rsidP="00697795">
      <w:pPr>
        <w:pStyle w:val="ListParagraph"/>
        <w:numPr>
          <w:ilvl w:val="0"/>
          <w:numId w:val="15"/>
        </w:numPr>
        <w:rPr>
          <w:rFonts w:ascii="Arial" w:hAnsi="Arial" w:cs="Arial"/>
        </w:rPr>
      </w:pPr>
      <w:r w:rsidRPr="00A60B12">
        <w:rPr>
          <w:rFonts w:ascii="Arial" w:hAnsi="Arial" w:cs="Arial"/>
        </w:rPr>
        <w:t>The main risk fa</w:t>
      </w:r>
      <w:r w:rsidR="00DB5373" w:rsidRPr="00A60B12">
        <w:rPr>
          <w:rFonts w:ascii="Arial" w:hAnsi="Arial" w:cs="Arial"/>
        </w:rPr>
        <w:t>ctor for COPD is smoking. Between 8</w:t>
      </w:r>
      <w:r w:rsidR="00261B26">
        <w:rPr>
          <w:rFonts w:ascii="Arial" w:hAnsi="Arial" w:cs="Arial"/>
        </w:rPr>
        <w:t>0%</w:t>
      </w:r>
      <w:r w:rsidR="00DB5373" w:rsidRPr="00A60B12">
        <w:rPr>
          <w:rFonts w:ascii="Arial" w:hAnsi="Arial" w:cs="Arial"/>
        </w:rPr>
        <w:t xml:space="preserve"> and 9</w:t>
      </w:r>
      <w:r w:rsidR="00261B26">
        <w:rPr>
          <w:rFonts w:ascii="Arial" w:hAnsi="Arial" w:cs="Arial"/>
        </w:rPr>
        <w:t>0% of</w:t>
      </w:r>
      <w:r w:rsidR="00DB5373" w:rsidRPr="00A60B12">
        <w:rPr>
          <w:rFonts w:ascii="Arial" w:hAnsi="Arial" w:cs="Arial"/>
        </w:rPr>
        <w:t xml:space="preserve"> </w:t>
      </w:r>
      <w:r w:rsidR="004F2097" w:rsidRPr="00A60B12">
        <w:rPr>
          <w:rFonts w:ascii="Arial" w:hAnsi="Arial" w:cs="Arial"/>
        </w:rPr>
        <w:t>people with COPD are or used to be smokers</w:t>
      </w:r>
      <w:r w:rsidR="00DB5373" w:rsidRPr="00A60B12">
        <w:rPr>
          <w:rStyle w:val="EndnoteReference"/>
          <w:rFonts w:ascii="Arial" w:hAnsi="Arial" w:cs="Arial"/>
        </w:rPr>
        <w:endnoteReference w:id="10"/>
      </w:r>
      <w:r w:rsidR="00E20329" w:rsidRPr="00A60B12">
        <w:rPr>
          <w:rFonts w:ascii="Arial" w:hAnsi="Arial" w:cs="Arial"/>
        </w:rPr>
        <w:t>.</w:t>
      </w:r>
    </w:p>
    <w:p w:rsidR="00E20329" w:rsidRPr="00A60B12" w:rsidRDefault="00F138F6" w:rsidP="00697795">
      <w:pPr>
        <w:pStyle w:val="ListParagraph"/>
        <w:numPr>
          <w:ilvl w:val="0"/>
          <w:numId w:val="15"/>
        </w:numPr>
        <w:spacing w:after="0"/>
        <w:rPr>
          <w:rFonts w:ascii="Arial" w:hAnsi="Arial" w:cs="Arial"/>
        </w:rPr>
      </w:pPr>
      <w:r w:rsidRPr="00A60B12">
        <w:rPr>
          <w:rFonts w:ascii="Arial" w:hAnsi="Arial" w:cs="Arial"/>
        </w:rPr>
        <w:t xml:space="preserve">There is also a </w:t>
      </w:r>
      <w:r w:rsidR="00E20329" w:rsidRPr="00A60B12">
        <w:rPr>
          <w:rFonts w:ascii="Arial" w:hAnsi="Arial" w:cs="Arial"/>
        </w:rPr>
        <w:t>strong</w:t>
      </w:r>
      <w:r w:rsidRPr="00A60B12">
        <w:rPr>
          <w:rFonts w:ascii="Arial" w:hAnsi="Arial" w:cs="Arial"/>
        </w:rPr>
        <w:t xml:space="preserve"> association with deprivation</w:t>
      </w:r>
      <w:r w:rsidR="008C4B7F" w:rsidRPr="00A60B12">
        <w:rPr>
          <w:rStyle w:val="EndnoteReference"/>
          <w:rFonts w:ascii="Arial" w:hAnsi="Arial" w:cs="Arial"/>
        </w:rPr>
        <w:endnoteReference w:id="11"/>
      </w:r>
      <w:r w:rsidRPr="00A60B12">
        <w:rPr>
          <w:rFonts w:ascii="Arial" w:hAnsi="Arial" w:cs="Arial"/>
        </w:rPr>
        <w:t xml:space="preserve">. This is largely because of the link between increasing </w:t>
      </w:r>
      <w:r w:rsidR="00E20329" w:rsidRPr="00A60B12">
        <w:rPr>
          <w:rFonts w:ascii="Arial" w:hAnsi="Arial" w:cs="Arial"/>
        </w:rPr>
        <w:t>deprivation</w:t>
      </w:r>
      <w:r w:rsidRPr="00A60B12">
        <w:rPr>
          <w:rFonts w:ascii="Arial" w:hAnsi="Arial" w:cs="Arial"/>
        </w:rPr>
        <w:t xml:space="preserve"> </w:t>
      </w:r>
      <w:r w:rsidR="00E20329" w:rsidRPr="00A60B12">
        <w:rPr>
          <w:rFonts w:ascii="Arial" w:hAnsi="Arial" w:cs="Arial"/>
        </w:rPr>
        <w:t>and</w:t>
      </w:r>
      <w:r w:rsidRPr="00A60B12">
        <w:rPr>
          <w:rFonts w:ascii="Arial" w:hAnsi="Arial" w:cs="Arial"/>
        </w:rPr>
        <w:t xml:space="preserve"> increasing smoking rates.</w:t>
      </w:r>
      <w:r w:rsidR="004F2097" w:rsidRPr="00A60B12">
        <w:rPr>
          <w:rFonts w:ascii="Arial" w:hAnsi="Arial" w:cs="Arial"/>
        </w:rPr>
        <w:t xml:space="preserve"> </w:t>
      </w:r>
    </w:p>
    <w:p w:rsidR="004F2097" w:rsidRPr="00A60B12" w:rsidRDefault="00F138F6" w:rsidP="00697795">
      <w:pPr>
        <w:pStyle w:val="ListParagraph"/>
        <w:numPr>
          <w:ilvl w:val="0"/>
          <w:numId w:val="15"/>
        </w:numPr>
        <w:spacing w:after="0"/>
        <w:rPr>
          <w:rFonts w:ascii="Arial" w:hAnsi="Arial" w:cs="Arial"/>
        </w:rPr>
      </w:pPr>
      <w:r w:rsidRPr="00A60B12">
        <w:rPr>
          <w:rFonts w:ascii="Arial" w:hAnsi="Arial" w:cs="Arial"/>
        </w:rPr>
        <w:t xml:space="preserve">COPD is also linked </w:t>
      </w:r>
      <w:r w:rsidR="001F22C7" w:rsidRPr="00A60B12">
        <w:rPr>
          <w:rFonts w:ascii="Arial" w:hAnsi="Arial" w:cs="Arial"/>
        </w:rPr>
        <w:t>to Industrial exposure, such as</w:t>
      </w:r>
      <w:r w:rsidR="004F2097" w:rsidRPr="00A60B12">
        <w:rPr>
          <w:rFonts w:ascii="Arial" w:hAnsi="Arial" w:cs="Arial"/>
        </w:rPr>
        <w:t xml:space="preserve"> </w:t>
      </w:r>
      <w:r w:rsidRPr="00A60B12">
        <w:rPr>
          <w:rFonts w:ascii="Arial" w:hAnsi="Arial" w:cs="Arial"/>
        </w:rPr>
        <w:t xml:space="preserve">gases, dust and vapours at work. This is estimated at 15% of </w:t>
      </w:r>
      <w:proofErr w:type="gramStart"/>
      <w:r w:rsidRPr="00A60B12">
        <w:rPr>
          <w:rFonts w:ascii="Arial" w:hAnsi="Arial" w:cs="Arial"/>
        </w:rPr>
        <w:t>attributable</w:t>
      </w:r>
      <w:proofErr w:type="gramEnd"/>
      <w:r w:rsidRPr="00A60B12">
        <w:rPr>
          <w:rFonts w:ascii="Arial" w:hAnsi="Arial" w:cs="Arial"/>
        </w:rPr>
        <w:t xml:space="preserve"> risk</w:t>
      </w:r>
      <w:r w:rsidR="008C4B7F" w:rsidRPr="00A60B12">
        <w:rPr>
          <w:rStyle w:val="EndnoteReference"/>
          <w:rFonts w:ascii="Arial" w:hAnsi="Arial" w:cs="Arial"/>
        </w:rPr>
        <w:endnoteReference w:id="12"/>
      </w:r>
      <w:r w:rsidRPr="00A60B12">
        <w:rPr>
          <w:rFonts w:ascii="Arial" w:hAnsi="Arial" w:cs="Arial"/>
        </w:rPr>
        <w:t>.</w:t>
      </w:r>
    </w:p>
    <w:p w:rsidR="004F2097" w:rsidRPr="00A60B12" w:rsidRDefault="00F138F6" w:rsidP="00697795">
      <w:pPr>
        <w:numPr>
          <w:ilvl w:val="0"/>
          <w:numId w:val="15"/>
        </w:numPr>
        <w:spacing w:after="0"/>
        <w:rPr>
          <w:rFonts w:ascii="Arial" w:hAnsi="Arial" w:cs="Arial"/>
        </w:rPr>
      </w:pPr>
      <w:r w:rsidRPr="00A60B12">
        <w:rPr>
          <w:rFonts w:ascii="Arial" w:hAnsi="Arial" w:cs="Arial"/>
        </w:rPr>
        <w:t>I</w:t>
      </w:r>
      <w:r w:rsidR="004F2097" w:rsidRPr="00A60B12">
        <w:rPr>
          <w:rFonts w:ascii="Arial" w:hAnsi="Arial" w:cs="Arial"/>
        </w:rPr>
        <w:t>n a very small number of cases</w:t>
      </w:r>
      <w:r w:rsidRPr="00A60B12">
        <w:rPr>
          <w:rFonts w:ascii="Arial" w:hAnsi="Arial" w:cs="Arial"/>
        </w:rPr>
        <w:t>, COPD is associated with</w:t>
      </w:r>
      <w:r w:rsidR="00E20329" w:rsidRPr="00A60B12">
        <w:rPr>
          <w:rFonts w:ascii="Arial" w:hAnsi="Arial" w:cs="Arial"/>
        </w:rPr>
        <w:t xml:space="preserve"> particular genetic conditions, e.g. Alpha-1 Antitrypsin (</w:t>
      </w:r>
      <w:r w:rsidR="00E20329" w:rsidRPr="00A60B12">
        <w:rPr>
          <w:rStyle w:val="caps"/>
          <w:rFonts w:ascii="Arial" w:hAnsi="Arial" w:cs="Arial"/>
        </w:rPr>
        <w:t>AAT</w:t>
      </w:r>
      <w:r w:rsidR="001F22C7" w:rsidRPr="00A60B12">
        <w:rPr>
          <w:rFonts w:ascii="Arial" w:hAnsi="Arial" w:cs="Arial"/>
        </w:rPr>
        <w:t>) d</w:t>
      </w:r>
      <w:r w:rsidR="00E20329" w:rsidRPr="00A60B12">
        <w:rPr>
          <w:rFonts w:ascii="Arial" w:hAnsi="Arial" w:cs="Arial"/>
        </w:rPr>
        <w:t>eficiency</w:t>
      </w:r>
      <w:r w:rsidR="008C4B7F" w:rsidRPr="00A60B12">
        <w:rPr>
          <w:rStyle w:val="EndnoteReference"/>
          <w:rFonts w:ascii="Arial" w:hAnsi="Arial" w:cs="Arial"/>
        </w:rPr>
        <w:endnoteReference w:id="13"/>
      </w:r>
      <w:r w:rsidR="00E20329" w:rsidRPr="00A60B12">
        <w:rPr>
          <w:rFonts w:ascii="Arial" w:hAnsi="Arial" w:cs="Arial"/>
        </w:rPr>
        <w:t>.</w:t>
      </w:r>
    </w:p>
    <w:p w:rsidR="008C4B7F" w:rsidRPr="00A60B12" w:rsidRDefault="008C4B7F" w:rsidP="00697795">
      <w:pPr>
        <w:numPr>
          <w:ilvl w:val="0"/>
          <w:numId w:val="15"/>
        </w:numPr>
        <w:spacing w:after="0"/>
        <w:rPr>
          <w:rFonts w:ascii="Arial" w:hAnsi="Arial" w:cs="Arial"/>
        </w:rPr>
      </w:pPr>
      <w:r w:rsidRPr="00A60B12">
        <w:rPr>
          <w:rFonts w:ascii="Arial" w:hAnsi="Arial" w:cs="Arial"/>
        </w:rPr>
        <w:t>There is debate about whether ethnicity is also a risk factor</w:t>
      </w:r>
      <w:r w:rsidRPr="00A60B12">
        <w:rPr>
          <w:rStyle w:val="EndnoteReference"/>
          <w:rFonts w:ascii="Arial" w:hAnsi="Arial" w:cs="Arial"/>
        </w:rPr>
        <w:endnoteReference w:id="14"/>
      </w:r>
      <w:r w:rsidRPr="00A60B12">
        <w:rPr>
          <w:rFonts w:ascii="Arial" w:hAnsi="Arial" w:cs="Arial"/>
        </w:rPr>
        <w:t>.</w:t>
      </w:r>
    </w:p>
    <w:p w:rsidR="004F2097" w:rsidRDefault="004F2097" w:rsidP="00770E50">
      <w:pPr>
        <w:pStyle w:val="Heading2"/>
      </w:pPr>
      <w:bookmarkStart w:id="10" w:name="_Toc256345721"/>
      <w:r>
        <w:lastRenderedPageBreak/>
        <w:t>Diagnosis</w:t>
      </w:r>
      <w:bookmarkEnd w:id="10"/>
    </w:p>
    <w:p w:rsidR="001F22C7" w:rsidRPr="00A60B12" w:rsidRDefault="001F22C7" w:rsidP="00697795">
      <w:pPr>
        <w:spacing w:after="0"/>
        <w:rPr>
          <w:rFonts w:ascii="Arial" w:hAnsi="Arial" w:cs="Arial"/>
          <w:color w:val="231F20"/>
        </w:rPr>
      </w:pPr>
      <w:r w:rsidRPr="00A60B12">
        <w:rPr>
          <w:rFonts w:ascii="Arial" w:hAnsi="Arial" w:cs="Arial"/>
          <w:color w:val="231F20"/>
        </w:rPr>
        <w:t>There is no single diagnostic test for COPD. Making a diagnosis relies on clinical judgement based on a combination of history, physical examination and confirmation of the presence of airflow obstruction using spirometry.</w:t>
      </w:r>
      <w:r w:rsidRPr="00A60B12">
        <w:rPr>
          <w:rFonts w:ascii="Arial" w:hAnsi="Arial" w:cs="Arial"/>
        </w:rPr>
        <w:t xml:space="preserve"> Diagnosis of COPD should be considered in any patient who has symptoms of a chronic cough, sputum production, dyspn</w:t>
      </w:r>
      <w:r w:rsidR="005C0D23" w:rsidRPr="00A60B12">
        <w:rPr>
          <w:rFonts w:ascii="Arial" w:hAnsi="Arial" w:cs="Arial"/>
        </w:rPr>
        <w:t>o</w:t>
      </w:r>
      <w:r w:rsidRPr="00A60B12">
        <w:rPr>
          <w:rFonts w:ascii="Arial" w:hAnsi="Arial" w:cs="Arial"/>
        </w:rPr>
        <w:t>ea (difficult or laboured breathing) and a history of exposure to risk factors for the disease.</w:t>
      </w:r>
    </w:p>
    <w:p w:rsidR="001F22C7" w:rsidRPr="00A60B12" w:rsidRDefault="001F22C7" w:rsidP="00697795">
      <w:pPr>
        <w:spacing w:after="0"/>
        <w:rPr>
          <w:rFonts w:ascii="Arial" w:hAnsi="Arial" w:cs="Arial"/>
          <w:color w:val="231F20"/>
        </w:rPr>
      </w:pPr>
    </w:p>
    <w:p w:rsidR="00D24614" w:rsidRPr="00A60B12" w:rsidRDefault="001F22C7" w:rsidP="00697795">
      <w:pPr>
        <w:autoSpaceDE w:val="0"/>
        <w:autoSpaceDN w:val="0"/>
        <w:adjustRightInd w:val="0"/>
        <w:spacing w:after="0"/>
        <w:rPr>
          <w:rFonts w:ascii="Arial" w:hAnsi="Arial" w:cs="Arial"/>
        </w:rPr>
      </w:pPr>
      <w:r w:rsidRPr="00A60B12">
        <w:rPr>
          <w:rFonts w:ascii="Arial" w:hAnsi="Arial" w:cs="Arial"/>
          <w:color w:val="231F20"/>
        </w:rPr>
        <w:t xml:space="preserve">Airflow obstruction is defined as a reduced FEV1 (forced expiratory volume in 1 second) and a reduced FEV1/FVC ratio (where FVC is forced vital capacity), such that FEV1 is less than 80% predicted and FEV1/FVC </w:t>
      </w:r>
      <w:proofErr w:type="gramStart"/>
      <w:r w:rsidRPr="00A60B12">
        <w:rPr>
          <w:rFonts w:ascii="Arial" w:hAnsi="Arial" w:cs="Arial"/>
          <w:color w:val="231F20"/>
        </w:rPr>
        <w:t>is</w:t>
      </w:r>
      <w:proofErr w:type="gramEnd"/>
      <w:r w:rsidRPr="00A60B12">
        <w:rPr>
          <w:rFonts w:ascii="Arial" w:hAnsi="Arial" w:cs="Arial"/>
          <w:color w:val="231F20"/>
        </w:rPr>
        <w:t xml:space="preserve"> less than 0.7. </w:t>
      </w:r>
      <w:r w:rsidR="00D24614" w:rsidRPr="00A60B12">
        <w:rPr>
          <w:rFonts w:ascii="Arial" w:hAnsi="Arial" w:cs="Arial"/>
        </w:rPr>
        <w:t>A low peak flow is consistent with COPD, but may not be specific to COPD because it can be caused by other lung diseases and by poor performance during testing. Because COPD develops slowly, it is most frequently diagnosed in people aged 40 years or over.</w:t>
      </w:r>
    </w:p>
    <w:p w:rsidR="001F22C7" w:rsidRPr="00A60B12" w:rsidRDefault="001F22C7" w:rsidP="00697795">
      <w:pPr>
        <w:autoSpaceDE w:val="0"/>
        <w:autoSpaceDN w:val="0"/>
        <w:adjustRightInd w:val="0"/>
        <w:spacing w:after="0"/>
        <w:rPr>
          <w:rFonts w:ascii="Arial" w:hAnsi="Arial" w:cs="Arial"/>
        </w:rPr>
      </w:pPr>
    </w:p>
    <w:p w:rsidR="00FC0038" w:rsidRDefault="00FC0038" w:rsidP="00697795">
      <w:pPr>
        <w:pStyle w:val="Heading2"/>
      </w:pPr>
      <w:bookmarkStart w:id="11" w:name="_Toc256345722"/>
      <w:r>
        <w:t>Treatment</w:t>
      </w:r>
      <w:bookmarkEnd w:id="11"/>
      <w:r>
        <w:t xml:space="preserve"> </w:t>
      </w:r>
    </w:p>
    <w:p w:rsidR="00FC0038" w:rsidRPr="00A60B12" w:rsidRDefault="00FC0038" w:rsidP="00697795">
      <w:pPr>
        <w:autoSpaceDE w:val="0"/>
        <w:autoSpaceDN w:val="0"/>
        <w:adjustRightInd w:val="0"/>
        <w:spacing w:after="0"/>
        <w:rPr>
          <w:rFonts w:ascii="Arial" w:hAnsi="Arial" w:cs="Arial"/>
        </w:rPr>
      </w:pPr>
      <w:r w:rsidRPr="00A60B12">
        <w:rPr>
          <w:rFonts w:ascii="Arial" w:hAnsi="Arial" w:cs="Arial"/>
        </w:rPr>
        <w:t>There are a number of treatment options for COPD depending on the severity and the nature of the disease.</w:t>
      </w:r>
      <w:r w:rsidR="00261B26">
        <w:rPr>
          <w:rFonts w:ascii="Arial" w:hAnsi="Arial" w:cs="Arial"/>
        </w:rPr>
        <w:t xml:space="preserve"> </w:t>
      </w:r>
      <w:r w:rsidRPr="00A60B12">
        <w:rPr>
          <w:rFonts w:ascii="Arial" w:hAnsi="Arial" w:cs="Arial"/>
        </w:rPr>
        <w:t>The</w:t>
      </w:r>
      <w:r w:rsidR="00614BF6" w:rsidRPr="00A60B12">
        <w:rPr>
          <w:rFonts w:ascii="Arial" w:hAnsi="Arial" w:cs="Arial"/>
        </w:rPr>
        <w:t xml:space="preserve"> treatments </w:t>
      </w:r>
      <w:r w:rsidRPr="00A60B12">
        <w:rPr>
          <w:rFonts w:ascii="Arial" w:hAnsi="Arial" w:cs="Arial"/>
        </w:rPr>
        <w:t>act to provide symptom relief</w:t>
      </w:r>
      <w:r w:rsidR="00614BF6" w:rsidRPr="00A60B12">
        <w:rPr>
          <w:rFonts w:ascii="Arial" w:hAnsi="Arial" w:cs="Arial"/>
        </w:rPr>
        <w:t xml:space="preserve"> rather than cure, or </w:t>
      </w:r>
      <w:r w:rsidR="00386DED" w:rsidRPr="00A60B12">
        <w:rPr>
          <w:rFonts w:ascii="Arial" w:hAnsi="Arial" w:cs="Arial"/>
        </w:rPr>
        <w:t>reversal</w:t>
      </w:r>
      <w:r w:rsidR="00614BF6" w:rsidRPr="00A60B12">
        <w:rPr>
          <w:rFonts w:ascii="Arial" w:hAnsi="Arial" w:cs="Arial"/>
        </w:rPr>
        <w:t xml:space="preserve"> of pathology</w:t>
      </w:r>
      <w:r w:rsidRPr="00A60B12">
        <w:rPr>
          <w:rFonts w:ascii="Arial" w:hAnsi="Arial" w:cs="Arial"/>
        </w:rPr>
        <w:t xml:space="preserve">. Pharmacological therapies include inhaled </w:t>
      </w:r>
      <w:r w:rsidR="00386DED" w:rsidRPr="00A60B12">
        <w:rPr>
          <w:rFonts w:ascii="Arial" w:hAnsi="Arial" w:cs="Arial"/>
        </w:rPr>
        <w:t>bronchodilators</w:t>
      </w:r>
      <w:r w:rsidRPr="00A60B12">
        <w:rPr>
          <w:rFonts w:ascii="Arial" w:hAnsi="Arial" w:cs="Arial"/>
        </w:rPr>
        <w:t xml:space="preserve">, inhaled or oral corticosteroids and </w:t>
      </w:r>
      <w:proofErr w:type="spellStart"/>
      <w:r w:rsidRPr="00A60B12">
        <w:rPr>
          <w:rFonts w:ascii="Arial" w:hAnsi="Arial" w:cs="Arial"/>
        </w:rPr>
        <w:t>theophyline</w:t>
      </w:r>
      <w:proofErr w:type="spellEnd"/>
      <w:r w:rsidRPr="00A60B12">
        <w:rPr>
          <w:rFonts w:ascii="Arial" w:hAnsi="Arial" w:cs="Arial"/>
        </w:rPr>
        <w:t>. These are often given in combination. For patients with more sever</w:t>
      </w:r>
      <w:r w:rsidR="00DC6DA6" w:rsidRPr="00A60B12">
        <w:rPr>
          <w:rFonts w:ascii="Arial" w:hAnsi="Arial" w:cs="Arial"/>
        </w:rPr>
        <w:t>e</w:t>
      </w:r>
      <w:r w:rsidRPr="00A60B12">
        <w:rPr>
          <w:rFonts w:ascii="Arial" w:hAnsi="Arial" w:cs="Arial"/>
        </w:rPr>
        <w:t xml:space="preserve"> disease, long term oxygen therapy </w:t>
      </w:r>
      <w:r w:rsidR="00DC6DA6" w:rsidRPr="00A60B12">
        <w:rPr>
          <w:rFonts w:ascii="Arial" w:hAnsi="Arial" w:cs="Arial"/>
        </w:rPr>
        <w:t>and pulmonary rehabilitation are</w:t>
      </w:r>
      <w:r w:rsidRPr="00A60B12">
        <w:rPr>
          <w:rFonts w:ascii="Arial" w:hAnsi="Arial" w:cs="Arial"/>
        </w:rPr>
        <w:t xml:space="preserve"> also an important component </w:t>
      </w:r>
      <w:r w:rsidR="00614BF6" w:rsidRPr="00A60B12">
        <w:rPr>
          <w:rFonts w:ascii="Arial" w:hAnsi="Arial" w:cs="Arial"/>
        </w:rPr>
        <w:t>of treatment. Patients with COPD</w:t>
      </w:r>
      <w:r w:rsidRPr="00A60B12">
        <w:rPr>
          <w:rFonts w:ascii="Arial" w:hAnsi="Arial" w:cs="Arial"/>
        </w:rPr>
        <w:t xml:space="preserve"> should also be </w:t>
      </w:r>
      <w:r w:rsidR="00614BF6" w:rsidRPr="00A60B12">
        <w:rPr>
          <w:rFonts w:ascii="Arial" w:hAnsi="Arial" w:cs="Arial"/>
        </w:rPr>
        <w:t>offered</w:t>
      </w:r>
      <w:r w:rsidRPr="00A60B12">
        <w:rPr>
          <w:rFonts w:ascii="Arial" w:hAnsi="Arial" w:cs="Arial"/>
        </w:rPr>
        <w:t xml:space="preserve"> </w:t>
      </w:r>
      <w:r w:rsidR="00614BF6" w:rsidRPr="00A60B12">
        <w:rPr>
          <w:rFonts w:ascii="Arial" w:hAnsi="Arial" w:cs="Arial"/>
        </w:rPr>
        <w:t>pneumococcal</w:t>
      </w:r>
      <w:r w:rsidRPr="00A60B12">
        <w:rPr>
          <w:rFonts w:ascii="Arial" w:hAnsi="Arial" w:cs="Arial"/>
        </w:rPr>
        <w:t xml:space="preserve"> and annual influenza vaccination.</w:t>
      </w:r>
    </w:p>
    <w:p w:rsidR="00FC0038" w:rsidRPr="00A60B12" w:rsidRDefault="00FC0038" w:rsidP="00697795">
      <w:pPr>
        <w:autoSpaceDE w:val="0"/>
        <w:autoSpaceDN w:val="0"/>
        <w:adjustRightInd w:val="0"/>
        <w:spacing w:after="0"/>
        <w:rPr>
          <w:rFonts w:ascii="Arial" w:hAnsi="Arial" w:cs="Arial"/>
        </w:rPr>
      </w:pPr>
    </w:p>
    <w:p w:rsidR="00FC0038" w:rsidRPr="00A60B12" w:rsidRDefault="00FC0038" w:rsidP="00697795">
      <w:pPr>
        <w:autoSpaceDE w:val="0"/>
        <w:autoSpaceDN w:val="0"/>
        <w:adjustRightInd w:val="0"/>
        <w:spacing w:after="0"/>
        <w:rPr>
          <w:rFonts w:ascii="Arial" w:hAnsi="Arial" w:cs="Arial"/>
        </w:rPr>
      </w:pPr>
      <w:r w:rsidRPr="00A60B12">
        <w:rPr>
          <w:rFonts w:ascii="Arial" w:hAnsi="Arial" w:cs="Arial"/>
        </w:rPr>
        <w:t>Acute exacerbations of the illnes</w:t>
      </w:r>
      <w:r w:rsidR="00261B26">
        <w:rPr>
          <w:rFonts w:ascii="Arial" w:hAnsi="Arial" w:cs="Arial"/>
        </w:rPr>
        <w:t>s, often caused by bacterial co-</w:t>
      </w:r>
      <w:r w:rsidRPr="00A60B12">
        <w:rPr>
          <w:rFonts w:ascii="Arial" w:hAnsi="Arial" w:cs="Arial"/>
        </w:rPr>
        <w:t xml:space="preserve">infection, require </w:t>
      </w:r>
      <w:r w:rsidR="00614BF6" w:rsidRPr="00A60B12">
        <w:rPr>
          <w:rFonts w:ascii="Arial" w:hAnsi="Arial" w:cs="Arial"/>
        </w:rPr>
        <w:t>specific</w:t>
      </w:r>
      <w:r w:rsidRPr="00A60B12">
        <w:rPr>
          <w:rFonts w:ascii="Arial" w:hAnsi="Arial" w:cs="Arial"/>
        </w:rPr>
        <w:t xml:space="preserve"> management measures, including the use of antibiotics. Guidance for both stable management of the condition and management of exacerbations is described</w:t>
      </w:r>
      <w:r w:rsidR="00261B26">
        <w:rPr>
          <w:rFonts w:ascii="Arial" w:hAnsi="Arial" w:cs="Arial"/>
        </w:rPr>
        <w:t xml:space="preserve"> by NICE</w:t>
      </w:r>
      <w:r w:rsidRPr="00A60B12">
        <w:rPr>
          <w:rFonts w:ascii="Arial" w:hAnsi="Arial" w:cs="Arial"/>
        </w:rPr>
        <w:t xml:space="preserve"> and discussed more fully in a later section.</w:t>
      </w:r>
    </w:p>
    <w:p w:rsidR="001F22C7" w:rsidRPr="001F22C7" w:rsidRDefault="001F22C7" w:rsidP="00697795">
      <w:pPr>
        <w:autoSpaceDE w:val="0"/>
        <w:autoSpaceDN w:val="0"/>
        <w:adjustRightInd w:val="0"/>
        <w:spacing w:after="0"/>
      </w:pPr>
    </w:p>
    <w:p w:rsidR="001F22C7" w:rsidRDefault="001F22C7" w:rsidP="00697795">
      <w:pPr>
        <w:autoSpaceDE w:val="0"/>
        <w:autoSpaceDN w:val="0"/>
        <w:adjustRightInd w:val="0"/>
        <w:spacing w:after="0"/>
        <w:rPr>
          <w:rFonts w:ascii="Frutiger-Roman" w:hAnsi="Frutiger-Roman" w:cs="Frutiger-Roman"/>
          <w:color w:val="231F20"/>
          <w:sz w:val="17"/>
          <w:szCs w:val="17"/>
        </w:rPr>
      </w:pPr>
    </w:p>
    <w:p w:rsidR="00575DB3" w:rsidRDefault="00575DB3" w:rsidP="00697795">
      <w:pPr>
        <w:autoSpaceDE w:val="0"/>
        <w:autoSpaceDN w:val="0"/>
        <w:adjustRightInd w:val="0"/>
        <w:spacing w:after="0"/>
        <w:rPr>
          <w:rFonts w:ascii="Arial" w:eastAsia="Times New Roman" w:hAnsi="Arial" w:cs="Times New Roman"/>
          <w:b/>
          <w:bCs/>
          <w:color w:val="1F497D" w:themeColor="text2"/>
          <w:kern w:val="36"/>
          <w:sz w:val="28"/>
          <w:szCs w:val="29"/>
          <w:lang w:eastAsia="en-GB"/>
        </w:rPr>
      </w:pPr>
      <w:r>
        <w:br w:type="page"/>
      </w:r>
    </w:p>
    <w:p w:rsidR="003E75C5" w:rsidRDefault="00B72D2B" w:rsidP="00575DB3">
      <w:pPr>
        <w:pStyle w:val="Heading1"/>
        <w:spacing w:before="0" w:beforeAutospacing="0" w:after="0" w:afterAutospacing="0" w:line="276" w:lineRule="auto"/>
      </w:pPr>
      <w:bookmarkStart w:id="12" w:name="_Toc256345723"/>
      <w:r w:rsidRPr="007B66CA">
        <w:lastRenderedPageBreak/>
        <w:t>Burden of disease</w:t>
      </w:r>
      <w:r w:rsidR="004F2097" w:rsidRPr="007B66CA">
        <w:t xml:space="preserve"> in Wandsworth</w:t>
      </w:r>
      <w:bookmarkEnd w:id="12"/>
    </w:p>
    <w:p w:rsidR="00080850" w:rsidRPr="00A60B12" w:rsidRDefault="00080850" w:rsidP="005C0D23">
      <w:pPr>
        <w:spacing w:after="0"/>
        <w:rPr>
          <w:rFonts w:ascii="Arial" w:hAnsi="Arial" w:cs="Arial"/>
        </w:rPr>
      </w:pPr>
      <w:r w:rsidRPr="00A60B12">
        <w:rPr>
          <w:rFonts w:ascii="Arial" w:hAnsi="Arial" w:cs="Arial"/>
        </w:rPr>
        <w:t xml:space="preserve">Burden of disease in Wandsworth can be measured in terms of disease frequency (in the form of </w:t>
      </w:r>
      <w:r w:rsidR="004879C1" w:rsidRPr="00A60B12">
        <w:rPr>
          <w:rFonts w:ascii="Arial" w:hAnsi="Arial" w:cs="Arial"/>
        </w:rPr>
        <w:t>prevalence</w:t>
      </w:r>
      <w:r w:rsidRPr="00A60B12">
        <w:rPr>
          <w:rFonts w:ascii="Arial" w:hAnsi="Arial" w:cs="Arial"/>
        </w:rPr>
        <w:t xml:space="preserve">) and </w:t>
      </w:r>
      <w:r w:rsidR="008C4B7F" w:rsidRPr="00A60B12">
        <w:rPr>
          <w:rFonts w:ascii="Arial" w:hAnsi="Arial" w:cs="Arial"/>
        </w:rPr>
        <w:t>mortality.</w:t>
      </w:r>
    </w:p>
    <w:p w:rsidR="00080850" w:rsidRDefault="00080850" w:rsidP="00770E50">
      <w:pPr>
        <w:pStyle w:val="Heading2"/>
      </w:pPr>
      <w:bookmarkStart w:id="13" w:name="_Toc256345724"/>
      <w:r>
        <w:t>Prevalence</w:t>
      </w:r>
      <w:bookmarkEnd w:id="13"/>
    </w:p>
    <w:p w:rsidR="001C5DCC" w:rsidRPr="00A60B12" w:rsidRDefault="00080850" w:rsidP="005C0D23">
      <w:pPr>
        <w:spacing w:after="0"/>
        <w:rPr>
          <w:rFonts w:ascii="Arial" w:hAnsi="Arial" w:cs="Arial"/>
        </w:rPr>
      </w:pPr>
      <w:r w:rsidRPr="00A60B12">
        <w:rPr>
          <w:rFonts w:ascii="Arial" w:hAnsi="Arial" w:cs="Arial"/>
        </w:rPr>
        <w:t>Prevalence levels</w:t>
      </w:r>
      <w:r w:rsidR="00711318" w:rsidRPr="00A60B12">
        <w:rPr>
          <w:rFonts w:ascii="Arial" w:hAnsi="Arial" w:cs="Arial"/>
        </w:rPr>
        <w:t xml:space="preserve"> for COPD</w:t>
      </w:r>
      <w:r w:rsidRPr="00A60B12">
        <w:rPr>
          <w:rFonts w:ascii="Arial" w:hAnsi="Arial" w:cs="Arial"/>
        </w:rPr>
        <w:t xml:space="preserve"> can be derived from </w:t>
      </w:r>
      <w:r w:rsidR="00AD0379" w:rsidRPr="00A60B12">
        <w:rPr>
          <w:rFonts w:ascii="Arial" w:hAnsi="Arial" w:cs="Arial"/>
        </w:rPr>
        <w:t>the</w:t>
      </w:r>
      <w:r w:rsidR="00261B26">
        <w:rPr>
          <w:rFonts w:ascii="Arial" w:hAnsi="Arial" w:cs="Arial"/>
        </w:rPr>
        <w:t xml:space="preserve"> general p</w:t>
      </w:r>
      <w:r w:rsidR="007658E2" w:rsidRPr="00A60B12">
        <w:rPr>
          <w:rFonts w:ascii="Arial" w:hAnsi="Arial" w:cs="Arial"/>
        </w:rPr>
        <w:t>ractice Quality and Outcomes Framework (QOF)</w:t>
      </w:r>
      <w:r w:rsidRPr="00A60B12">
        <w:rPr>
          <w:rFonts w:ascii="Arial" w:hAnsi="Arial" w:cs="Arial"/>
        </w:rPr>
        <w:t>, as all patients with a diagnosis of COPD should be on their general practi</w:t>
      </w:r>
      <w:r w:rsidR="004879C1" w:rsidRPr="00A60B12">
        <w:rPr>
          <w:rFonts w:ascii="Arial" w:hAnsi="Arial" w:cs="Arial"/>
        </w:rPr>
        <w:t>ti</w:t>
      </w:r>
      <w:r w:rsidRPr="00A60B12">
        <w:rPr>
          <w:rFonts w:ascii="Arial" w:hAnsi="Arial" w:cs="Arial"/>
        </w:rPr>
        <w:t>oner</w:t>
      </w:r>
      <w:r w:rsidR="007658E2" w:rsidRPr="00A60B12">
        <w:rPr>
          <w:rFonts w:ascii="Arial" w:hAnsi="Arial" w:cs="Arial"/>
        </w:rPr>
        <w:t>’</w:t>
      </w:r>
      <w:r w:rsidRPr="00A60B12">
        <w:rPr>
          <w:rFonts w:ascii="Arial" w:hAnsi="Arial" w:cs="Arial"/>
        </w:rPr>
        <w:t xml:space="preserve">s COPD register. </w:t>
      </w:r>
      <w:r w:rsidRPr="00A60B12">
        <w:rPr>
          <w:rFonts w:ascii="Arial" w:hAnsi="Arial" w:cs="Arial"/>
          <w:b/>
        </w:rPr>
        <w:t>For Wandsworth PCT, 2740 people were on a COPD register in 2008/09 (</w:t>
      </w:r>
      <w:r w:rsidR="00711318" w:rsidRPr="00A60B12">
        <w:rPr>
          <w:rFonts w:ascii="Arial" w:hAnsi="Arial" w:cs="Arial"/>
          <w:b/>
        </w:rPr>
        <w:t xml:space="preserve">a </w:t>
      </w:r>
      <w:r w:rsidRPr="00A60B12">
        <w:rPr>
          <w:rFonts w:ascii="Arial" w:hAnsi="Arial" w:cs="Arial"/>
          <w:b/>
        </w:rPr>
        <w:t>population prevalence</w:t>
      </w:r>
      <w:r w:rsidR="00711318" w:rsidRPr="00A60B12">
        <w:rPr>
          <w:rFonts w:ascii="Arial" w:hAnsi="Arial" w:cs="Arial"/>
          <w:b/>
        </w:rPr>
        <w:t xml:space="preserve"> of</w:t>
      </w:r>
      <w:r w:rsidRPr="00A60B12">
        <w:rPr>
          <w:rFonts w:ascii="Arial" w:hAnsi="Arial" w:cs="Arial"/>
          <w:b/>
        </w:rPr>
        <w:t xml:space="preserve"> 0.82%).</w:t>
      </w:r>
      <w:r w:rsidRPr="00A60B12">
        <w:rPr>
          <w:rFonts w:ascii="Arial" w:hAnsi="Arial" w:cs="Arial"/>
          <w:i/>
        </w:rPr>
        <w:t xml:space="preserve"> </w:t>
      </w:r>
      <w:r w:rsidR="001C5DCC" w:rsidRPr="00A60B12">
        <w:rPr>
          <w:rFonts w:ascii="Arial" w:hAnsi="Arial" w:cs="Arial"/>
          <w:i/>
        </w:rPr>
        <w:t xml:space="preserve"> </w:t>
      </w:r>
      <w:r w:rsidR="00711318" w:rsidRPr="00A60B12">
        <w:rPr>
          <w:rFonts w:ascii="Arial" w:hAnsi="Arial" w:cs="Arial"/>
        </w:rPr>
        <w:t xml:space="preserve">There are significant potential inaccuracies with this data. This method of measuring prevalence relies on the </w:t>
      </w:r>
      <w:r w:rsidR="004879C1" w:rsidRPr="00A60B12">
        <w:rPr>
          <w:rFonts w:ascii="Arial" w:hAnsi="Arial" w:cs="Arial"/>
        </w:rPr>
        <w:t>diagnostic</w:t>
      </w:r>
      <w:r w:rsidR="00711318" w:rsidRPr="00A60B12">
        <w:rPr>
          <w:rFonts w:ascii="Arial" w:hAnsi="Arial" w:cs="Arial"/>
        </w:rPr>
        <w:t xml:space="preserve"> accuracy of </w:t>
      </w:r>
      <w:r w:rsidR="005C0D23" w:rsidRPr="00A60B12">
        <w:rPr>
          <w:rFonts w:ascii="Arial" w:hAnsi="Arial" w:cs="Arial"/>
        </w:rPr>
        <w:t xml:space="preserve">the GPs in the area. It is </w:t>
      </w:r>
      <w:r w:rsidR="00711318" w:rsidRPr="00A60B12">
        <w:rPr>
          <w:rFonts w:ascii="Arial" w:hAnsi="Arial" w:cs="Arial"/>
        </w:rPr>
        <w:t xml:space="preserve">likely that there will be significant levels of undiagnosed COPD in the community.  </w:t>
      </w:r>
    </w:p>
    <w:p w:rsidR="001C5DCC" w:rsidRPr="00A60B12" w:rsidRDefault="001C5DCC" w:rsidP="005C0D23">
      <w:pPr>
        <w:spacing w:after="0"/>
        <w:rPr>
          <w:rFonts w:ascii="Arial" w:hAnsi="Arial" w:cs="Arial"/>
        </w:rPr>
      </w:pPr>
    </w:p>
    <w:p w:rsidR="00751528" w:rsidRPr="00A60B12" w:rsidRDefault="00261B26" w:rsidP="00751528">
      <w:pPr>
        <w:spacing w:after="0"/>
        <w:rPr>
          <w:rFonts w:ascii="Arial" w:hAnsi="Arial" w:cs="Arial"/>
        </w:rPr>
      </w:pPr>
      <w:r>
        <w:rPr>
          <w:rFonts w:ascii="Arial" w:hAnsi="Arial" w:cs="Arial"/>
        </w:rPr>
        <w:t>Table 1</w:t>
      </w:r>
      <w:r w:rsidR="00711318" w:rsidRPr="00A60B12">
        <w:rPr>
          <w:rFonts w:ascii="Arial" w:hAnsi="Arial" w:cs="Arial"/>
        </w:rPr>
        <w:t xml:space="preserve"> below shows that the population prevalence in Wandsworth is lower than the national, London and cluster </w:t>
      </w:r>
      <w:r w:rsidR="007658E2" w:rsidRPr="00A60B12">
        <w:rPr>
          <w:rFonts w:ascii="Arial" w:hAnsi="Arial" w:cs="Arial"/>
        </w:rPr>
        <w:t xml:space="preserve">averages. This is likely to </w:t>
      </w:r>
      <w:r w:rsidR="001C5DCC" w:rsidRPr="00A60B12">
        <w:rPr>
          <w:rFonts w:ascii="Arial" w:hAnsi="Arial" w:cs="Arial"/>
        </w:rPr>
        <w:t>be in</w:t>
      </w:r>
      <w:r w:rsidR="00711318" w:rsidRPr="00A60B12">
        <w:rPr>
          <w:rFonts w:ascii="Arial" w:hAnsi="Arial" w:cs="Arial"/>
        </w:rPr>
        <w:t xml:space="preserve"> part due to the age structure of Wandsworth, where the population is </w:t>
      </w:r>
      <w:r w:rsidR="004879C1" w:rsidRPr="00A60B12">
        <w:rPr>
          <w:rFonts w:ascii="Arial" w:hAnsi="Arial" w:cs="Arial"/>
        </w:rPr>
        <w:t>predominantly</w:t>
      </w:r>
      <w:r w:rsidR="00711318" w:rsidRPr="00A60B12">
        <w:rPr>
          <w:rFonts w:ascii="Arial" w:hAnsi="Arial" w:cs="Arial"/>
        </w:rPr>
        <w:t xml:space="preserve"> younger than other parts of the country.</w:t>
      </w:r>
      <w:r w:rsidR="001C5DCC" w:rsidRPr="00A60B12">
        <w:rPr>
          <w:rFonts w:ascii="Arial" w:hAnsi="Arial" w:cs="Arial"/>
        </w:rPr>
        <w:t xml:space="preserve"> </w:t>
      </w:r>
      <w:r w:rsidR="00751528" w:rsidRPr="00A60B12">
        <w:rPr>
          <w:rFonts w:ascii="Arial" w:hAnsi="Arial" w:cs="Arial"/>
        </w:rPr>
        <w:t xml:space="preserve">An analysis of individual practices demonstrates considerable variation in prevalence between the different practices. </w:t>
      </w:r>
    </w:p>
    <w:p w:rsidR="00465E92" w:rsidRPr="00465E92" w:rsidRDefault="00465E92" w:rsidP="00751528">
      <w:pPr>
        <w:pStyle w:val="Caption"/>
        <w:spacing w:line="240" w:lineRule="auto"/>
        <w:rPr>
          <w:sz w:val="16"/>
          <w:szCs w:val="16"/>
        </w:rPr>
      </w:pPr>
    </w:p>
    <w:p w:rsidR="00751528" w:rsidRDefault="00751528" w:rsidP="00751528">
      <w:pPr>
        <w:pStyle w:val="Caption"/>
        <w:spacing w:line="240" w:lineRule="auto"/>
      </w:pPr>
      <w:r>
        <w:t xml:space="preserve">Table </w:t>
      </w:r>
      <w:fldSimple w:instr=" SEQ Table \* ARABIC ">
        <w:r w:rsidR="00652BDF">
          <w:rPr>
            <w:noProof/>
          </w:rPr>
          <w:t>1</w:t>
        </w:r>
      </w:fldSimple>
      <w:r>
        <w:t>: Observed COPD Prevalence</w:t>
      </w:r>
    </w:p>
    <w:tbl>
      <w:tblPr>
        <w:tblpPr w:leftFromText="180" w:rightFromText="180" w:vertAnchor="text" w:horzAnchor="margin" w:tblpY="236"/>
        <w:tblW w:w="10279" w:type="dxa"/>
        <w:tblBorders>
          <w:top w:val="single" w:sz="4" w:space="0" w:color="auto"/>
          <w:left w:val="single" w:sz="4" w:space="0" w:color="auto"/>
          <w:bottom w:val="single" w:sz="4" w:space="0" w:color="auto"/>
          <w:right w:val="single" w:sz="4" w:space="0" w:color="auto"/>
          <w:insideH w:val="single" w:sz="4" w:space="0" w:color="95B3D7"/>
        </w:tblBorders>
        <w:tblLook w:val="04A0"/>
      </w:tblPr>
      <w:tblGrid>
        <w:gridCol w:w="4273"/>
        <w:gridCol w:w="6006"/>
      </w:tblGrid>
      <w:tr w:rsidR="00080850" w:rsidRPr="00643BBA" w:rsidTr="00751528">
        <w:trPr>
          <w:trHeight w:val="615"/>
        </w:trPr>
        <w:tc>
          <w:tcPr>
            <w:tcW w:w="4273" w:type="dxa"/>
            <w:shd w:val="clear" w:color="4F81BD" w:fill="4F81BD"/>
            <w:vAlign w:val="center"/>
            <w:hideMark/>
          </w:tcPr>
          <w:p w:rsidR="00080850" w:rsidRPr="00643BBA" w:rsidRDefault="00080850" w:rsidP="00575DB3">
            <w:pPr>
              <w:spacing w:after="0"/>
              <w:jc w:val="center"/>
              <w:rPr>
                <w:rFonts w:ascii="Arial" w:eastAsia="Times New Roman" w:hAnsi="Arial" w:cs="Arial"/>
                <w:b/>
                <w:bCs/>
                <w:color w:val="FFFFFF"/>
                <w:sz w:val="24"/>
                <w:szCs w:val="24"/>
                <w:lang w:eastAsia="en-GB"/>
              </w:rPr>
            </w:pPr>
          </w:p>
        </w:tc>
        <w:tc>
          <w:tcPr>
            <w:tcW w:w="6006" w:type="dxa"/>
            <w:shd w:val="clear" w:color="4F81BD" w:fill="4F81BD"/>
            <w:vAlign w:val="center"/>
            <w:hideMark/>
          </w:tcPr>
          <w:p w:rsidR="00080850" w:rsidRPr="00433711" w:rsidRDefault="00080850" w:rsidP="00751528">
            <w:pPr>
              <w:spacing w:after="0"/>
              <w:jc w:val="center"/>
              <w:rPr>
                <w:rFonts w:ascii="Arial" w:eastAsia="Times New Roman" w:hAnsi="Arial" w:cs="Arial"/>
                <w:b/>
                <w:bCs/>
                <w:color w:val="FFFFFF"/>
                <w:lang w:eastAsia="en-GB"/>
              </w:rPr>
            </w:pPr>
            <w:r w:rsidRPr="00433711">
              <w:rPr>
                <w:rFonts w:ascii="Arial" w:eastAsia="Times New Roman" w:hAnsi="Arial" w:cs="Arial"/>
                <w:b/>
                <w:bCs/>
                <w:color w:val="FFFFFF"/>
                <w:lang w:eastAsia="en-GB"/>
              </w:rPr>
              <w:t>Prevalence of COPD (%)</w:t>
            </w:r>
            <w:r w:rsidR="00751528">
              <w:rPr>
                <w:rFonts w:ascii="Arial" w:eastAsia="Times New Roman" w:hAnsi="Arial" w:cs="Arial"/>
                <w:b/>
                <w:bCs/>
                <w:color w:val="FFFFFF"/>
                <w:lang w:eastAsia="en-GB"/>
              </w:rPr>
              <w:t xml:space="preserve"> </w:t>
            </w:r>
            <w:r w:rsidRPr="00433711">
              <w:rPr>
                <w:rFonts w:ascii="Arial" w:eastAsia="Times New Roman" w:hAnsi="Arial" w:cs="Arial"/>
                <w:b/>
                <w:bCs/>
                <w:color w:val="FFFFFF"/>
                <w:lang w:eastAsia="en-GB"/>
              </w:rPr>
              <w:t>2008/9</w:t>
            </w:r>
          </w:p>
        </w:tc>
      </w:tr>
      <w:tr w:rsidR="00080850" w:rsidRPr="00643BBA" w:rsidTr="00751528">
        <w:trPr>
          <w:trHeight w:val="140"/>
        </w:trPr>
        <w:tc>
          <w:tcPr>
            <w:tcW w:w="4273" w:type="dxa"/>
            <w:shd w:val="clear" w:color="DBE5F1" w:fill="DBE5F1"/>
            <w:vAlign w:val="bottom"/>
            <w:hideMark/>
          </w:tcPr>
          <w:p w:rsidR="00080850" w:rsidRPr="00433711" w:rsidRDefault="00080850" w:rsidP="00575DB3">
            <w:pPr>
              <w:spacing w:after="0"/>
              <w:rPr>
                <w:rFonts w:ascii="Arial" w:eastAsia="Times New Roman" w:hAnsi="Arial" w:cs="Arial"/>
                <w:b/>
                <w:bCs/>
                <w:color w:val="000000"/>
                <w:lang w:eastAsia="en-GB"/>
              </w:rPr>
            </w:pPr>
            <w:r w:rsidRPr="00433711">
              <w:rPr>
                <w:rFonts w:ascii="Arial" w:eastAsia="Times New Roman" w:hAnsi="Arial" w:cs="Arial"/>
                <w:b/>
                <w:bCs/>
                <w:color w:val="000000"/>
                <w:lang w:eastAsia="en-GB"/>
              </w:rPr>
              <w:t>England</w:t>
            </w:r>
          </w:p>
        </w:tc>
        <w:tc>
          <w:tcPr>
            <w:tcW w:w="6006" w:type="dxa"/>
            <w:shd w:val="clear" w:color="DBE5F1" w:fill="DBE5F1"/>
            <w:noWrap/>
            <w:vAlign w:val="center"/>
            <w:hideMark/>
          </w:tcPr>
          <w:p w:rsidR="00080850" w:rsidRPr="00433711" w:rsidRDefault="00080850"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1.54</w:t>
            </w:r>
          </w:p>
        </w:tc>
      </w:tr>
      <w:tr w:rsidR="00080850" w:rsidRPr="00643BBA" w:rsidTr="00751528">
        <w:trPr>
          <w:trHeight w:val="140"/>
        </w:trPr>
        <w:tc>
          <w:tcPr>
            <w:tcW w:w="4273" w:type="dxa"/>
            <w:shd w:val="clear" w:color="auto" w:fill="auto"/>
            <w:vAlign w:val="bottom"/>
            <w:hideMark/>
          </w:tcPr>
          <w:p w:rsidR="00080850" w:rsidRPr="00433711" w:rsidRDefault="00080850" w:rsidP="00575DB3">
            <w:pPr>
              <w:spacing w:after="0"/>
              <w:rPr>
                <w:rFonts w:ascii="Arial" w:eastAsia="Times New Roman" w:hAnsi="Arial" w:cs="Arial"/>
                <w:b/>
                <w:bCs/>
                <w:color w:val="000000"/>
                <w:lang w:eastAsia="en-GB"/>
              </w:rPr>
            </w:pPr>
            <w:r w:rsidRPr="00433711">
              <w:rPr>
                <w:rFonts w:ascii="Arial" w:eastAsia="Times New Roman" w:hAnsi="Arial" w:cs="Arial"/>
                <w:b/>
                <w:bCs/>
                <w:color w:val="000000"/>
                <w:lang w:eastAsia="en-GB"/>
              </w:rPr>
              <w:t>London SHA</w:t>
            </w:r>
          </w:p>
        </w:tc>
        <w:tc>
          <w:tcPr>
            <w:tcW w:w="6006" w:type="dxa"/>
            <w:shd w:val="clear" w:color="auto" w:fill="auto"/>
            <w:noWrap/>
            <w:vAlign w:val="center"/>
            <w:hideMark/>
          </w:tcPr>
          <w:p w:rsidR="00080850" w:rsidRPr="00433711" w:rsidRDefault="00080850"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0.97</w:t>
            </w:r>
          </w:p>
        </w:tc>
      </w:tr>
      <w:tr w:rsidR="00080850" w:rsidRPr="00643BBA" w:rsidTr="00751528">
        <w:trPr>
          <w:trHeight w:val="70"/>
        </w:trPr>
        <w:tc>
          <w:tcPr>
            <w:tcW w:w="4273" w:type="dxa"/>
            <w:shd w:val="clear" w:color="DBE5F1" w:fill="DBE5F1"/>
            <w:vAlign w:val="bottom"/>
            <w:hideMark/>
          </w:tcPr>
          <w:p w:rsidR="00080850" w:rsidRPr="00433711" w:rsidRDefault="00080850" w:rsidP="00575DB3">
            <w:pPr>
              <w:spacing w:after="0"/>
              <w:rPr>
                <w:rFonts w:ascii="Arial" w:eastAsia="Times New Roman" w:hAnsi="Arial" w:cs="Arial"/>
                <w:b/>
                <w:bCs/>
                <w:color w:val="000000"/>
                <w:lang w:eastAsia="en-GB"/>
              </w:rPr>
            </w:pPr>
            <w:r w:rsidRPr="00433711">
              <w:rPr>
                <w:rFonts w:ascii="Arial" w:eastAsia="Times New Roman" w:hAnsi="Arial" w:cs="Arial"/>
                <w:b/>
                <w:bCs/>
                <w:color w:val="000000"/>
                <w:lang w:eastAsia="en-GB"/>
              </w:rPr>
              <w:t>Central London Cluster</w:t>
            </w:r>
          </w:p>
        </w:tc>
        <w:tc>
          <w:tcPr>
            <w:tcW w:w="6006" w:type="dxa"/>
            <w:shd w:val="clear" w:color="DBE5F1" w:fill="DBE5F1"/>
            <w:noWrap/>
            <w:vAlign w:val="center"/>
            <w:hideMark/>
          </w:tcPr>
          <w:p w:rsidR="00080850" w:rsidRPr="00433711" w:rsidRDefault="00080850"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1.00</w:t>
            </w:r>
          </w:p>
        </w:tc>
      </w:tr>
      <w:tr w:rsidR="00080850" w:rsidRPr="00643BBA" w:rsidTr="00751528">
        <w:trPr>
          <w:trHeight w:val="171"/>
        </w:trPr>
        <w:tc>
          <w:tcPr>
            <w:tcW w:w="4273" w:type="dxa"/>
            <w:shd w:val="clear" w:color="auto" w:fill="auto"/>
            <w:vAlign w:val="bottom"/>
            <w:hideMark/>
          </w:tcPr>
          <w:p w:rsidR="00080850" w:rsidRPr="00433711" w:rsidRDefault="001C5DCC" w:rsidP="00575DB3">
            <w:pPr>
              <w:spacing w:after="0"/>
              <w:rPr>
                <w:rFonts w:ascii="Arial" w:eastAsia="Times New Roman" w:hAnsi="Arial" w:cs="Arial"/>
                <w:b/>
                <w:bCs/>
                <w:color w:val="000000"/>
                <w:lang w:eastAsia="en-GB"/>
              </w:rPr>
            </w:pPr>
            <w:r>
              <w:rPr>
                <w:rFonts w:ascii="Arial" w:eastAsia="Times New Roman" w:hAnsi="Arial" w:cs="Arial"/>
                <w:b/>
                <w:bCs/>
                <w:color w:val="000000"/>
                <w:lang w:eastAsia="en-GB"/>
              </w:rPr>
              <w:t xml:space="preserve">Wandsworth </w:t>
            </w:r>
            <w:r w:rsidR="00080850" w:rsidRPr="00433711">
              <w:rPr>
                <w:rFonts w:ascii="Arial" w:eastAsia="Times New Roman" w:hAnsi="Arial" w:cs="Arial"/>
                <w:b/>
                <w:bCs/>
                <w:color w:val="000000"/>
                <w:lang w:eastAsia="en-GB"/>
              </w:rPr>
              <w:t>PCT</w:t>
            </w:r>
          </w:p>
        </w:tc>
        <w:tc>
          <w:tcPr>
            <w:tcW w:w="6006" w:type="dxa"/>
            <w:shd w:val="clear" w:color="auto" w:fill="auto"/>
            <w:noWrap/>
            <w:vAlign w:val="center"/>
            <w:hideMark/>
          </w:tcPr>
          <w:p w:rsidR="00080850" w:rsidRPr="00433711" w:rsidRDefault="00080850"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0.82</w:t>
            </w:r>
          </w:p>
        </w:tc>
      </w:tr>
    </w:tbl>
    <w:p w:rsidR="00491E3D" w:rsidRPr="00465E92" w:rsidRDefault="00491E3D" w:rsidP="00575DB3">
      <w:pPr>
        <w:spacing w:after="0"/>
        <w:rPr>
          <w:sz w:val="16"/>
          <w:szCs w:val="16"/>
        </w:rPr>
      </w:pPr>
    </w:p>
    <w:p w:rsidR="00510BFE" w:rsidRDefault="00510BFE" w:rsidP="00510BFE">
      <w:pPr>
        <w:spacing w:after="0"/>
        <w:jc w:val="right"/>
      </w:pPr>
      <w:r w:rsidRPr="00365FCB">
        <w:rPr>
          <w:i/>
        </w:rPr>
        <w:t>Source: QOF data, NHS Information Centre, 2008-9</w:t>
      </w:r>
    </w:p>
    <w:p w:rsidR="00124AF4" w:rsidRPr="00751528" w:rsidRDefault="00124AF4" w:rsidP="00751528">
      <w:pPr>
        <w:pStyle w:val="Caption"/>
      </w:pPr>
      <w:r w:rsidRPr="00751528">
        <w:t xml:space="preserve">Figure </w:t>
      </w:r>
      <w:fldSimple w:instr=" SEQ Figure \* ARABIC ">
        <w:r w:rsidR="00652BDF">
          <w:rPr>
            <w:noProof/>
          </w:rPr>
          <w:t>1</w:t>
        </w:r>
      </w:fldSimple>
    </w:p>
    <w:p w:rsidR="006E2381" w:rsidRDefault="00C06FF5" w:rsidP="00575DB3">
      <w:pPr>
        <w:pStyle w:val="ListParagraph"/>
        <w:spacing w:after="0"/>
        <w:ind w:left="0"/>
        <w:rPr>
          <w:rFonts w:ascii="Arial" w:eastAsia="Times New Roman" w:hAnsi="Arial" w:cs="Arial"/>
          <w:bCs/>
          <w:sz w:val="24"/>
          <w:szCs w:val="24"/>
          <w:lang w:eastAsia="en-GB"/>
        </w:rPr>
      </w:pPr>
      <w:r w:rsidRPr="00C06FF5">
        <w:rPr>
          <w:rFonts w:ascii="Arial" w:eastAsia="Times New Roman" w:hAnsi="Arial" w:cs="Arial"/>
          <w:bCs/>
          <w:noProof/>
          <w:sz w:val="24"/>
          <w:szCs w:val="24"/>
          <w:lang w:eastAsia="en-GB"/>
        </w:rPr>
        <w:drawing>
          <wp:inline distT="0" distB="0" distL="0" distR="0">
            <wp:extent cx="6277442" cy="3234906"/>
            <wp:effectExtent l="19050" t="0" r="28108" b="3594"/>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5FCB" w:rsidRDefault="00365FCB" w:rsidP="00365FCB">
      <w:pPr>
        <w:jc w:val="right"/>
      </w:pPr>
      <w:r w:rsidRPr="00365FCB">
        <w:rPr>
          <w:i/>
        </w:rPr>
        <w:t>Source: QOF data, NHS Information Centre, 2008-9</w:t>
      </w:r>
    </w:p>
    <w:p w:rsidR="00491E3D" w:rsidRPr="00A60B12" w:rsidRDefault="00261B26" w:rsidP="00DB5373">
      <w:pPr>
        <w:rPr>
          <w:rFonts w:ascii="Arial" w:hAnsi="Arial" w:cs="Arial"/>
        </w:rPr>
      </w:pPr>
      <w:r>
        <w:rPr>
          <w:rFonts w:ascii="Arial" w:hAnsi="Arial" w:cs="Arial"/>
        </w:rPr>
        <w:lastRenderedPageBreak/>
        <w:t xml:space="preserve">Figure 1 demonstrates the </w:t>
      </w:r>
      <w:r w:rsidR="00465E92">
        <w:rPr>
          <w:rFonts w:ascii="Arial" w:hAnsi="Arial" w:cs="Arial"/>
        </w:rPr>
        <w:t>variation</w:t>
      </w:r>
      <w:r>
        <w:rPr>
          <w:rFonts w:ascii="Arial" w:hAnsi="Arial" w:cs="Arial"/>
        </w:rPr>
        <w:t xml:space="preserve"> in observed COPD rates across practices in the borough.</w:t>
      </w:r>
      <w:r w:rsidR="00465E92">
        <w:rPr>
          <w:rFonts w:ascii="Arial" w:hAnsi="Arial" w:cs="Arial"/>
        </w:rPr>
        <w:t xml:space="preserve"> </w:t>
      </w:r>
      <w:r w:rsidR="00491E3D" w:rsidRPr="00A60B12">
        <w:rPr>
          <w:rFonts w:ascii="Arial" w:hAnsi="Arial" w:cs="Arial"/>
        </w:rPr>
        <w:t>As the PCT is increasing moving its thinking towards a polysystem based approach, th</w:t>
      </w:r>
      <w:r w:rsidR="00354039">
        <w:rPr>
          <w:rFonts w:ascii="Arial" w:hAnsi="Arial" w:cs="Arial"/>
        </w:rPr>
        <w:t>is</w:t>
      </w:r>
      <w:r w:rsidR="00491E3D" w:rsidRPr="00A60B12">
        <w:rPr>
          <w:rFonts w:ascii="Arial" w:hAnsi="Arial" w:cs="Arial"/>
        </w:rPr>
        <w:t xml:space="preserve"> needs assessment will present practice level data, where available, split into the four proposed </w:t>
      </w:r>
      <w:r w:rsidR="00867514" w:rsidRPr="00A60B12">
        <w:rPr>
          <w:rFonts w:ascii="Arial" w:hAnsi="Arial" w:cs="Arial"/>
        </w:rPr>
        <w:t>polysy</w:t>
      </w:r>
      <w:r w:rsidR="00867514">
        <w:rPr>
          <w:rFonts w:ascii="Arial" w:hAnsi="Arial" w:cs="Arial"/>
        </w:rPr>
        <w:t>s</w:t>
      </w:r>
      <w:r w:rsidR="00867514" w:rsidRPr="00A60B12">
        <w:rPr>
          <w:rFonts w:ascii="Arial" w:hAnsi="Arial" w:cs="Arial"/>
        </w:rPr>
        <w:t>tems</w:t>
      </w:r>
      <w:r w:rsidR="00491E3D" w:rsidRPr="00A60B12">
        <w:rPr>
          <w:rFonts w:ascii="Arial" w:hAnsi="Arial" w:cs="Arial"/>
        </w:rPr>
        <w:t xml:space="preserve"> that have been outlined, defined as follows: </w:t>
      </w:r>
    </w:p>
    <w:p w:rsidR="00491E3D" w:rsidRDefault="00491E3D" w:rsidP="00DB5373">
      <w:r w:rsidRPr="00491E3D">
        <w:rPr>
          <w:noProof/>
          <w:lang w:eastAsia="en-GB"/>
        </w:rPr>
        <w:drawing>
          <wp:inline distT="0" distB="0" distL="0" distR="0">
            <wp:extent cx="4044950" cy="2415823"/>
            <wp:effectExtent l="19050" t="0" r="0" b="0"/>
            <wp:docPr id="8"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cstate="print"/>
                    <a:srcRect/>
                    <a:stretch>
                      <a:fillRect/>
                    </a:stretch>
                  </pic:blipFill>
                  <pic:spPr bwMode="auto">
                    <a:xfrm>
                      <a:off x="0" y="0"/>
                      <a:ext cx="4052578" cy="2420379"/>
                    </a:xfrm>
                    <a:prstGeom prst="rect">
                      <a:avLst/>
                    </a:prstGeom>
                    <a:noFill/>
                    <a:ln w="9525">
                      <a:noFill/>
                      <a:miter lim="800000"/>
                      <a:headEnd/>
                      <a:tailEnd/>
                    </a:ln>
                  </pic:spPr>
                </pic:pic>
              </a:graphicData>
            </a:graphic>
          </wp:inline>
        </w:drawing>
      </w:r>
    </w:p>
    <w:p w:rsidR="00DB5373" w:rsidRPr="00A60B12" w:rsidRDefault="00DB5373" w:rsidP="00DB5373">
      <w:pPr>
        <w:rPr>
          <w:rFonts w:ascii="Arial" w:hAnsi="Arial" w:cs="Arial"/>
        </w:rPr>
      </w:pPr>
      <w:r w:rsidRPr="00A60B12">
        <w:rPr>
          <w:rFonts w:ascii="Arial" w:hAnsi="Arial" w:cs="Arial"/>
        </w:rPr>
        <w:t xml:space="preserve">This variable </w:t>
      </w:r>
      <w:r w:rsidR="00354039" w:rsidRPr="00A60B12">
        <w:rPr>
          <w:rFonts w:ascii="Arial" w:hAnsi="Arial" w:cs="Arial"/>
        </w:rPr>
        <w:t>prevalence</w:t>
      </w:r>
      <w:r w:rsidRPr="00A60B12">
        <w:rPr>
          <w:rFonts w:ascii="Arial" w:hAnsi="Arial" w:cs="Arial"/>
        </w:rPr>
        <w:t xml:space="preserve"> can also been broken </w:t>
      </w:r>
      <w:r w:rsidR="00354039" w:rsidRPr="00A60B12">
        <w:rPr>
          <w:rFonts w:ascii="Arial" w:hAnsi="Arial" w:cs="Arial"/>
        </w:rPr>
        <w:t>down</w:t>
      </w:r>
      <w:r w:rsidRPr="00A60B12">
        <w:rPr>
          <w:rFonts w:ascii="Arial" w:hAnsi="Arial" w:cs="Arial"/>
        </w:rPr>
        <w:t xml:space="preserve"> by the potential polysystems in Wandsworth, revealing a gradient of pr</w:t>
      </w:r>
      <w:r w:rsidR="00354039">
        <w:rPr>
          <w:rFonts w:ascii="Arial" w:hAnsi="Arial" w:cs="Arial"/>
        </w:rPr>
        <w:t>evalence across each of the polysystems.</w:t>
      </w:r>
    </w:p>
    <w:p w:rsidR="00124AF4" w:rsidRPr="00751528" w:rsidRDefault="00124AF4" w:rsidP="00751528">
      <w:pPr>
        <w:pStyle w:val="Caption"/>
      </w:pPr>
      <w:r w:rsidRPr="00751528">
        <w:t xml:space="preserve">Figure </w:t>
      </w:r>
      <w:fldSimple w:instr=" SEQ Figure \* ARABIC ">
        <w:r w:rsidR="00652BDF">
          <w:rPr>
            <w:noProof/>
          </w:rPr>
          <w:t>2</w:t>
        </w:r>
      </w:fldSimple>
    </w:p>
    <w:p w:rsidR="00080850" w:rsidRPr="00433711" w:rsidRDefault="000F7902" w:rsidP="00751528">
      <w:pPr>
        <w:spacing w:after="0"/>
        <w:ind w:left="-709"/>
        <w:rPr>
          <w:i/>
        </w:rPr>
      </w:pPr>
      <w:r w:rsidRPr="000F7902">
        <w:rPr>
          <w:i/>
          <w:noProof/>
          <w:lang w:eastAsia="en-GB"/>
        </w:rPr>
        <w:drawing>
          <wp:inline distT="0" distB="0" distL="0" distR="0">
            <wp:extent cx="6829533" cy="4459857"/>
            <wp:effectExtent l="19050" t="0" r="28467" b="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0850" w:rsidRPr="00433711" w:rsidRDefault="00365FCB" w:rsidP="00365FCB">
      <w:pPr>
        <w:spacing w:after="0"/>
        <w:jc w:val="right"/>
        <w:rPr>
          <w:i/>
        </w:rPr>
      </w:pPr>
      <w:r w:rsidRPr="00365FCB">
        <w:rPr>
          <w:i/>
        </w:rPr>
        <w:t>Source: QOF data, NHS Information Centre, 2008-9</w:t>
      </w:r>
    </w:p>
    <w:p w:rsidR="00080850" w:rsidRDefault="00A811A4" w:rsidP="00770E50">
      <w:pPr>
        <w:pStyle w:val="Heading2"/>
      </w:pPr>
      <w:bookmarkStart w:id="14" w:name="_Toc256345725"/>
      <w:r>
        <w:lastRenderedPageBreak/>
        <w:t>Observed Vs Modelled Prevalence</w:t>
      </w:r>
      <w:bookmarkEnd w:id="14"/>
    </w:p>
    <w:p w:rsidR="008D585A" w:rsidRPr="00A60B12" w:rsidRDefault="00711318" w:rsidP="005C0D23">
      <w:pPr>
        <w:spacing w:after="0"/>
        <w:rPr>
          <w:rFonts w:ascii="Arial" w:hAnsi="Arial" w:cs="Arial"/>
        </w:rPr>
      </w:pPr>
      <w:r w:rsidRPr="00A60B12">
        <w:rPr>
          <w:rFonts w:ascii="Arial" w:hAnsi="Arial" w:cs="Arial"/>
        </w:rPr>
        <w:t xml:space="preserve">Another method to measure prevalence is to use synthetic estimates of prevalence </w:t>
      </w:r>
      <w:r w:rsidR="003749A1" w:rsidRPr="00A60B12">
        <w:rPr>
          <w:rFonts w:ascii="Arial" w:hAnsi="Arial" w:cs="Arial"/>
        </w:rPr>
        <w:t>calculated</w:t>
      </w:r>
      <w:r w:rsidRPr="00A60B12">
        <w:rPr>
          <w:rFonts w:ascii="Arial" w:hAnsi="Arial" w:cs="Arial"/>
        </w:rPr>
        <w:t xml:space="preserve"> from data from the 2001 Health Survey for England. </w:t>
      </w:r>
      <w:r w:rsidR="00307AEC" w:rsidRPr="00A60B12">
        <w:rPr>
          <w:rFonts w:ascii="Arial" w:hAnsi="Arial" w:cs="Arial"/>
        </w:rPr>
        <w:t xml:space="preserve">This has been done by the Eastern Region Public Health Observatory (ERPHO for all regions of England. </w:t>
      </w:r>
      <w:r w:rsidRPr="00A60B12">
        <w:rPr>
          <w:rFonts w:ascii="Arial" w:hAnsi="Arial" w:cs="Arial"/>
        </w:rPr>
        <w:t xml:space="preserve">In this model, prevalence been adjusted for </w:t>
      </w:r>
      <w:r w:rsidR="00307AEC" w:rsidRPr="00A60B12">
        <w:rPr>
          <w:rFonts w:ascii="Arial" w:hAnsi="Arial" w:cs="Arial"/>
        </w:rPr>
        <w:t>the adjusted</w:t>
      </w:r>
      <w:r w:rsidR="00080850" w:rsidRPr="00A60B12">
        <w:rPr>
          <w:rFonts w:ascii="Arial" w:hAnsi="Arial" w:cs="Arial"/>
        </w:rPr>
        <w:t xml:space="preserve"> for the age, sex, ethnicity, smoking status and deprivation of the local population.  </w:t>
      </w:r>
    </w:p>
    <w:p w:rsidR="00433711" w:rsidRPr="00A60B12" w:rsidRDefault="00433711" w:rsidP="005C0D23">
      <w:pPr>
        <w:spacing w:after="0"/>
        <w:rPr>
          <w:rFonts w:ascii="Arial" w:hAnsi="Arial" w:cs="Arial"/>
        </w:rPr>
      </w:pPr>
    </w:p>
    <w:p w:rsidR="00124AF4" w:rsidRPr="00A60B12" w:rsidRDefault="00711318" w:rsidP="005C0D23">
      <w:pPr>
        <w:spacing w:after="0"/>
        <w:rPr>
          <w:rFonts w:ascii="Arial" w:hAnsi="Arial" w:cs="Arial"/>
        </w:rPr>
      </w:pPr>
      <w:r w:rsidRPr="00A60B12">
        <w:rPr>
          <w:rFonts w:ascii="Arial" w:hAnsi="Arial" w:cs="Arial"/>
        </w:rPr>
        <w:t xml:space="preserve">According to </w:t>
      </w:r>
      <w:r w:rsidR="00307AEC" w:rsidRPr="00A60B12">
        <w:rPr>
          <w:rFonts w:ascii="Arial" w:hAnsi="Arial" w:cs="Arial"/>
        </w:rPr>
        <w:t>this methodology</w:t>
      </w:r>
      <w:r w:rsidRPr="00A60B12">
        <w:rPr>
          <w:rFonts w:ascii="Arial" w:hAnsi="Arial" w:cs="Arial"/>
        </w:rPr>
        <w:t xml:space="preserve">, </w:t>
      </w:r>
      <w:r w:rsidRPr="00A60B12">
        <w:rPr>
          <w:rFonts w:ascii="Arial" w:hAnsi="Arial" w:cs="Arial"/>
          <w:b/>
        </w:rPr>
        <w:t xml:space="preserve">the estimated COPD prevalence for the </w:t>
      </w:r>
      <w:r w:rsidR="00307AEC" w:rsidRPr="00A60B12">
        <w:rPr>
          <w:rFonts w:ascii="Arial" w:hAnsi="Arial" w:cs="Arial"/>
          <w:b/>
        </w:rPr>
        <w:t>borough</w:t>
      </w:r>
      <w:r w:rsidR="001C5DCC" w:rsidRPr="00A60B12">
        <w:rPr>
          <w:rFonts w:ascii="Arial" w:hAnsi="Arial" w:cs="Arial"/>
          <w:b/>
        </w:rPr>
        <w:t xml:space="preserve"> of Wandsworth was</w:t>
      </w:r>
      <w:r w:rsidRPr="00A60B12">
        <w:rPr>
          <w:rFonts w:ascii="Arial" w:hAnsi="Arial" w:cs="Arial"/>
          <w:b/>
        </w:rPr>
        <w:t xml:space="preserve"> 7,409 in 2008</w:t>
      </w:r>
      <w:r w:rsidRPr="00A60B12">
        <w:rPr>
          <w:rFonts w:ascii="Arial" w:hAnsi="Arial" w:cs="Arial"/>
        </w:rPr>
        <w:t>.</w:t>
      </w:r>
      <w:r w:rsidR="008D585A" w:rsidRPr="00A60B12">
        <w:rPr>
          <w:rFonts w:ascii="Arial" w:hAnsi="Arial" w:cs="Arial"/>
        </w:rPr>
        <w:t xml:space="preserve"> This is more than 2.7 times </w:t>
      </w:r>
      <w:r w:rsidR="00307AEC" w:rsidRPr="00A60B12">
        <w:rPr>
          <w:rFonts w:ascii="Arial" w:hAnsi="Arial" w:cs="Arial"/>
        </w:rPr>
        <w:t>the prevalence</w:t>
      </w:r>
      <w:r w:rsidR="008D585A" w:rsidRPr="00A60B12">
        <w:rPr>
          <w:rFonts w:ascii="Arial" w:hAnsi="Arial" w:cs="Arial"/>
        </w:rPr>
        <w:t xml:space="preserve"> from QOF data, </w:t>
      </w:r>
      <w:r w:rsidR="00307AEC" w:rsidRPr="00A60B12">
        <w:rPr>
          <w:rFonts w:ascii="Arial" w:hAnsi="Arial" w:cs="Arial"/>
        </w:rPr>
        <w:t>suggesting</w:t>
      </w:r>
      <w:r w:rsidR="00DA76E9">
        <w:rPr>
          <w:rFonts w:ascii="Arial" w:hAnsi="Arial" w:cs="Arial"/>
        </w:rPr>
        <w:t xml:space="preserve"> that there is a considerable level of</w:t>
      </w:r>
      <w:r w:rsidR="008D585A" w:rsidRPr="00A60B12">
        <w:rPr>
          <w:rFonts w:ascii="Arial" w:hAnsi="Arial" w:cs="Arial"/>
        </w:rPr>
        <w:t xml:space="preserve"> </w:t>
      </w:r>
      <w:r w:rsidR="00307AEC" w:rsidRPr="00A60B12">
        <w:rPr>
          <w:rFonts w:ascii="Arial" w:hAnsi="Arial" w:cs="Arial"/>
        </w:rPr>
        <w:t>under diagnosis</w:t>
      </w:r>
      <w:r w:rsidR="008D585A" w:rsidRPr="00A60B12">
        <w:rPr>
          <w:rFonts w:ascii="Arial" w:hAnsi="Arial" w:cs="Arial"/>
        </w:rPr>
        <w:t xml:space="preserve"> in the community.</w:t>
      </w:r>
    </w:p>
    <w:p w:rsidR="00433711" w:rsidRPr="00A60B12" w:rsidRDefault="00433711" w:rsidP="005C0D23">
      <w:pPr>
        <w:spacing w:after="0"/>
        <w:rPr>
          <w:rFonts w:ascii="Arial" w:hAnsi="Arial" w:cs="Arial"/>
        </w:rPr>
      </w:pPr>
    </w:p>
    <w:p w:rsidR="003749A1" w:rsidRPr="00A60B12" w:rsidRDefault="003749A1" w:rsidP="005C0D23">
      <w:pPr>
        <w:spacing w:after="0"/>
        <w:rPr>
          <w:rFonts w:ascii="Arial" w:hAnsi="Arial" w:cs="Arial"/>
        </w:rPr>
      </w:pPr>
      <w:r w:rsidRPr="00A60B12">
        <w:rPr>
          <w:rFonts w:ascii="Arial" w:hAnsi="Arial" w:cs="Arial"/>
        </w:rPr>
        <w:t>Modelled prevalence figures are also available at the practice level, and allow comparison of observed versus modelled prevalence</w:t>
      </w:r>
      <w:r w:rsidR="00292DE2" w:rsidRPr="00A60B12">
        <w:rPr>
          <w:rStyle w:val="EndnoteReference"/>
          <w:rFonts w:ascii="Arial" w:hAnsi="Arial" w:cs="Arial"/>
        </w:rPr>
        <w:endnoteReference w:id="15"/>
      </w:r>
      <w:r w:rsidR="000340E9">
        <w:rPr>
          <w:rFonts w:ascii="Arial" w:hAnsi="Arial" w:cs="Arial"/>
        </w:rPr>
        <w:t xml:space="preserve"> (see Figure 3)</w:t>
      </w:r>
      <w:r w:rsidRPr="00A60B12">
        <w:rPr>
          <w:rFonts w:ascii="Arial" w:hAnsi="Arial" w:cs="Arial"/>
        </w:rPr>
        <w:t>.</w:t>
      </w:r>
    </w:p>
    <w:p w:rsidR="00433711" w:rsidRPr="00433711" w:rsidRDefault="00433711" w:rsidP="005C0D23">
      <w:pPr>
        <w:spacing w:after="0"/>
      </w:pPr>
    </w:p>
    <w:p w:rsidR="00124AF4" w:rsidRPr="00751528" w:rsidRDefault="00124AF4" w:rsidP="00751528">
      <w:pPr>
        <w:pStyle w:val="Caption"/>
      </w:pPr>
      <w:r w:rsidRPr="00751528">
        <w:t xml:space="preserve">Figure </w:t>
      </w:r>
      <w:fldSimple w:instr=" SEQ Figure \* ARABIC ">
        <w:r w:rsidR="00652BDF">
          <w:rPr>
            <w:noProof/>
          </w:rPr>
          <w:t>3</w:t>
        </w:r>
      </w:fldSimple>
    </w:p>
    <w:p w:rsidR="00FF5A76" w:rsidRPr="00433711" w:rsidRDefault="00FF5A76" w:rsidP="00575DB3">
      <w:pPr>
        <w:spacing w:after="0"/>
        <w:ind w:left="-851"/>
        <w:rPr>
          <w:rFonts w:ascii="Arial" w:eastAsia="Times New Roman" w:hAnsi="Arial" w:cs="Arial"/>
          <w:b/>
          <w:bCs/>
          <w:lang w:eastAsia="en-GB"/>
        </w:rPr>
      </w:pPr>
      <w:r w:rsidRPr="00433711">
        <w:rPr>
          <w:rFonts w:ascii="Arial" w:eastAsia="Times New Roman" w:hAnsi="Arial" w:cs="Arial"/>
          <w:b/>
          <w:bCs/>
          <w:noProof/>
          <w:lang w:eastAsia="en-GB"/>
        </w:rPr>
        <w:drawing>
          <wp:inline distT="0" distB="0" distL="0" distR="0">
            <wp:extent cx="7040880" cy="4895850"/>
            <wp:effectExtent l="19050" t="0" r="2667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5A76" w:rsidRPr="00433711" w:rsidRDefault="00365FCB" w:rsidP="00365FCB">
      <w:pPr>
        <w:spacing w:after="0"/>
        <w:jc w:val="right"/>
        <w:rPr>
          <w:rFonts w:ascii="Arial" w:eastAsia="Times New Roman" w:hAnsi="Arial" w:cs="Arial"/>
          <w:b/>
          <w:bCs/>
          <w:lang w:eastAsia="en-GB"/>
        </w:rPr>
      </w:pPr>
      <w:r w:rsidRPr="00365FCB">
        <w:rPr>
          <w:i/>
        </w:rPr>
        <w:t>Source: QOF data, NHS Information Centre, 2008-9</w:t>
      </w:r>
      <w:r>
        <w:rPr>
          <w:i/>
        </w:rPr>
        <w:t xml:space="preserve"> and ERPHO, 2008-9</w:t>
      </w:r>
    </w:p>
    <w:p w:rsidR="00FF5A76" w:rsidRPr="00433711" w:rsidRDefault="00FF5A76" w:rsidP="00575DB3">
      <w:pPr>
        <w:spacing w:after="0"/>
        <w:rPr>
          <w:rFonts w:ascii="Arial" w:eastAsia="Times New Roman" w:hAnsi="Arial" w:cs="Arial"/>
          <w:b/>
          <w:bCs/>
          <w:lang w:eastAsia="en-GB"/>
        </w:rPr>
      </w:pPr>
    </w:p>
    <w:p w:rsidR="00FF5A76" w:rsidRPr="00A60B12" w:rsidRDefault="009768FE" w:rsidP="00697795">
      <w:pPr>
        <w:spacing w:after="0"/>
        <w:rPr>
          <w:rFonts w:ascii="Arial" w:eastAsia="Times New Roman" w:hAnsi="Arial" w:cs="Arial"/>
          <w:bCs/>
          <w:lang w:eastAsia="en-GB"/>
        </w:rPr>
      </w:pPr>
      <w:r w:rsidRPr="00A60B12">
        <w:rPr>
          <w:rFonts w:ascii="Arial" w:eastAsia="Times New Roman" w:hAnsi="Arial" w:cs="Arial"/>
          <w:bCs/>
          <w:lang w:eastAsia="en-GB"/>
        </w:rPr>
        <w:t xml:space="preserve">These data demonstrate the </w:t>
      </w:r>
      <w:r w:rsidR="00433711" w:rsidRPr="00A60B12">
        <w:rPr>
          <w:rFonts w:ascii="Arial" w:eastAsia="Times New Roman" w:hAnsi="Arial" w:cs="Arial"/>
          <w:bCs/>
          <w:lang w:eastAsia="en-GB"/>
        </w:rPr>
        <w:t>existence</w:t>
      </w:r>
      <w:r w:rsidRPr="00A60B12">
        <w:rPr>
          <w:rFonts w:ascii="Arial" w:eastAsia="Times New Roman" w:hAnsi="Arial" w:cs="Arial"/>
          <w:bCs/>
          <w:lang w:eastAsia="en-GB"/>
        </w:rPr>
        <w:t xml:space="preserve"> of variable gaps between observed and expected </w:t>
      </w:r>
      <w:r w:rsidR="00433711" w:rsidRPr="00A60B12">
        <w:rPr>
          <w:rFonts w:ascii="Arial" w:eastAsia="Times New Roman" w:hAnsi="Arial" w:cs="Arial"/>
          <w:bCs/>
          <w:lang w:eastAsia="en-GB"/>
        </w:rPr>
        <w:t>prevalence</w:t>
      </w:r>
      <w:r w:rsidRPr="00A60B12">
        <w:rPr>
          <w:rFonts w:ascii="Arial" w:eastAsia="Times New Roman" w:hAnsi="Arial" w:cs="Arial"/>
          <w:bCs/>
          <w:lang w:eastAsia="en-GB"/>
        </w:rPr>
        <w:t xml:space="preserve"> in </w:t>
      </w:r>
      <w:r w:rsidR="00433711" w:rsidRPr="00A60B12">
        <w:rPr>
          <w:rFonts w:ascii="Arial" w:eastAsia="Times New Roman" w:hAnsi="Arial" w:cs="Arial"/>
          <w:bCs/>
          <w:lang w:eastAsia="en-GB"/>
        </w:rPr>
        <w:t>many</w:t>
      </w:r>
      <w:r w:rsidRPr="00A60B12">
        <w:rPr>
          <w:rFonts w:ascii="Arial" w:eastAsia="Times New Roman" w:hAnsi="Arial" w:cs="Arial"/>
          <w:bCs/>
          <w:lang w:eastAsia="en-GB"/>
        </w:rPr>
        <w:t xml:space="preserve"> of the practices.</w:t>
      </w:r>
      <w:r w:rsidR="003749A1" w:rsidRPr="00A60B12">
        <w:rPr>
          <w:rFonts w:ascii="Arial" w:eastAsia="Times New Roman" w:hAnsi="Arial" w:cs="Arial"/>
          <w:bCs/>
          <w:lang w:eastAsia="en-GB"/>
        </w:rPr>
        <w:t xml:space="preserve"> </w:t>
      </w:r>
      <w:r w:rsidRPr="00A60B12">
        <w:rPr>
          <w:rFonts w:ascii="Arial" w:eastAsia="Times New Roman" w:hAnsi="Arial" w:cs="Arial"/>
          <w:bCs/>
          <w:lang w:eastAsia="en-GB"/>
        </w:rPr>
        <w:t xml:space="preserve">Of concern are a number of practices with very low </w:t>
      </w:r>
      <w:r w:rsidR="00433711" w:rsidRPr="00A60B12">
        <w:rPr>
          <w:rFonts w:ascii="Arial" w:eastAsia="Times New Roman" w:hAnsi="Arial" w:cs="Arial"/>
          <w:bCs/>
          <w:lang w:eastAsia="en-GB"/>
        </w:rPr>
        <w:t>observed</w:t>
      </w:r>
      <w:r w:rsidRPr="00A60B12">
        <w:rPr>
          <w:rFonts w:ascii="Arial" w:eastAsia="Times New Roman" w:hAnsi="Arial" w:cs="Arial"/>
          <w:bCs/>
          <w:lang w:eastAsia="en-GB"/>
        </w:rPr>
        <w:t xml:space="preserve"> </w:t>
      </w:r>
      <w:r w:rsidR="00433711" w:rsidRPr="00A60B12">
        <w:rPr>
          <w:rFonts w:ascii="Arial" w:eastAsia="Times New Roman" w:hAnsi="Arial" w:cs="Arial"/>
          <w:bCs/>
          <w:lang w:eastAsia="en-GB"/>
        </w:rPr>
        <w:t>prevalence</w:t>
      </w:r>
      <w:r w:rsidRPr="00A60B12">
        <w:rPr>
          <w:rFonts w:ascii="Arial" w:eastAsia="Times New Roman" w:hAnsi="Arial" w:cs="Arial"/>
          <w:bCs/>
          <w:lang w:eastAsia="en-GB"/>
        </w:rPr>
        <w:t xml:space="preserve">, but </w:t>
      </w:r>
      <w:r w:rsidR="00433711" w:rsidRPr="00A60B12">
        <w:rPr>
          <w:rFonts w:ascii="Arial" w:eastAsia="Times New Roman" w:hAnsi="Arial" w:cs="Arial"/>
          <w:bCs/>
          <w:lang w:eastAsia="en-GB"/>
        </w:rPr>
        <w:t>relatively</w:t>
      </w:r>
      <w:r w:rsidRPr="00A60B12">
        <w:rPr>
          <w:rFonts w:ascii="Arial" w:eastAsia="Times New Roman" w:hAnsi="Arial" w:cs="Arial"/>
          <w:bCs/>
          <w:lang w:eastAsia="en-GB"/>
        </w:rPr>
        <w:t xml:space="preserve"> high modelled </w:t>
      </w:r>
      <w:r w:rsidR="00433711" w:rsidRPr="00A60B12">
        <w:rPr>
          <w:rFonts w:ascii="Arial" w:eastAsia="Times New Roman" w:hAnsi="Arial" w:cs="Arial"/>
          <w:bCs/>
          <w:lang w:eastAsia="en-GB"/>
        </w:rPr>
        <w:t>prevalence</w:t>
      </w:r>
      <w:r w:rsidRPr="00A60B12">
        <w:rPr>
          <w:rFonts w:ascii="Arial" w:eastAsia="Times New Roman" w:hAnsi="Arial" w:cs="Arial"/>
          <w:bCs/>
          <w:lang w:eastAsia="en-GB"/>
        </w:rPr>
        <w:t xml:space="preserve">. This might suggest variable </w:t>
      </w:r>
      <w:r w:rsidR="00751528">
        <w:rPr>
          <w:rFonts w:ascii="Arial" w:eastAsia="Times New Roman" w:hAnsi="Arial" w:cs="Arial"/>
          <w:bCs/>
          <w:lang w:eastAsia="en-GB"/>
        </w:rPr>
        <w:lastRenderedPageBreak/>
        <w:t>l</w:t>
      </w:r>
      <w:r w:rsidRPr="00A60B12">
        <w:rPr>
          <w:rFonts w:ascii="Arial" w:eastAsia="Times New Roman" w:hAnsi="Arial" w:cs="Arial"/>
          <w:bCs/>
          <w:lang w:eastAsia="en-GB"/>
        </w:rPr>
        <w:t xml:space="preserve">evels of diagnosis between the practices, and may suggest a list of practices that would benefit from strengthening their </w:t>
      </w:r>
      <w:r w:rsidR="00433711" w:rsidRPr="00A60B12">
        <w:rPr>
          <w:rFonts w:ascii="Arial" w:eastAsia="Times New Roman" w:hAnsi="Arial" w:cs="Arial"/>
          <w:bCs/>
          <w:lang w:eastAsia="en-GB"/>
        </w:rPr>
        <w:t>diagnostic</w:t>
      </w:r>
      <w:r w:rsidRPr="00A60B12">
        <w:rPr>
          <w:rFonts w:ascii="Arial" w:eastAsia="Times New Roman" w:hAnsi="Arial" w:cs="Arial"/>
          <w:bCs/>
          <w:lang w:eastAsia="en-GB"/>
        </w:rPr>
        <w:t xml:space="preserve"> process and GP awareness.</w:t>
      </w:r>
    </w:p>
    <w:p w:rsidR="008376A3" w:rsidRPr="00A60B12" w:rsidRDefault="008376A3" w:rsidP="00697795">
      <w:pPr>
        <w:spacing w:after="0"/>
        <w:rPr>
          <w:rFonts w:ascii="Arial" w:eastAsia="Times New Roman" w:hAnsi="Arial" w:cs="Arial"/>
          <w:bCs/>
          <w:lang w:eastAsia="en-GB"/>
        </w:rPr>
      </w:pPr>
    </w:p>
    <w:p w:rsidR="008376A3" w:rsidRPr="00A60B12" w:rsidRDefault="008376A3" w:rsidP="00697795">
      <w:pPr>
        <w:spacing w:after="0"/>
        <w:rPr>
          <w:rFonts w:ascii="Arial" w:eastAsia="Times New Roman" w:hAnsi="Arial" w:cs="Arial"/>
          <w:bCs/>
          <w:lang w:eastAsia="en-GB"/>
        </w:rPr>
      </w:pPr>
      <w:r w:rsidRPr="00A60B12">
        <w:rPr>
          <w:rFonts w:ascii="Arial" w:eastAsia="Times New Roman" w:hAnsi="Arial" w:cs="Arial"/>
          <w:bCs/>
          <w:lang w:eastAsia="en-GB"/>
        </w:rPr>
        <w:t xml:space="preserve">Looking at the different prevalence by ward, as demonstrated in the </w:t>
      </w:r>
      <w:r w:rsidR="005C0D23" w:rsidRPr="00A60B12">
        <w:rPr>
          <w:rFonts w:ascii="Arial" w:eastAsia="Times New Roman" w:hAnsi="Arial" w:cs="Arial"/>
          <w:bCs/>
          <w:lang w:eastAsia="en-GB"/>
        </w:rPr>
        <w:t>m</w:t>
      </w:r>
      <w:r w:rsidRPr="00A60B12">
        <w:rPr>
          <w:rFonts w:ascii="Arial" w:eastAsia="Times New Roman" w:hAnsi="Arial" w:cs="Arial"/>
          <w:bCs/>
          <w:lang w:eastAsia="en-GB"/>
        </w:rPr>
        <w:t>aps below, reveals different patterns of prevalence</w:t>
      </w:r>
      <w:r w:rsidR="005C0D23" w:rsidRPr="00A60B12">
        <w:rPr>
          <w:rFonts w:ascii="Arial" w:eastAsia="Times New Roman" w:hAnsi="Arial" w:cs="Arial"/>
          <w:bCs/>
          <w:lang w:eastAsia="en-GB"/>
        </w:rPr>
        <w:t xml:space="preserve"> if </w:t>
      </w:r>
      <w:r w:rsidR="00DA76E9">
        <w:rPr>
          <w:rFonts w:ascii="Arial" w:eastAsia="Times New Roman" w:hAnsi="Arial" w:cs="Arial"/>
          <w:bCs/>
          <w:lang w:eastAsia="en-GB"/>
        </w:rPr>
        <w:t>modelled or measured values</w:t>
      </w:r>
      <w:r w:rsidR="005C0D23" w:rsidRPr="00A60B12">
        <w:rPr>
          <w:rFonts w:ascii="Arial" w:eastAsia="Times New Roman" w:hAnsi="Arial" w:cs="Arial"/>
          <w:bCs/>
          <w:lang w:eastAsia="en-GB"/>
        </w:rPr>
        <w:t xml:space="preserve"> are used</w:t>
      </w:r>
      <w:r w:rsidRPr="00A60B12">
        <w:rPr>
          <w:rFonts w:ascii="Arial" w:eastAsia="Times New Roman" w:hAnsi="Arial" w:cs="Arial"/>
          <w:bCs/>
          <w:lang w:eastAsia="en-GB"/>
        </w:rPr>
        <w:t xml:space="preserve">. In both maps the north and far west of the ward appear to have high prevalence. The modelled prevalence, however, reveals an area of potential high prevalence in the south of the borough, in the more deprived wards of Tooting, </w:t>
      </w:r>
      <w:r w:rsidR="004471D6" w:rsidRPr="00A60B12">
        <w:rPr>
          <w:rFonts w:ascii="Arial" w:eastAsia="Times New Roman" w:hAnsi="Arial" w:cs="Arial"/>
          <w:bCs/>
          <w:lang w:eastAsia="en-GB"/>
        </w:rPr>
        <w:t>Graveney</w:t>
      </w:r>
      <w:r w:rsidRPr="00A60B12">
        <w:rPr>
          <w:rFonts w:ascii="Arial" w:eastAsia="Times New Roman" w:hAnsi="Arial" w:cs="Arial"/>
          <w:bCs/>
          <w:lang w:eastAsia="en-GB"/>
        </w:rPr>
        <w:t xml:space="preserve"> and Furzedown, which do not appear to have </w:t>
      </w:r>
      <w:r w:rsidR="00867514" w:rsidRPr="00A60B12">
        <w:rPr>
          <w:rFonts w:ascii="Arial" w:eastAsia="Times New Roman" w:hAnsi="Arial" w:cs="Arial"/>
          <w:bCs/>
          <w:lang w:eastAsia="en-GB"/>
        </w:rPr>
        <w:t>been</w:t>
      </w:r>
      <w:r w:rsidRPr="00A60B12">
        <w:rPr>
          <w:rFonts w:ascii="Arial" w:eastAsia="Times New Roman" w:hAnsi="Arial" w:cs="Arial"/>
          <w:bCs/>
          <w:lang w:eastAsia="en-GB"/>
        </w:rPr>
        <w:t xml:space="preserve"> detected by the QOF. Further work would be useful to evaluate whether the </w:t>
      </w:r>
      <w:r w:rsidR="004471D6" w:rsidRPr="00A60B12">
        <w:rPr>
          <w:rFonts w:ascii="Arial" w:eastAsia="Times New Roman" w:hAnsi="Arial" w:cs="Arial"/>
          <w:bCs/>
          <w:lang w:eastAsia="en-GB"/>
        </w:rPr>
        <w:t>model</w:t>
      </w:r>
      <w:r w:rsidRPr="00A60B12">
        <w:rPr>
          <w:rFonts w:ascii="Arial" w:eastAsia="Times New Roman" w:hAnsi="Arial" w:cs="Arial"/>
          <w:bCs/>
          <w:lang w:eastAsia="en-GB"/>
        </w:rPr>
        <w:t xml:space="preserve"> or the QOF </w:t>
      </w:r>
      <w:r w:rsidR="004471D6" w:rsidRPr="00A60B12">
        <w:rPr>
          <w:rFonts w:ascii="Arial" w:eastAsia="Times New Roman" w:hAnsi="Arial" w:cs="Arial"/>
          <w:bCs/>
          <w:lang w:eastAsia="en-GB"/>
        </w:rPr>
        <w:t>records</w:t>
      </w:r>
      <w:r w:rsidRPr="00A60B12">
        <w:rPr>
          <w:rFonts w:ascii="Arial" w:eastAsia="Times New Roman" w:hAnsi="Arial" w:cs="Arial"/>
          <w:bCs/>
          <w:lang w:eastAsia="en-GB"/>
        </w:rPr>
        <w:t xml:space="preserve"> are inaccurate. </w:t>
      </w:r>
    </w:p>
    <w:p w:rsidR="00F945C6" w:rsidRPr="00A60B12" w:rsidRDefault="00F945C6" w:rsidP="00697795">
      <w:pPr>
        <w:spacing w:after="0"/>
        <w:rPr>
          <w:rFonts w:ascii="Arial" w:eastAsia="Times New Roman" w:hAnsi="Arial" w:cs="Arial"/>
          <w:bCs/>
          <w:lang w:eastAsia="en-GB"/>
        </w:rPr>
      </w:pPr>
    </w:p>
    <w:p w:rsidR="00F945C6" w:rsidRPr="00A60B12" w:rsidRDefault="00770E50" w:rsidP="00697795">
      <w:pPr>
        <w:autoSpaceDE w:val="0"/>
        <w:autoSpaceDN w:val="0"/>
        <w:adjustRightInd w:val="0"/>
        <w:spacing w:after="0"/>
        <w:rPr>
          <w:rFonts w:ascii="Arial" w:eastAsia="Times New Roman" w:hAnsi="Arial" w:cs="Arial"/>
          <w:bCs/>
          <w:lang w:eastAsia="en-GB"/>
        </w:rPr>
      </w:pPr>
      <w:r w:rsidRPr="00A60B12">
        <w:rPr>
          <w:rFonts w:ascii="Arial" w:eastAsia="Times New Roman" w:hAnsi="Arial" w:cs="Arial"/>
          <w:bCs/>
          <w:lang w:eastAsia="en-GB"/>
        </w:rPr>
        <w:t xml:space="preserve">This matches national observations, where </w:t>
      </w:r>
      <w:r w:rsidR="004471D6" w:rsidRPr="00A60B12">
        <w:rPr>
          <w:rFonts w:ascii="Arial" w:hAnsi="Arial" w:cs="Arial"/>
        </w:rPr>
        <w:t>the</w:t>
      </w:r>
      <w:r w:rsidRPr="00A60B12">
        <w:rPr>
          <w:rFonts w:ascii="Arial" w:hAnsi="Arial" w:cs="Arial"/>
        </w:rPr>
        <w:t xml:space="preserve"> overall prevalence of COPD in England is estimated</w:t>
      </w:r>
      <w:r w:rsidR="00A60B12">
        <w:rPr>
          <w:rFonts w:ascii="Arial" w:hAnsi="Arial" w:cs="Arial"/>
        </w:rPr>
        <w:t xml:space="preserve"> </w:t>
      </w:r>
      <w:r w:rsidRPr="00A60B12">
        <w:rPr>
          <w:rFonts w:ascii="Arial" w:hAnsi="Arial" w:cs="Arial"/>
        </w:rPr>
        <w:t>as 1.3 million, of whom as many as 600,000 people may</w:t>
      </w:r>
      <w:r w:rsidR="00A60B12">
        <w:rPr>
          <w:rFonts w:ascii="Arial" w:hAnsi="Arial" w:cs="Arial"/>
        </w:rPr>
        <w:t xml:space="preserve"> </w:t>
      </w:r>
      <w:r w:rsidRPr="00A60B12">
        <w:rPr>
          <w:rFonts w:ascii="Arial" w:hAnsi="Arial" w:cs="Arial"/>
        </w:rPr>
        <w:t>be unaware of their diagnosis, therefore missing the</w:t>
      </w:r>
      <w:r w:rsidR="00A60B12">
        <w:rPr>
          <w:rFonts w:ascii="Arial" w:hAnsi="Arial" w:cs="Arial"/>
        </w:rPr>
        <w:t xml:space="preserve"> </w:t>
      </w:r>
      <w:r w:rsidRPr="00A60B12">
        <w:rPr>
          <w:rFonts w:ascii="Arial" w:hAnsi="Arial" w:cs="Arial"/>
        </w:rPr>
        <w:t>opportunity of benefiting from early interventions</w:t>
      </w:r>
      <w:r w:rsidR="008C4B7F" w:rsidRPr="00A60B12">
        <w:rPr>
          <w:rStyle w:val="EndnoteReference"/>
          <w:rFonts w:ascii="Arial" w:hAnsi="Arial" w:cs="Arial"/>
        </w:rPr>
        <w:endnoteReference w:id="16"/>
      </w:r>
      <w:r w:rsidRPr="00A60B12">
        <w:rPr>
          <w:rFonts w:ascii="Arial" w:hAnsi="Arial" w:cs="Arial"/>
        </w:rPr>
        <w:t>.</w:t>
      </w:r>
    </w:p>
    <w:p w:rsidR="00F945C6" w:rsidRDefault="00F945C6" w:rsidP="00697795">
      <w:pPr>
        <w:spacing w:after="0"/>
        <w:rPr>
          <w:rFonts w:ascii="Arial" w:eastAsia="Times New Roman" w:hAnsi="Arial" w:cs="Arial"/>
          <w:bCs/>
          <w:lang w:eastAsia="en-GB"/>
        </w:rPr>
      </w:pPr>
    </w:p>
    <w:p w:rsidR="00F945C6" w:rsidRDefault="00F945C6" w:rsidP="00697795">
      <w:pPr>
        <w:spacing w:after="0"/>
        <w:rPr>
          <w:rFonts w:ascii="Arial" w:eastAsia="Times New Roman" w:hAnsi="Arial" w:cs="Arial"/>
          <w:bCs/>
          <w:lang w:eastAsia="en-GB"/>
        </w:rPr>
      </w:pPr>
    </w:p>
    <w:p w:rsidR="00F945C6" w:rsidRDefault="00F945C6" w:rsidP="00697795">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F945C6" w:rsidRDefault="00F945C6" w:rsidP="00575DB3">
      <w:pPr>
        <w:spacing w:after="0"/>
        <w:rPr>
          <w:rFonts w:ascii="Arial" w:eastAsia="Times New Roman" w:hAnsi="Arial" w:cs="Arial"/>
          <w:bCs/>
          <w:lang w:eastAsia="en-GB"/>
        </w:rPr>
      </w:pPr>
    </w:p>
    <w:p w:rsidR="00510BFE" w:rsidRPr="00677CE5" w:rsidRDefault="00510BFE" w:rsidP="00677CE5">
      <w:pPr>
        <w:pStyle w:val="Caption"/>
      </w:pPr>
      <w:r w:rsidRPr="00677CE5">
        <w:lastRenderedPageBreak/>
        <w:t xml:space="preserve">Figure </w:t>
      </w:r>
      <w:fldSimple w:instr=" SEQ Figure \* ARABIC ">
        <w:r w:rsidR="00652BDF">
          <w:rPr>
            <w:noProof/>
          </w:rPr>
          <w:t>4</w:t>
        </w:r>
      </w:fldSimple>
      <w:r w:rsidRPr="00677CE5">
        <w:t xml:space="preserve"> Prevalence observed by QOF (% of total population on COPD register) (2008-9)</w:t>
      </w:r>
    </w:p>
    <w:p w:rsidR="00510BFE" w:rsidRDefault="00510BFE" w:rsidP="00510BFE">
      <w:pPr>
        <w:pStyle w:val="Caption"/>
      </w:pPr>
    </w:p>
    <w:p w:rsidR="00F945C6" w:rsidRDefault="0094765D">
      <w:r>
        <w:rPr>
          <w:noProof/>
          <w:lang w:eastAsia="en-GB"/>
        </w:rPr>
        <w:drawing>
          <wp:inline distT="0" distB="0" distL="0" distR="0">
            <wp:extent cx="4824255" cy="372409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824506" cy="3724284"/>
                    </a:xfrm>
                    <a:prstGeom prst="rect">
                      <a:avLst/>
                    </a:prstGeom>
                    <a:noFill/>
                    <a:ln w="9525">
                      <a:noFill/>
                      <a:miter lim="800000"/>
                      <a:headEnd/>
                      <a:tailEnd/>
                    </a:ln>
                  </pic:spPr>
                </pic:pic>
              </a:graphicData>
            </a:graphic>
          </wp:inline>
        </w:drawing>
      </w:r>
    </w:p>
    <w:p w:rsidR="00365FCB" w:rsidRPr="00A60B12" w:rsidRDefault="00365FCB">
      <w:pPr>
        <w:rPr>
          <w:rFonts w:ascii="Arial" w:hAnsi="Arial" w:cs="Arial"/>
        </w:rPr>
      </w:pPr>
    </w:p>
    <w:p w:rsidR="00510BFE" w:rsidRPr="00677CE5" w:rsidRDefault="00510BFE" w:rsidP="00677CE5">
      <w:pPr>
        <w:pStyle w:val="Caption"/>
      </w:pPr>
      <w:r w:rsidRPr="00677CE5">
        <w:t xml:space="preserve">Figure </w:t>
      </w:r>
      <w:fldSimple w:instr=" SEQ Figure \* ARABIC ">
        <w:r w:rsidR="00652BDF">
          <w:rPr>
            <w:noProof/>
          </w:rPr>
          <w:t>5</w:t>
        </w:r>
      </w:fldSimple>
      <w:r w:rsidRPr="00677CE5">
        <w:t xml:space="preserve"> Modelled COPD Prevalence from ERPHO (2008-9) (NB different scales)</w:t>
      </w:r>
    </w:p>
    <w:p w:rsidR="0094765D" w:rsidRDefault="00F945C6">
      <w:pPr>
        <w:rPr>
          <w:rFonts w:ascii="Arial" w:eastAsia="Times New Roman" w:hAnsi="Arial" w:cstheme="majorBidi"/>
          <w:bCs/>
          <w:color w:val="1F497D" w:themeColor="text2"/>
          <w:sz w:val="26"/>
          <w:lang w:eastAsia="en-GB"/>
        </w:rPr>
      </w:pPr>
      <w:r>
        <w:rPr>
          <w:noProof/>
          <w:lang w:eastAsia="en-GB"/>
        </w:rPr>
        <w:drawing>
          <wp:inline distT="0" distB="0" distL="0" distR="0">
            <wp:extent cx="4713724" cy="3613681"/>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713611" cy="3613595"/>
                    </a:xfrm>
                    <a:prstGeom prst="rect">
                      <a:avLst/>
                    </a:prstGeom>
                    <a:noFill/>
                    <a:ln w="9525">
                      <a:noFill/>
                      <a:miter lim="800000"/>
                      <a:headEnd/>
                      <a:tailEnd/>
                    </a:ln>
                  </pic:spPr>
                </pic:pic>
              </a:graphicData>
            </a:graphic>
          </wp:inline>
        </w:drawing>
      </w:r>
    </w:p>
    <w:p w:rsidR="00F945C6" w:rsidRDefault="00F945C6">
      <w:pPr>
        <w:rPr>
          <w:rFonts w:ascii="Arial" w:eastAsia="Times New Roman" w:hAnsi="Arial" w:cstheme="majorBidi"/>
          <w:bCs/>
          <w:color w:val="1F497D" w:themeColor="text2"/>
          <w:sz w:val="26"/>
          <w:lang w:eastAsia="en-GB"/>
        </w:rPr>
      </w:pPr>
      <w:r>
        <w:br w:type="page"/>
      </w:r>
    </w:p>
    <w:p w:rsidR="00DB2C49" w:rsidRDefault="00DB2C49" w:rsidP="00770E50">
      <w:pPr>
        <w:pStyle w:val="Heading2"/>
      </w:pPr>
      <w:bookmarkStart w:id="15" w:name="_Toc256345726"/>
      <w:r>
        <w:lastRenderedPageBreak/>
        <w:t>Future Projections of Prevalence</w:t>
      </w:r>
      <w:bookmarkEnd w:id="15"/>
    </w:p>
    <w:p w:rsidR="00697795" w:rsidRDefault="00697795" w:rsidP="00575DB3">
      <w:pPr>
        <w:rPr>
          <w:rFonts w:ascii="Arial" w:hAnsi="Arial" w:cs="Arial"/>
          <w:lang w:eastAsia="en-GB"/>
        </w:rPr>
      </w:pPr>
    </w:p>
    <w:p w:rsidR="00DB2C49" w:rsidRPr="00A60B12" w:rsidRDefault="00F43EB7" w:rsidP="00575DB3">
      <w:pPr>
        <w:rPr>
          <w:rStyle w:val="viewpagedescription1"/>
          <w:rFonts w:ascii="Arial" w:hAnsi="Arial" w:cs="Arial"/>
          <w:color w:val="000000"/>
        </w:rPr>
      </w:pPr>
      <w:r>
        <w:rPr>
          <w:rFonts w:ascii="Arial" w:hAnsi="Arial" w:cs="Arial"/>
          <w:lang w:eastAsia="en-GB"/>
        </w:rPr>
        <w:t>The Eastern Regional Public H</w:t>
      </w:r>
      <w:r w:rsidR="00DB2C49" w:rsidRPr="00A60B12">
        <w:rPr>
          <w:rFonts w:ascii="Arial" w:hAnsi="Arial" w:cs="Arial"/>
          <w:lang w:eastAsia="en-GB"/>
        </w:rPr>
        <w:t xml:space="preserve">ealth Observatory has </w:t>
      </w:r>
      <w:r w:rsidR="00DB2C49" w:rsidRPr="00A60B12">
        <w:rPr>
          <w:rStyle w:val="viewpagedescription1"/>
          <w:rFonts w:ascii="Arial" w:hAnsi="Arial" w:cs="Arial"/>
          <w:color w:val="000000"/>
        </w:rPr>
        <w:t>developed estimates and projections of the prevalence of COPD, based on a mod</w:t>
      </w:r>
      <w:r w:rsidR="005234C6" w:rsidRPr="00A60B12">
        <w:rPr>
          <w:rStyle w:val="viewpagedescription1"/>
          <w:rFonts w:ascii="Arial" w:hAnsi="Arial" w:cs="Arial"/>
          <w:color w:val="000000"/>
        </w:rPr>
        <w:t>el developed by Nacul &amp; Soljak</w:t>
      </w:r>
      <w:r w:rsidR="00DA76E9" w:rsidRPr="00DA76E9">
        <w:rPr>
          <w:rStyle w:val="viewpagedescription1"/>
          <w:rFonts w:ascii="Arial" w:hAnsi="Arial" w:cs="Arial"/>
          <w:color w:val="000000"/>
          <w:vertAlign w:val="superscript"/>
        </w:rPr>
        <w:t>3</w:t>
      </w:r>
      <w:r w:rsidR="005234C6" w:rsidRPr="00A60B12">
        <w:rPr>
          <w:rStyle w:val="viewpagedescription1"/>
          <w:rFonts w:ascii="Arial" w:hAnsi="Arial" w:cs="Arial"/>
          <w:color w:val="000000"/>
        </w:rPr>
        <w:t xml:space="preserve">. These projections </w:t>
      </w:r>
      <w:r w:rsidR="00DA76E9">
        <w:rPr>
          <w:rStyle w:val="viewpagedescription1"/>
          <w:rFonts w:ascii="Arial" w:hAnsi="Arial" w:cs="Arial"/>
          <w:color w:val="000000"/>
        </w:rPr>
        <w:t>provide values</w:t>
      </w:r>
      <w:r w:rsidR="005234C6" w:rsidRPr="00A60B12">
        <w:rPr>
          <w:rStyle w:val="viewpagedescription1"/>
          <w:rFonts w:ascii="Arial" w:hAnsi="Arial" w:cs="Arial"/>
          <w:color w:val="000000"/>
        </w:rPr>
        <w:t xml:space="preserve"> until </w:t>
      </w:r>
      <w:r w:rsidR="00DB2C49" w:rsidRPr="00A60B12">
        <w:rPr>
          <w:rStyle w:val="viewpagedescription1"/>
          <w:rFonts w:ascii="Arial" w:hAnsi="Arial" w:cs="Arial"/>
          <w:color w:val="000000"/>
        </w:rPr>
        <w:t xml:space="preserve">2020. </w:t>
      </w:r>
    </w:p>
    <w:p w:rsidR="00DB2C49" w:rsidRPr="00A60B12" w:rsidRDefault="000340E9" w:rsidP="00575DB3">
      <w:pPr>
        <w:rPr>
          <w:rFonts w:ascii="Arial" w:hAnsi="Arial" w:cs="Arial"/>
          <w:lang w:eastAsia="en-GB"/>
        </w:rPr>
      </w:pPr>
      <w:r>
        <w:rPr>
          <w:rStyle w:val="viewpagedescription1"/>
          <w:rFonts w:ascii="Arial" w:hAnsi="Arial" w:cs="Arial"/>
          <w:color w:val="000000"/>
        </w:rPr>
        <w:t>Figure 6</w:t>
      </w:r>
      <w:r w:rsidR="00DB2C49" w:rsidRPr="00A60B12">
        <w:rPr>
          <w:rStyle w:val="viewpagedescription1"/>
          <w:rFonts w:ascii="Arial" w:hAnsi="Arial" w:cs="Arial"/>
          <w:color w:val="000000"/>
        </w:rPr>
        <w:t xml:space="preserve"> demonstrates that prevalence both nationally and in Wandsworth is predicted to remain remarkably constant over the next ten years. This figure also demonstrates the lower prevalence in Wandsworth compared </w:t>
      </w:r>
      <w:proofErr w:type="gramStart"/>
      <w:r w:rsidR="00DB2C49" w:rsidRPr="00A60B12">
        <w:rPr>
          <w:rStyle w:val="viewpagedescription1"/>
          <w:rFonts w:ascii="Arial" w:hAnsi="Arial" w:cs="Arial"/>
          <w:color w:val="000000"/>
        </w:rPr>
        <w:t>to</w:t>
      </w:r>
      <w:proofErr w:type="gramEnd"/>
      <w:r w:rsidR="00DB2C49" w:rsidRPr="00A60B12">
        <w:rPr>
          <w:rStyle w:val="viewpagedescription1"/>
          <w:rFonts w:ascii="Arial" w:hAnsi="Arial" w:cs="Arial"/>
          <w:color w:val="000000"/>
        </w:rPr>
        <w:t xml:space="preserve"> many of the other PCTs in its cluster. This is likely to be a result of the younger population of Wandsworth.</w:t>
      </w:r>
    </w:p>
    <w:p w:rsidR="00354039" w:rsidRDefault="00354039" w:rsidP="00354039">
      <w:pPr>
        <w:pStyle w:val="Caption"/>
      </w:pPr>
      <w:r>
        <w:t xml:space="preserve">Figure </w:t>
      </w:r>
      <w:fldSimple w:instr=" SEQ Figure \* ARABIC ">
        <w:r w:rsidR="00652BDF">
          <w:rPr>
            <w:noProof/>
          </w:rPr>
          <w:t>6</w:t>
        </w:r>
      </w:fldSimple>
    </w:p>
    <w:p w:rsidR="008376F3" w:rsidRDefault="00B02651" w:rsidP="00365FCB">
      <w:pPr>
        <w:jc w:val="right"/>
        <w:rPr>
          <w:lang w:eastAsia="en-GB"/>
        </w:rPr>
      </w:pPr>
      <w:r>
        <w:rPr>
          <w:noProof/>
          <w:lang w:eastAsia="en-GB"/>
        </w:rPr>
        <w:drawing>
          <wp:inline distT="0" distB="0" distL="0" distR="0">
            <wp:extent cx="5727700" cy="3949065"/>
            <wp:effectExtent l="19050" t="0" r="635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27700" cy="3949065"/>
                    </a:xfrm>
                    <a:prstGeom prst="rect">
                      <a:avLst/>
                    </a:prstGeom>
                    <a:noFill/>
                    <a:ln w="9525">
                      <a:noFill/>
                      <a:miter lim="800000"/>
                      <a:headEnd/>
                      <a:tailEnd/>
                    </a:ln>
                  </pic:spPr>
                </pic:pic>
              </a:graphicData>
            </a:graphic>
          </wp:inline>
        </w:drawing>
      </w:r>
    </w:p>
    <w:p w:rsidR="008376F3" w:rsidRDefault="00DB2C49" w:rsidP="00365FCB">
      <w:pPr>
        <w:jc w:val="right"/>
        <w:rPr>
          <w:lang w:eastAsia="en-GB"/>
        </w:rPr>
      </w:pPr>
      <w:r>
        <w:rPr>
          <w:lang w:eastAsia="en-GB"/>
        </w:rPr>
        <w:t>Source:</w:t>
      </w:r>
      <w:r w:rsidR="00B02651">
        <w:rPr>
          <w:lang w:eastAsia="en-GB"/>
        </w:rPr>
        <w:t xml:space="preserve"> ERPHO</w:t>
      </w:r>
      <w:r>
        <w:rPr>
          <w:lang w:eastAsia="en-GB"/>
        </w:rPr>
        <w:t>, 2009</w:t>
      </w:r>
      <w:r>
        <w:rPr>
          <w:rStyle w:val="EndnoteReference"/>
          <w:lang w:eastAsia="en-GB"/>
        </w:rPr>
        <w:endnoteReference w:id="17"/>
      </w:r>
    </w:p>
    <w:p w:rsidR="00B813FA" w:rsidRPr="00A60B12" w:rsidRDefault="004471D6" w:rsidP="00575DB3">
      <w:pPr>
        <w:rPr>
          <w:rFonts w:ascii="Arial" w:hAnsi="Arial" w:cs="Arial"/>
          <w:lang w:eastAsia="en-GB"/>
        </w:rPr>
      </w:pPr>
      <w:r w:rsidRPr="00A60B12">
        <w:rPr>
          <w:rFonts w:ascii="Arial" w:hAnsi="Arial" w:cs="Arial"/>
          <w:lang w:eastAsia="en-GB"/>
        </w:rPr>
        <w:t xml:space="preserve">This pattern of prevalence is observed because the increasing proportion of elderly people is </w:t>
      </w:r>
      <w:r w:rsidR="00354039">
        <w:rPr>
          <w:rFonts w:ascii="Arial" w:hAnsi="Arial" w:cs="Arial"/>
          <w:lang w:eastAsia="en-GB"/>
        </w:rPr>
        <w:t>countered</w:t>
      </w:r>
      <w:r w:rsidRPr="00A60B12">
        <w:rPr>
          <w:rFonts w:ascii="Arial" w:hAnsi="Arial" w:cs="Arial"/>
          <w:lang w:eastAsia="en-GB"/>
        </w:rPr>
        <w:t xml:space="preserve"> by reduced levels of smoking</w:t>
      </w:r>
      <w:r w:rsidR="00354039">
        <w:rPr>
          <w:rFonts w:ascii="Arial" w:hAnsi="Arial" w:cs="Arial"/>
          <w:lang w:eastAsia="en-GB"/>
        </w:rPr>
        <w:t xml:space="preserve"> in the population</w:t>
      </w:r>
      <w:r w:rsidRPr="00A60B12">
        <w:rPr>
          <w:rFonts w:ascii="Arial" w:hAnsi="Arial" w:cs="Arial"/>
          <w:lang w:eastAsia="en-GB"/>
        </w:rPr>
        <w:t>, leading to a relatively flat prevalence of the disease overall in the population</w:t>
      </w:r>
      <w:r w:rsidR="00DA76E9">
        <w:rPr>
          <w:rFonts w:ascii="Arial" w:hAnsi="Arial" w:cs="Arial"/>
          <w:lang w:eastAsia="en-GB"/>
        </w:rPr>
        <w:t xml:space="preserve"> over time</w:t>
      </w:r>
      <w:r w:rsidRPr="00A60B12">
        <w:rPr>
          <w:rFonts w:ascii="Arial" w:hAnsi="Arial" w:cs="Arial"/>
          <w:lang w:eastAsia="en-GB"/>
        </w:rPr>
        <w:t>.</w:t>
      </w:r>
    </w:p>
    <w:p w:rsidR="00F138F6" w:rsidRDefault="00F138F6">
      <w:pPr>
        <w:rPr>
          <w:rFonts w:asciiTheme="majorHAnsi" w:eastAsia="Times New Roman" w:hAnsiTheme="majorHAnsi" w:cstheme="majorBidi"/>
          <w:b/>
          <w:bCs/>
          <w:color w:val="4F81BD" w:themeColor="accent1"/>
          <w:lang w:eastAsia="en-GB"/>
        </w:rPr>
      </w:pPr>
      <w:r>
        <w:rPr>
          <w:rFonts w:eastAsia="Times New Roman"/>
          <w:lang w:eastAsia="en-GB"/>
        </w:rPr>
        <w:br w:type="page"/>
      </w:r>
    </w:p>
    <w:p w:rsidR="00FF5A76" w:rsidRDefault="00655A4D" w:rsidP="00770E50">
      <w:pPr>
        <w:pStyle w:val="Heading2"/>
      </w:pPr>
      <w:bookmarkStart w:id="16" w:name="_Toc256345727"/>
      <w:r>
        <w:lastRenderedPageBreak/>
        <w:t>P</w:t>
      </w:r>
      <w:r w:rsidR="00A811A4">
        <w:t xml:space="preserve">revalence and </w:t>
      </w:r>
      <w:r>
        <w:t>inequalities</w:t>
      </w:r>
      <w:bookmarkEnd w:id="16"/>
    </w:p>
    <w:p w:rsidR="00433711" w:rsidRPr="00433711" w:rsidRDefault="00433711" w:rsidP="00575DB3">
      <w:pPr>
        <w:spacing w:after="0"/>
        <w:rPr>
          <w:lang w:eastAsia="en-GB"/>
        </w:rPr>
      </w:pPr>
    </w:p>
    <w:p w:rsidR="003749A1" w:rsidRPr="00A60B12" w:rsidRDefault="003749A1" w:rsidP="00575DB3">
      <w:pPr>
        <w:spacing w:after="0"/>
        <w:rPr>
          <w:rFonts w:ascii="Arial" w:hAnsi="Arial" w:cs="Arial"/>
          <w:lang w:eastAsia="en-GB"/>
        </w:rPr>
      </w:pPr>
      <w:r w:rsidRPr="00A60B12">
        <w:rPr>
          <w:rFonts w:ascii="Arial" w:hAnsi="Arial" w:cs="Arial"/>
          <w:lang w:eastAsia="en-GB"/>
        </w:rPr>
        <w:t>An analysis of COPD prevalence a</w:t>
      </w:r>
      <w:r w:rsidR="00354039">
        <w:rPr>
          <w:rFonts w:ascii="Arial" w:hAnsi="Arial" w:cs="Arial"/>
          <w:lang w:eastAsia="en-GB"/>
        </w:rPr>
        <w:t xml:space="preserve">t the practice </w:t>
      </w:r>
      <w:r w:rsidR="00867514">
        <w:rPr>
          <w:rFonts w:ascii="Arial" w:hAnsi="Arial" w:cs="Arial"/>
          <w:lang w:eastAsia="en-GB"/>
        </w:rPr>
        <w:t>level</w:t>
      </w:r>
      <w:r w:rsidR="00354039">
        <w:rPr>
          <w:rFonts w:ascii="Arial" w:hAnsi="Arial" w:cs="Arial"/>
          <w:lang w:eastAsia="en-GB"/>
        </w:rPr>
        <w:t xml:space="preserve"> compared </w:t>
      </w:r>
      <w:r w:rsidR="00DA76E9">
        <w:rPr>
          <w:rFonts w:ascii="Arial" w:hAnsi="Arial" w:cs="Arial"/>
          <w:lang w:eastAsia="en-GB"/>
        </w:rPr>
        <w:t xml:space="preserve">with </w:t>
      </w:r>
      <w:r w:rsidR="00354039">
        <w:rPr>
          <w:rFonts w:ascii="Arial" w:hAnsi="Arial" w:cs="Arial"/>
          <w:lang w:eastAsia="en-GB"/>
        </w:rPr>
        <w:t xml:space="preserve">the practice level of deprivation (measured as the local </w:t>
      </w:r>
      <w:r w:rsidRPr="00A60B12">
        <w:rPr>
          <w:rFonts w:ascii="Arial" w:hAnsi="Arial" w:cs="Arial"/>
          <w:lang w:eastAsia="en-GB"/>
        </w:rPr>
        <w:t xml:space="preserve">index of multiple </w:t>
      </w:r>
      <w:proofErr w:type="gramStart"/>
      <w:r w:rsidRPr="00A60B12">
        <w:rPr>
          <w:rFonts w:ascii="Arial" w:hAnsi="Arial" w:cs="Arial"/>
          <w:lang w:eastAsia="en-GB"/>
        </w:rPr>
        <w:t>deprivation</w:t>
      </w:r>
      <w:proofErr w:type="gramEnd"/>
      <w:r w:rsidR="00354039">
        <w:rPr>
          <w:rFonts w:ascii="Arial" w:hAnsi="Arial" w:cs="Arial"/>
          <w:lang w:eastAsia="en-GB"/>
        </w:rPr>
        <w:t>)</w:t>
      </w:r>
      <w:r w:rsidRPr="00A60B12">
        <w:rPr>
          <w:rFonts w:ascii="Arial" w:hAnsi="Arial" w:cs="Arial"/>
          <w:lang w:eastAsia="en-GB"/>
        </w:rPr>
        <w:t xml:space="preserve"> reveals a very weak association between increasing deprivation and increasing </w:t>
      </w:r>
      <w:r w:rsidR="00307AEC" w:rsidRPr="00A60B12">
        <w:rPr>
          <w:rFonts w:ascii="Arial" w:hAnsi="Arial" w:cs="Arial"/>
          <w:lang w:eastAsia="en-GB"/>
        </w:rPr>
        <w:t>prevalence</w:t>
      </w:r>
      <w:r w:rsidRPr="00A60B12">
        <w:rPr>
          <w:rFonts w:ascii="Arial" w:hAnsi="Arial" w:cs="Arial"/>
          <w:lang w:eastAsia="en-GB"/>
        </w:rPr>
        <w:t xml:space="preserve"> of the disease.</w:t>
      </w:r>
    </w:p>
    <w:p w:rsidR="00FF5A76" w:rsidRPr="00433711" w:rsidRDefault="00FF5A76" w:rsidP="00575DB3">
      <w:pPr>
        <w:spacing w:after="0"/>
        <w:rPr>
          <w:rFonts w:ascii="Arial" w:eastAsia="Times New Roman" w:hAnsi="Arial" w:cs="Arial"/>
          <w:b/>
          <w:bCs/>
          <w:lang w:eastAsia="en-GB"/>
        </w:rPr>
      </w:pPr>
    </w:p>
    <w:p w:rsidR="00124AF4" w:rsidRPr="00751528" w:rsidRDefault="00124AF4" w:rsidP="00751528">
      <w:pPr>
        <w:pStyle w:val="Caption"/>
      </w:pPr>
      <w:r w:rsidRPr="00751528">
        <w:t xml:space="preserve">Figure </w:t>
      </w:r>
      <w:fldSimple w:instr=" SEQ Figure \* ARABIC ">
        <w:r w:rsidR="00652BDF">
          <w:rPr>
            <w:noProof/>
          </w:rPr>
          <w:t>7</w:t>
        </w:r>
      </w:fldSimple>
    </w:p>
    <w:p w:rsidR="00CB1BF6" w:rsidRPr="00433711" w:rsidRDefault="00CB1BF6" w:rsidP="00575DB3">
      <w:pPr>
        <w:spacing w:after="0"/>
        <w:rPr>
          <w:rFonts w:ascii="Arial" w:eastAsia="Times New Roman" w:hAnsi="Arial" w:cs="Arial"/>
          <w:b/>
          <w:bCs/>
          <w:lang w:eastAsia="en-GB"/>
        </w:rPr>
      </w:pPr>
      <w:r w:rsidRPr="00433711">
        <w:rPr>
          <w:rFonts w:ascii="Arial" w:eastAsia="Times New Roman" w:hAnsi="Arial" w:cs="Arial"/>
          <w:b/>
          <w:bCs/>
          <w:noProof/>
          <w:lang w:eastAsia="en-GB"/>
        </w:rPr>
        <w:drawing>
          <wp:inline distT="0" distB="0" distL="0" distR="0">
            <wp:extent cx="5731510" cy="3771941"/>
            <wp:effectExtent l="0" t="0" r="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52B1" w:rsidRDefault="00365FCB" w:rsidP="00365FCB">
      <w:pPr>
        <w:spacing w:after="0"/>
        <w:jc w:val="right"/>
        <w:rPr>
          <w:rFonts w:ascii="Arial" w:eastAsia="Times New Roman" w:hAnsi="Arial" w:cs="Arial"/>
          <w:b/>
          <w:bCs/>
          <w:lang w:eastAsia="en-GB"/>
        </w:rPr>
      </w:pPr>
      <w:r w:rsidRPr="00365FCB">
        <w:rPr>
          <w:i/>
        </w:rPr>
        <w:t>Source: QOF data, NHS Information Centre, 2008-9</w:t>
      </w:r>
      <w:r>
        <w:rPr>
          <w:i/>
        </w:rPr>
        <w:t xml:space="preserve"> and London Health Observatory 2009</w:t>
      </w:r>
    </w:p>
    <w:p w:rsidR="00365FCB" w:rsidRPr="00433711" w:rsidRDefault="00365FCB" w:rsidP="00575DB3">
      <w:pPr>
        <w:spacing w:after="0"/>
        <w:rPr>
          <w:rFonts w:ascii="Arial" w:eastAsia="Times New Roman" w:hAnsi="Arial" w:cs="Arial"/>
          <w:b/>
          <w:bCs/>
          <w:lang w:eastAsia="en-GB"/>
        </w:rPr>
      </w:pPr>
    </w:p>
    <w:p w:rsidR="00704ADD" w:rsidRPr="00A60B12" w:rsidRDefault="00B813FA">
      <w:pPr>
        <w:rPr>
          <w:rFonts w:ascii="Arial" w:eastAsia="Times New Roman" w:hAnsi="Arial" w:cs="Arial"/>
          <w:lang w:eastAsia="en-GB"/>
        </w:rPr>
      </w:pPr>
      <w:r w:rsidRPr="00A60B12">
        <w:rPr>
          <w:rFonts w:ascii="Arial" w:eastAsia="Times New Roman" w:hAnsi="Arial" w:cs="Arial"/>
          <w:lang w:eastAsia="en-GB"/>
        </w:rPr>
        <w:t>At the national level</w:t>
      </w:r>
      <w:r w:rsidR="00354039" w:rsidRPr="00A60B12">
        <w:rPr>
          <w:rFonts w:ascii="Arial" w:eastAsia="Times New Roman" w:hAnsi="Arial" w:cs="Arial"/>
          <w:lang w:eastAsia="en-GB"/>
        </w:rPr>
        <w:t>, a</w:t>
      </w:r>
      <w:r w:rsidR="00491E3D" w:rsidRPr="00A60B12">
        <w:rPr>
          <w:rFonts w:ascii="Arial" w:eastAsia="Times New Roman" w:hAnsi="Arial" w:cs="Arial"/>
          <w:lang w:eastAsia="en-GB"/>
        </w:rPr>
        <w:t xml:space="preserve"> similar </w:t>
      </w:r>
      <w:r w:rsidRPr="00A60B12">
        <w:rPr>
          <w:rFonts w:ascii="Arial" w:eastAsia="Times New Roman" w:hAnsi="Arial" w:cs="Arial"/>
          <w:lang w:eastAsia="en-GB"/>
        </w:rPr>
        <w:t>positive correlation between increasing deprivation and increasing prevalence of COPD is observed, but with a stronger correlation. This is mainly due to the relationship between level of deprivation and prevalence of smoking, the main risk factor for COPD.</w:t>
      </w:r>
    </w:p>
    <w:p w:rsidR="00704ADD" w:rsidRDefault="00704ADD">
      <w:pPr>
        <w:rPr>
          <w:rFonts w:eastAsia="Times New Roman"/>
          <w:lang w:eastAsia="en-GB"/>
        </w:rPr>
      </w:pPr>
    </w:p>
    <w:p w:rsidR="00F138F6" w:rsidRPr="00704ADD" w:rsidRDefault="00F138F6">
      <w:pPr>
        <w:rPr>
          <w:rFonts w:asciiTheme="majorHAnsi" w:eastAsia="Times New Roman" w:hAnsiTheme="majorHAnsi" w:cstheme="majorBidi"/>
          <w:b/>
          <w:bCs/>
          <w:color w:val="FF0000"/>
          <w:lang w:eastAsia="en-GB"/>
        </w:rPr>
      </w:pPr>
      <w:r w:rsidRPr="00704ADD">
        <w:rPr>
          <w:rFonts w:eastAsia="Times New Roman"/>
          <w:color w:val="FF0000"/>
          <w:lang w:eastAsia="en-GB"/>
        </w:rPr>
        <w:br w:type="page"/>
      </w:r>
    </w:p>
    <w:p w:rsidR="004F2097" w:rsidRDefault="00A811A4" w:rsidP="00770E50">
      <w:pPr>
        <w:pStyle w:val="Heading3"/>
        <w:rPr>
          <w:rFonts w:eastAsia="Times New Roman"/>
          <w:lang w:eastAsia="en-GB"/>
        </w:rPr>
      </w:pPr>
      <w:bookmarkStart w:id="17" w:name="_Toc256345728"/>
      <w:r>
        <w:rPr>
          <w:rFonts w:eastAsia="Times New Roman"/>
          <w:lang w:eastAsia="en-GB"/>
        </w:rPr>
        <w:lastRenderedPageBreak/>
        <w:t>Prevalence and ethnicity</w:t>
      </w:r>
      <w:bookmarkEnd w:id="17"/>
    </w:p>
    <w:p w:rsidR="00A811A4" w:rsidRPr="00433711" w:rsidRDefault="00A811A4" w:rsidP="00575DB3">
      <w:pPr>
        <w:spacing w:after="0"/>
        <w:rPr>
          <w:rFonts w:ascii="Arial" w:eastAsia="Times New Roman" w:hAnsi="Arial" w:cs="Arial"/>
          <w:b/>
          <w:bCs/>
          <w:lang w:eastAsia="en-GB"/>
        </w:rPr>
      </w:pPr>
    </w:p>
    <w:p w:rsidR="003749A1" w:rsidRPr="00A60B12" w:rsidRDefault="003749A1" w:rsidP="00575DB3">
      <w:pPr>
        <w:spacing w:after="0"/>
        <w:rPr>
          <w:rFonts w:ascii="Arial" w:eastAsia="Times New Roman" w:hAnsi="Arial" w:cs="Arial"/>
          <w:bCs/>
          <w:lang w:eastAsia="en-GB"/>
        </w:rPr>
      </w:pPr>
      <w:r w:rsidRPr="00A60B12">
        <w:rPr>
          <w:rFonts w:ascii="Arial" w:eastAsia="Times New Roman" w:hAnsi="Arial" w:cs="Arial"/>
          <w:bCs/>
          <w:lang w:eastAsia="en-GB"/>
        </w:rPr>
        <w:t>A</w:t>
      </w:r>
      <w:r w:rsidR="00DA76E9">
        <w:rPr>
          <w:rFonts w:ascii="Arial" w:eastAsia="Times New Roman" w:hAnsi="Arial" w:cs="Arial"/>
          <w:bCs/>
          <w:lang w:eastAsia="en-GB"/>
        </w:rPr>
        <w:t xml:space="preserve"> modelled</w:t>
      </w:r>
      <w:r w:rsidRPr="00A60B12">
        <w:rPr>
          <w:rFonts w:ascii="Arial" w:eastAsia="Times New Roman" w:hAnsi="Arial" w:cs="Arial"/>
          <w:bCs/>
          <w:lang w:eastAsia="en-GB"/>
        </w:rPr>
        <w:t xml:space="preserve"> analysis of prevalence by ethnicity, calculated from Eastern Region model, reveals a variation in prevalence </w:t>
      </w:r>
      <w:r w:rsidR="00DA76E9">
        <w:rPr>
          <w:rFonts w:ascii="Arial" w:eastAsia="Times New Roman" w:hAnsi="Arial" w:cs="Arial"/>
          <w:bCs/>
          <w:lang w:eastAsia="en-GB"/>
        </w:rPr>
        <w:t>between different ethnic groups</w:t>
      </w:r>
      <w:r w:rsidRPr="00A60B12">
        <w:rPr>
          <w:rFonts w:ascii="Arial" w:eastAsia="Times New Roman" w:hAnsi="Arial" w:cs="Arial"/>
          <w:bCs/>
          <w:lang w:eastAsia="en-GB"/>
        </w:rPr>
        <w:t xml:space="preserve">. </w:t>
      </w:r>
      <w:r w:rsidR="00DA76E9">
        <w:rPr>
          <w:rFonts w:ascii="Arial" w:eastAsia="Times New Roman" w:hAnsi="Arial" w:cs="Arial"/>
          <w:bCs/>
          <w:lang w:eastAsia="en-GB"/>
        </w:rPr>
        <w:t xml:space="preserve">The </w:t>
      </w:r>
      <w:r w:rsidRPr="00A60B12">
        <w:rPr>
          <w:rFonts w:ascii="Arial" w:eastAsia="Times New Roman" w:hAnsi="Arial" w:cs="Arial"/>
          <w:bCs/>
          <w:lang w:eastAsia="en-GB"/>
        </w:rPr>
        <w:t>black population h</w:t>
      </w:r>
      <w:r w:rsidR="000340E9">
        <w:rPr>
          <w:rFonts w:ascii="Arial" w:eastAsia="Times New Roman" w:hAnsi="Arial" w:cs="Arial"/>
          <w:bCs/>
          <w:lang w:eastAsia="en-GB"/>
        </w:rPr>
        <w:t>a</w:t>
      </w:r>
      <w:r w:rsidR="00DA76E9">
        <w:rPr>
          <w:rFonts w:ascii="Arial" w:eastAsia="Times New Roman" w:hAnsi="Arial" w:cs="Arial"/>
          <w:bCs/>
          <w:lang w:eastAsia="en-GB"/>
        </w:rPr>
        <w:t>s</w:t>
      </w:r>
      <w:r w:rsidR="000340E9">
        <w:rPr>
          <w:rFonts w:ascii="Arial" w:eastAsia="Times New Roman" w:hAnsi="Arial" w:cs="Arial"/>
          <w:bCs/>
          <w:lang w:eastAsia="en-GB"/>
        </w:rPr>
        <w:t xml:space="preserve"> the highest prevalence (4.6</w:t>
      </w:r>
      <w:r w:rsidR="00DA76E9">
        <w:rPr>
          <w:rFonts w:ascii="Arial" w:eastAsia="Times New Roman" w:hAnsi="Arial" w:cs="Arial"/>
          <w:bCs/>
          <w:lang w:eastAsia="en-GB"/>
        </w:rPr>
        <w:t xml:space="preserve">%), </w:t>
      </w:r>
      <w:r w:rsidR="00DA76E9" w:rsidRPr="00A60B12">
        <w:rPr>
          <w:rFonts w:ascii="Arial" w:eastAsia="Times New Roman" w:hAnsi="Arial" w:cs="Arial"/>
          <w:bCs/>
          <w:lang w:eastAsia="en-GB"/>
        </w:rPr>
        <w:t>the</w:t>
      </w:r>
      <w:r w:rsidRPr="00A60B12">
        <w:rPr>
          <w:rFonts w:ascii="Arial" w:eastAsia="Times New Roman" w:hAnsi="Arial" w:cs="Arial"/>
          <w:bCs/>
          <w:lang w:eastAsia="en-GB"/>
        </w:rPr>
        <w:t xml:space="preserve"> </w:t>
      </w:r>
      <w:r w:rsidR="00307AEC" w:rsidRPr="00A60B12">
        <w:rPr>
          <w:rFonts w:ascii="Arial" w:eastAsia="Times New Roman" w:hAnsi="Arial" w:cs="Arial"/>
          <w:bCs/>
          <w:lang w:eastAsia="en-GB"/>
        </w:rPr>
        <w:t>white</w:t>
      </w:r>
      <w:r w:rsidRPr="00A60B12">
        <w:rPr>
          <w:rFonts w:ascii="Arial" w:eastAsia="Times New Roman" w:hAnsi="Arial" w:cs="Arial"/>
          <w:bCs/>
          <w:lang w:eastAsia="en-GB"/>
        </w:rPr>
        <w:t xml:space="preserve"> po</w:t>
      </w:r>
      <w:r w:rsidR="000340E9">
        <w:rPr>
          <w:rFonts w:ascii="Arial" w:eastAsia="Times New Roman" w:hAnsi="Arial" w:cs="Arial"/>
          <w:bCs/>
          <w:lang w:eastAsia="en-GB"/>
        </w:rPr>
        <w:t>pulation has a prevalence of (3.0</w:t>
      </w:r>
      <w:r w:rsidRPr="00A60B12">
        <w:rPr>
          <w:rFonts w:ascii="Arial" w:eastAsia="Times New Roman" w:hAnsi="Arial" w:cs="Arial"/>
          <w:bCs/>
          <w:lang w:eastAsia="en-GB"/>
        </w:rPr>
        <w:t xml:space="preserve">%), and the </w:t>
      </w:r>
      <w:r w:rsidR="00307AEC" w:rsidRPr="00A60B12">
        <w:rPr>
          <w:rFonts w:ascii="Arial" w:eastAsia="Times New Roman" w:hAnsi="Arial" w:cs="Arial"/>
          <w:bCs/>
          <w:lang w:eastAsia="en-GB"/>
        </w:rPr>
        <w:t>Asian</w:t>
      </w:r>
      <w:r w:rsidRPr="00A60B12">
        <w:rPr>
          <w:rFonts w:ascii="Arial" w:eastAsia="Times New Roman" w:hAnsi="Arial" w:cs="Arial"/>
          <w:bCs/>
          <w:lang w:eastAsia="en-GB"/>
        </w:rPr>
        <w:t xml:space="preserve"> populati</w:t>
      </w:r>
      <w:r w:rsidR="000340E9">
        <w:rPr>
          <w:rFonts w:ascii="Arial" w:eastAsia="Times New Roman" w:hAnsi="Arial" w:cs="Arial"/>
          <w:bCs/>
          <w:lang w:eastAsia="en-GB"/>
        </w:rPr>
        <w:t>on has the lowest prevalence (2.6</w:t>
      </w:r>
      <w:r w:rsidRPr="00A60B12">
        <w:rPr>
          <w:rFonts w:ascii="Arial" w:eastAsia="Times New Roman" w:hAnsi="Arial" w:cs="Arial"/>
          <w:bCs/>
          <w:lang w:eastAsia="en-GB"/>
        </w:rPr>
        <w:t>%).</w:t>
      </w:r>
    </w:p>
    <w:p w:rsidR="00F138F6" w:rsidRPr="00433711" w:rsidRDefault="00F138F6" w:rsidP="00575DB3">
      <w:pPr>
        <w:spacing w:after="0"/>
        <w:rPr>
          <w:rFonts w:ascii="Arial" w:eastAsia="Times New Roman" w:hAnsi="Arial" w:cs="Arial"/>
          <w:bCs/>
          <w:lang w:eastAsia="en-GB"/>
        </w:rPr>
      </w:pPr>
    </w:p>
    <w:p w:rsidR="00124AF4" w:rsidRPr="00751528" w:rsidRDefault="00124AF4" w:rsidP="00751528">
      <w:pPr>
        <w:pStyle w:val="Caption"/>
      </w:pPr>
      <w:r w:rsidRPr="00751528">
        <w:t xml:space="preserve">Figure </w:t>
      </w:r>
      <w:fldSimple w:instr=" SEQ Figure \* ARABIC ">
        <w:r w:rsidR="00652BDF">
          <w:rPr>
            <w:noProof/>
          </w:rPr>
          <w:t>8</w:t>
        </w:r>
      </w:fldSimple>
    </w:p>
    <w:p w:rsidR="004F2097" w:rsidRPr="00433711" w:rsidRDefault="003912F3" w:rsidP="00575DB3">
      <w:pPr>
        <w:spacing w:after="0"/>
        <w:rPr>
          <w:rFonts w:ascii="Arial" w:eastAsia="Times New Roman" w:hAnsi="Arial" w:cs="Arial"/>
          <w:b/>
          <w:bCs/>
          <w:lang w:eastAsia="en-GB"/>
        </w:rPr>
      </w:pPr>
      <w:r w:rsidRPr="003912F3">
        <w:rPr>
          <w:rFonts w:ascii="Arial" w:eastAsia="Times New Roman" w:hAnsi="Arial" w:cs="Arial"/>
          <w:b/>
          <w:bCs/>
          <w:noProof/>
          <w:lang w:eastAsia="en-GB"/>
        </w:rPr>
        <w:drawing>
          <wp:inline distT="0" distB="0" distL="0" distR="0">
            <wp:extent cx="5731510" cy="3525663"/>
            <wp:effectExtent l="19050" t="0" r="2159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3096" w:rsidRPr="00BB5D5C" w:rsidRDefault="003912F3" w:rsidP="00575DB3">
      <w:pPr>
        <w:spacing w:after="0"/>
        <w:jc w:val="right"/>
        <w:rPr>
          <w:rFonts w:ascii="Arial" w:eastAsia="Times New Roman" w:hAnsi="Arial" w:cs="Arial"/>
          <w:bCs/>
          <w:i/>
          <w:lang w:eastAsia="en-GB"/>
        </w:rPr>
      </w:pPr>
      <w:r w:rsidRPr="00BB5D5C">
        <w:rPr>
          <w:rFonts w:ascii="Arial" w:eastAsia="Times New Roman" w:hAnsi="Arial" w:cs="Arial"/>
          <w:bCs/>
          <w:i/>
          <w:lang w:eastAsia="en-GB"/>
        </w:rPr>
        <w:t>Source: London Health Observatory Health Needs Assessment Toolkit, 2009</w:t>
      </w:r>
    </w:p>
    <w:p w:rsidR="003749A1" w:rsidRPr="00433711" w:rsidRDefault="003749A1" w:rsidP="00575DB3">
      <w:pPr>
        <w:spacing w:after="0"/>
        <w:rPr>
          <w:rFonts w:ascii="Arial" w:eastAsia="Times New Roman" w:hAnsi="Arial" w:cs="Arial"/>
          <w:b/>
          <w:bCs/>
          <w:lang w:eastAsia="en-GB"/>
        </w:rPr>
      </w:pPr>
    </w:p>
    <w:p w:rsidR="00EC3096" w:rsidRPr="00433711" w:rsidRDefault="00EC3096" w:rsidP="00575DB3">
      <w:pPr>
        <w:spacing w:after="0"/>
        <w:rPr>
          <w:rFonts w:ascii="Arial" w:eastAsia="Times New Roman" w:hAnsi="Arial" w:cs="Arial"/>
          <w:b/>
          <w:bCs/>
          <w:lang w:eastAsia="en-GB"/>
        </w:rPr>
      </w:pPr>
    </w:p>
    <w:p w:rsidR="003912F3" w:rsidRPr="00A60B12" w:rsidRDefault="00704ADD" w:rsidP="00E62C87">
      <w:pPr>
        <w:rPr>
          <w:rFonts w:ascii="Arial" w:hAnsi="Arial" w:cs="Arial"/>
          <w:lang w:eastAsia="en-GB"/>
        </w:rPr>
      </w:pPr>
      <w:r w:rsidRPr="00A60B12">
        <w:rPr>
          <w:rFonts w:ascii="Arial" w:hAnsi="Arial" w:cs="Arial"/>
          <w:lang w:eastAsia="en-GB"/>
        </w:rPr>
        <w:t xml:space="preserve">The observed </w:t>
      </w:r>
      <w:r w:rsidR="00354039" w:rsidRPr="00A60B12">
        <w:rPr>
          <w:rFonts w:ascii="Arial" w:hAnsi="Arial" w:cs="Arial"/>
          <w:lang w:eastAsia="en-GB"/>
        </w:rPr>
        <w:t>variation</w:t>
      </w:r>
      <w:r w:rsidRPr="00A60B12">
        <w:rPr>
          <w:rFonts w:ascii="Arial" w:hAnsi="Arial" w:cs="Arial"/>
          <w:lang w:eastAsia="en-GB"/>
        </w:rPr>
        <w:t xml:space="preserve"> in modelled prevalence between different ethnic groups is due to different risk </w:t>
      </w:r>
      <w:r w:rsidR="000340E9" w:rsidRPr="00A60B12">
        <w:rPr>
          <w:rFonts w:ascii="Arial" w:hAnsi="Arial" w:cs="Arial"/>
          <w:lang w:eastAsia="en-GB"/>
        </w:rPr>
        <w:t>fact</w:t>
      </w:r>
      <w:r w:rsidR="000340E9">
        <w:rPr>
          <w:rFonts w:ascii="Arial" w:hAnsi="Arial" w:cs="Arial"/>
          <w:lang w:eastAsia="en-GB"/>
        </w:rPr>
        <w:t>o</w:t>
      </w:r>
      <w:r w:rsidR="000340E9" w:rsidRPr="00A60B12">
        <w:rPr>
          <w:rFonts w:ascii="Arial" w:hAnsi="Arial" w:cs="Arial"/>
          <w:lang w:eastAsia="en-GB"/>
        </w:rPr>
        <w:t>r</w:t>
      </w:r>
      <w:r w:rsidRPr="00A60B12">
        <w:rPr>
          <w:rFonts w:ascii="Arial" w:hAnsi="Arial" w:cs="Arial"/>
          <w:lang w:eastAsia="en-GB"/>
        </w:rPr>
        <w:t xml:space="preserve"> distributions between </w:t>
      </w:r>
      <w:r w:rsidR="00354039" w:rsidRPr="00A60B12">
        <w:rPr>
          <w:rFonts w:ascii="Arial" w:hAnsi="Arial" w:cs="Arial"/>
          <w:lang w:eastAsia="en-GB"/>
        </w:rPr>
        <w:t>ethnic</w:t>
      </w:r>
      <w:r w:rsidRPr="00A60B12">
        <w:rPr>
          <w:rFonts w:ascii="Arial" w:hAnsi="Arial" w:cs="Arial"/>
          <w:lang w:eastAsia="en-GB"/>
        </w:rPr>
        <w:t xml:space="preserve"> groups. The main contributing risk </w:t>
      </w:r>
      <w:r w:rsidR="00354039" w:rsidRPr="00A60B12">
        <w:rPr>
          <w:rFonts w:ascii="Arial" w:hAnsi="Arial" w:cs="Arial"/>
          <w:lang w:eastAsia="en-GB"/>
        </w:rPr>
        <w:t>factors</w:t>
      </w:r>
      <w:r w:rsidRPr="00A60B12">
        <w:rPr>
          <w:rFonts w:ascii="Arial" w:hAnsi="Arial" w:cs="Arial"/>
          <w:lang w:eastAsia="en-GB"/>
        </w:rPr>
        <w:t xml:space="preserve"> are smoking and deprivation levels, b</w:t>
      </w:r>
      <w:r w:rsidR="00354039">
        <w:rPr>
          <w:rFonts w:ascii="Arial" w:hAnsi="Arial" w:cs="Arial"/>
          <w:lang w:eastAsia="en-GB"/>
        </w:rPr>
        <w:t>oth of which are higher in the Black population than W</w:t>
      </w:r>
      <w:r w:rsidRPr="00A60B12">
        <w:rPr>
          <w:rFonts w:ascii="Arial" w:hAnsi="Arial" w:cs="Arial"/>
          <w:lang w:eastAsia="en-GB"/>
        </w:rPr>
        <w:t xml:space="preserve">hite and </w:t>
      </w:r>
      <w:r w:rsidR="00354039" w:rsidRPr="00A60B12">
        <w:rPr>
          <w:rFonts w:ascii="Arial" w:hAnsi="Arial" w:cs="Arial"/>
          <w:lang w:eastAsia="en-GB"/>
        </w:rPr>
        <w:t>Asian</w:t>
      </w:r>
      <w:r w:rsidRPr="00A60B12">
        <w:rPr>
          <w:rFonts w:ascii="Arial" w:hAnsi="Arial" w:cs="Arial"/>
          <w:lang w:eastAsia="en-GB"/>
        </w:rPr>
        <w:t xml:space="preserve"> populations. </w:t>
      </w:r>
    </w:p>
    <w:p w:rsidR="00704ADD" w:rsidRPr="00A60B12" w:rsidRDefault="00704ADD" w:rsidP="00E62C87">
      <w:pPr>
        <w:rPr>
          <w:rFonts w:ascii="Arial" w:hAnsi="Arial" w:cs="Arial"/>
          <w:lang w:eastAsia="en-GB"/>
        </w:rPr>
      </w:pPr>
      <w:r w:rsidRPr="00A60B12">
        <w:rPr>
          <w:rFonts w:ascii="Arial" w:hAnsi="Arial" w:cs="Arial"/>
          <w:lang w:eastAsia="en-GB"/>
        </w:rPr>
        <w:t xml:space="preserve">The difference between </w:t>
      </w:r>
      <w:r w:rsidR="00354039" w:rsidRPr="00A60B12">
        <w:rPr>
          <w:rFonts w:ascii="Arial" w:hAnsi="Arial" w:cs="Arial"/>
          <w:lang w:eastAsia="en-GB"/>
        </w:rPr>
        <w:t>modelled</w:t>
      </w:r>
      <w:r w:rsidRPr="00A60B12">
        <w:rPr>
          <w:rFonts w:ascii="Arial" w:hAnsi="Arial" w:cs="Arial"/>
          <w:lang w:eastAsia="en-GB"/>
        </w:rPr>
        <w:t xml:space="preserve"> </w:t>
      </w:r>
      <w:r w:rsidR="00354039">
        <w:rPr>
          <w:rFonts w:ascii="Arial" w:hAnsi="Arial" w:cs="Arial"/>
          <w:lang w:eastAsia="en-GB"/>
        </w:rPr>
        <w:t xml:space="preserve">COPD </w:t>
      </w:r>
      <w:r w:rsidR="00354039" w:rsidRPr="00A60B12">
        <w:rPr>
          <w:rFonts w:ascii="Arial" w:hAnsi="Arial" w:cs="Arial"/>
          <w:lang w:eastAsia="en-GB"/>
        </w:rPr>
        <w:t>prevalence</w:t>
      </w:r>
      <w:r w:rsidRPr="00A60B12">
        <w:rPr>
          <w:rFonts w:ascii="Arial" w:hAnsi="Arial" w:cs="Arial"/>
          <w:lang w:eastAsia="en-GB"/>
        </w:rPr>
        <w:t xml:space="preserve"> in England compared to Wandsworth is because of local differences in </w:t>
      </w:r>
      <w:r w:rsidR="00354039">
        <w:rPr>
          <w:rFonts w:ascii="Arial" w:hAnsi="Arial" w:cs="Arial"/>
          <w:lang w:eastAsia="en-GB"/>
        </w:rPr>
        <w:t xml:space="preserve">age and </w:t>
      </w:r>
      <w:r w:rsidRPr="00A60B12">
        <w:rPr>
          <w:rFonts w:ascii="Arial" w:hAnsi="Arial" w:cs="Arial"/>
          <w:lang w:eastAsia="en-GB"/>
        </w:rPr>
        <w:t>risk factor distribution</w:t>
      </w:r>
      <w:r w:rsidR="00354039">
        <w:rPr>
          <w:rFonts w:ascii="Arial" w:hAnsi="Arial" w:cs="Arial"/>
          <w:lang w:eastAsia="en-GB"/>
        </w:rPr>
        <w:t xml:space="preserve"> among </w:t>
      </w:r>
      <w:r w:rsidR="00DA76E9">
        <w:rPr>
          <w:rFonts w:ascii="Arial" w:hAnsi="Arial" w:cs="Arial"/>
          <w:lang w:eastAsia="en-GB"/>
        </w:rPr>
        <w:t xml:space="preserve">the various </w:t>
      </w:r>
      <w:r w:rsidR="00354039">
        <w:rPr>
          <w:rFonts w:ascii="Arial" w:hAnsi="Arial" w:cs="Arial"/>
          <w:lang w:eastAsia="en-GB"/>
        </w:rPr>
        <w:t>ethnic</w:t>
      </w:r>
      <w:r w:rsidRPr="00A60B12">
        <w:rPr>
          <w:rFonts w:ascii="Arial" w:hAnsi="Arial" w:cs="Arial"/>
          <w:lang w:eastAsia="en-GB"/>
        </w:rPr>
        <w:t xml:space="preserve"> </w:t>
      </w:r>
      <w:r w:rsidR="00DA76E9">
        <w:rPr>
          <w:rFonts w:ascii="Arial" w:hAnsi="Arial" w:cs="Arial"/>
          <w:lang w:eastAsia="en-GB"/>
        </w:rPr>
        <w:t xml:space="preserve">populations </w:t>
      </w:r>
      <w:r w:rsidRPr="00A60B12">
        <w:rPr>
          <w:rFonts w:ascii="Arial" w:hAnsi="Arial" w:cs="Arial"/>
          <w:lang w:eastAsia="en-GB"/>
        </w:rPr>
        <w:t>in Wandswo</w:t>
      </w:r>
      <w:r w:rsidR="00354039">
        <w:rPr>
          <w:rFonts w:ascii="Arial" w:hAnsi="Arial" w:cs="Arial"/>
          <w:lang w:eastAsia="en-GB"/>
        </w:rPr>
        <w:t>r</w:t>
      </w:r>
      <w:r w:rsidRPr="00A60B12">
        <w:rPr>
          <w:rFonts w:ascii="Arial" w:hAnsi="Arial" w:cs="Arial"/>
          <w:lang w:eastAsia="en-GB"/>
        </w:rPr>
        <w:t xml:space="preserve">th compared to </w:t>
      </w:r>
      <w:r w:rsidR="00354039" w:rsidRPr="00A60B12">
        <w:rPr>
          <w:rFonts w:ascii="Arial" w:hAnsi="Arial" w:cs="Arial"/>
          <w:lang w:eastAsia="en-GB"/>
        </w:rPr>
        <w:t>the</w:t>
      </w:r>
      <w:r w:rsidRPr="00A60B12">
        <w:rPr>
          <w:rFonts w:ascii="Arial" w:hAnsi="Arial" w:cs="Arial"/>
          <w:lang w:eastAsia="en-GB"/>
        </w:rPr>
        <w:t xml:space="preserve"> national </w:t>
      </w:r>
      <w:r w:rsidR="00354039" w:rsidRPr="00A60B12">
        <w:rPr>
          <w:rFonts w:ascii="Arial" w:hAnsi="Arial" w:cs="Arial"/>
          <w:lang w:eastAsia="en-GB"/>
        </w:rPr>
        <w:t>average</w:t>
      </w:r>
      <w:r w:rsidR="00354039">
        <w:rPr>
          <w:rFonts w:ascii="Arial" w:hAnsi="Arial" w:cs="Arial"/>
          <w:lang w:eastAsia="en-GB"/>
        </w:rPr>
        <w:t>.</w:t>
      </w:r>
    </w:p>
    <w:p w:rsidR="008376A3" w:rsidRDefault="008376A3">
      <w:pPr>
        <w:rPr>
          <w:rFonts w:ascii="Arial" w:eastAsia="Times New Roman" w:hAnsi="Arial" w:cstheme="majorBidi"/>
          <w:bCs/>
          <w:color w:val="1F497D" w:themeColor="text2"/>
          <w:sz w:val="26"/>
          <w:lang w:eastAsia="en-GB"/>
        </w:rPr>
      </w:pPr>
      <w:r>
        <w:br w:type="page"/>
      </w:r>
    </w:p>
    <w:p w:rsidR="00071B70" w:rsidRDefault="00071B70" w:rsidP="00770E50">
      <w:pPr>
        <w:pStyle w:val="Heading2"/>
      </w:pPr>
      <w:bookmarkStart w:id="18" w:name="_Toc256345729"/>
      <w:r>
        <w:lastRenderedPageBreak/>
        <w:t>Risk factors</w:t>
      </w:r>
      <w:bookmarkEnd w:id="18"/>
    </w:p>
    <w:p w:rsidR="008C217F" w:rsidRDefault="008C217F" w:rsidP="00770E50">
      <w:pPr>
        <w:pStyle w:val="Heading3"/>
      </w:pPr>
      <w:bookmarkStart w:id="19" w:name="_Toc256345730"/>
      <w:r w:rsidRPr="00F138F6">
        <w:t>Smoking</w:t>
      </w:r>
      <w:bookmarkEnd w:id="19"/>
    </w:p>
    <w:p w:rsidR="00A60B12" w:rsidRPr="00697795" w:rsidRDefault="00A60B12" w:rsidP="00491E3D">
      <w:pPr>
        <w:rPr>
          <w:rFonts w:ascii="Arial" w:hAnsi="Arial" w:cs="Arial"/>
          <w:lang w:eastAsia="en-GB"/>
        </w:rPr>
      </w:pPr>
      <w:r w:rsidRPr="00697795">
        <w:rPr>
          <w:rFonts w:ascii="Arial" w:hAnsi="Arial" w:cs="Arial"/>
          <w:lang w:eastAsia="en-GB"/>
        </w:rPr>
        <w:t xml:space="preserve">Smoking is thought to have an </w:t>
      </w:r>
      <w:proofErr w:type="gramStart"/>
      <w:r w:rsidRPr="00697795">
        <w:rPr>
          <w:rFonts w:ascii="Arial" w:hAnsi="Arial" w:cs="Arial"/>
          <w:lang w:eastAsia="en-GB"/>
        </w:rPr>
        <w:t>attributable</w:t>
      </w:r>
      <w:proofErr w:type="gramEnd"/>
      <w:r w:rsidRPr="00697795">
        <w:rPr>
          <w:rFonts w:ascii="Arial" w:hAnsi="Arial" w:cs="Arial"/>
          <w:lang w:eastAsia="en-GB"/>
        </w:rPr>
        <w:t xml:space="preserve"> fraction of between 80 and 90% for COPD</w:t>
      </w:r>
      <w:r w:rsidRPr="00697795">
        <w:rPr>
          <w:rStyle w:val="EndnoteReference"/>
          <w:rFonts w:ascii="Arial" w:hAnsi="Arial" w:cs="Arial"/>
          <w:lang w:eastAsia="en-GB"/>
        </w:rPr>
        <w:endnoteReference w:id="18"/>
      </w:r>
      <w:r w:rsidRPr="00697795">
        <w:rPr>
          <w:rFonts w:ascii="Arial" w:hAnsi="Arial" w:cs="Arial"/>
          <w:lang w:eastAsia="en-GB"/>
        </w:rPr>
        <w:t>. Understanding the pattern of smoking in Wand</w:t>
      </w:r>
      <w:r w:rsidR="00DA76E9">
        <w:rPr>
          <w:rFonts w:ascii="Arial" w:hAnsi="Arial" w:cs="Arial"/>
          <w:lang w:eastAsia="en-GB"/>
        </w:rPr>
        <w:t>sworth is therefore important to</w:t>
      </w:r>
      <w:r w:rsidRPr="00697795">
        <w:rPr>
          <w:rFonts w:ascii="Arial" w:hAnsi="Arial" w:cs="Arial"/>
          <w:lang w:eastAsia="en-GB"/>
        </w:rPr>
        <w:t xml:space="preserve"> understanding the pattern of disease.</w:t>
      </w:r>
    </w:p>
    <w:p w:rsidR="004879C1" w:rsidRPr="00697795" w:rsidRDefault="00F138F6" w:rsidP="00491E3D">
      <w:pPr>
        <w:rPr>
          <w:rFonts w:ascii="Arial" w:hAnsi="Arial" w:cs="Arial"/>
          <w:lang w:eastAsia="en-GB"/>
        </w:rPr>
      </w:pPr>
      <w:r w:rsidRPr="00697795">
        <w:rPr>
          <w:rFonts w:ascii="Arial" w:hAnsi="Arial" w:cs="Arial"/>
          <w:lang w:eastAsia="en-GB"/>
        </w:rPr>
        <w:t>Data on smoking prevalence is</w:t>
      </w:r>
      <w:r w:rsidR="004879C1" w:rsidRPr="00697795">
        <w:rPr>
          <w:rFonts w:ascii="Arial" w:hAnsi="Arial" w:cs="Arial"/>
          <w:lang w:eastAsia="en-GB"/>
        </w:rPr>
        <w:t xml:space="preserve"> available from the QOF database, or by using modelled estimates. In</w:t>
      </w:r>
      <w:r w:rsidR="00E20329" w:rsidRPr="00697795">
        <w:rPr>
          <w:rFonts w:ascii="Arial" w:hAnsi="Arial" w:cs="Arial"/>
          <w:lang w:eastAsia="en-GB"/>
        </w:rPr>
        <w:t xml:space="preserve"> comparison with other boroughs, </w:t>
      </w:r>
      <w:r w:rsidR="004879C1" w:rsidRPr="00697795">
        <w:rPr>
          <w:rFonts w:ascii="Arial" w:hAnsi="Arial" w:cs="Arial"/>
          <w:lang w:eastAsia="en-GB"/>
        </w:rPr>
        <w:t xml:space="preserve">Wandsworth sits at around the </w:t>
      </w:r>
      <w:r w:rsidR="00465E92">
        <w:rPr>
          <w:rFonts w:ascii="Arial" w:hAnsi="Arial" w:cs="Arial"/>
          <w:lang w:eastAsia="en-GB"/>
        </w:rPr>
        <w:t>London regional average figure when using modelled estimates</w:t>
      </w:r>
      <w:r w:rsidR="00DA76E9">
        <w:rPr>
          <w:rFonts w:ascii="Arial" w:hAnsi="Arial" w:cs="Arial"/>
          <w:lang w:eastAsia="en-GB"/>
        </w:rPr>
        <w:t xml:space="preserve"> (Figure 9)</w:t>
      </w:r>
      <w:r w:rsidR="00465E92">
        <w:rPr>
          <w:rFonts w:ascii="Arial" w:hAnsi="Arial" w:cs="Arial"/>
          <w:lang w:eastAsia="en-GB"/>
        </w:rPr>
        <w:t>.</w:t>
      </w:r>
    </w:p>
    <w:p w:rsidR="000340E9" w:rsidRDefault="000340E9" w:rsidP="000340E9">
      <w:pPr>
        <w:pStyle w:val="Caption"/>
      </w:pPr>
      <w:r>
        <w:t xml:space="preserve">Figure </w:t>
      </w:r>
      <w:fldSimple w:instr=" SEQ Figure \* ARABIC ">
        <w:r w:rsidR="00652BDF">
          <w:rPr>
            <w:noProof/>
          </w:rPr>
          <w:t>9</w:t>
        </w:r>
      </w:fldSimple>
    </w:p>
    <w:p w:rsidR="000340E9" w:rsidRDefault="00F138F6" w:rsidP="000340E9">
      <w:pPr>
        <w:keepNext/>
      </w:pPr>
      <w:r w:rsidRPr="00433711">
        <w:rPr>
          <w:rFonts w:ascii="Arial" w:eastAsia="Times New Roman" w:hAnsi="Arial" w:cs="Arial"/>
          <w:b/>
          <w:bCs/>
          <w:noProof/>
          <w:lang w:eastAsia="en-GB"/>
        </w:rPr>
        <w:drawing>
          <wp:inline distT="0" distB="0" distL="0" distR="0">
            <wp:extent cx="5732868" cy="3770489"/>
            <wp:effectExtent l="19050" t="0" r="1182"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729605" cy="3768343"/>
                    </a:xfrm>
                    <a:prstGeom prst="rect">
                      <a:avLst/>
                    </a:prstGeom>
                    <a:noFill/>
                    <a:ln w="9525">
                      <a:noFill/>
                      <a:miter lim="800000"/>
                      <a:headEnd/>
                      <a:tailEnd/>
                    </a:ln>
                  </pic:spPr>
                </pic:pic>
              </a:graphicData>
            </a:graphic>
          </wp:inline>
        </w:drawing>
      </w:r>
    </w:p>
    <w:p w:rsidR="00E20329" w:rsidRPr="00BB5D5C" w:rsidRDefault="00E20329" w:rsidP="00E20329">
      <w:pPr>
        <w:jc w:val="right"/>
        <w:rPr>
          <w:i/>
          <w:lang w:eastAsia="en-GB"/>
        </w:rPr>
      </w:pPr>
      <w:r w:rsidRPr="00BB5D5C">
        <w:rPr>
          <w:i/>
          <w:lang w:eastAsia="en-GB"/>
        </w:rPr>
        <w:t>Sou</w:t>
      </w:r>
      <w:r w:rsidR="00465E92" w:rsidRPr="00BB5D5C">
        <w:rPr>
          <w:i/>
          <w:lang w:eastAsia="en-GB"/>
        </w:rPr>
        <w:t>rce: London Health Observatory</w:t>
      </w:r>
    </w:p>
    <w:p w:rsidR="00337D57" w:rsidRPr="00510BFE" w:rsidRDefault="004879C1" w:rsidP="00575DB3">
      <w:pPr>
        <w:rPr>
          <w:rFonts w:ascii="Arial" w:hAnsi="Arial" w:cs="Arial"/>
          <w:lang w:eastAsia="en-GB"/>
        </w:rPr>
      </w:pPr>
      <w:r w:rsidRPr="00510BFE">
        <w:rPr>
          <w:rFonts w:ascii="Arial" w:hAnsi="Arial" w:cs="Arial"/>
          <w:lang w:eastAsia="en-GB"/>
        </w:rPr>
        <w:t xml:space="preserve">Looking at </w:t>
      </w:r>
      <w:r w:rsidR="00465E92" w:rsidRPr="00510BFE">
        <w:rPr>
          <w:rFonts w:ascii="Arial" w:hAnsi="Arial" w:cs="Arial"/>
          <w:lang w:eastAsia="en-GB"/>
        </w:rPr>
        <w:t xml:space="preserve">QOF </w:t>
      </w:r>
      <w:r w:rsidRPr="00510BFE">
        <w:rPr>
          <w:rFonts w:ascii="Arial" w:hAnsi="Arial" w:cs="Arial"/>
          <w:lang w:eastAsia="en-GB"/>
        </w:rPr>
        <w:t xml:space="preserve">data at the </w:t>
      </w:r>
      <w:r w:rsidR="00307AEC" w:rsidRPr="00510BFE">
        <w:rPr>
          <w:rFonts w:ascii="Arial" w:hAnsi="Arial" w:cs="Arial"/>
          <w:lang w:eastAsia="en-GB"/>
        </w:rPr>
        <w:t>practice</w:t>
      </w:r>
      <w:r w:rsidRPr="00510BFE">
        <w:rPr>
          <w:rFonts w:ascii="Arial" w:hAnsi="Arial" w:cs="Arial"/>
          <w:lang w:eastAsia="en-GB"/>
        </w:rPr>
        <w:t xml:space="preserve"> level, it is noticeable that there is </w:t>
      </w:r>
      <w:r w:rsidR="00307AEC" w:rsidRPr="00510BFE">
        <w:rPr>
          <w:rFonts w:ascii="Arial" w:hAnsi="Arial" w:cs="Arial"/>
          <w:lang w:eastAsia="en-GB"/>
        </w:rPr>
        <w:t>variation</w:t>
      </w:r>
      <w:r w:rsidRPr="00510BFE">
        <w:rPr>
          <w:rFonts w:ascii="Arial" w:hAnsi="Arial" w:cs="Arial"/>
          <w:lang w:eastAsia="en-GB"/>
        </w:rPr>
        <w:t xml:space="preserve"> in recorded </w:t>
      </w:r>
      <w:r w:rsidR="00307AEC" w:rsidRPr="00510BFE">
        <w:rPr>
          <w:rFonts w:ascii="Arial" w:hAnsi="Arial" w:cs="Arial"/>
          <w:lang w:eastAsia="en-GB"/>
        </w:rPr>
        <w:t>smoking</w:t>
      </w:r>
      <w:r w:rsidRPr="00510BFE">
        <w:rPr>
          <w:rFonts w:ascii="Arial" w:hAnsi="Arial" w:cs="Arial"/>
          <w:lang w:eastAsia="en-GB"/>
        </w:rPr>
        <w:t xml:space="preserve"> prevalence from less that 10% to </w:t>
      </w:r>
      <w:r w:rsidR="00307AEC" w:rsidRPr="00510BFE">
        <w:rPr>
          <w:rFonts w:ascii="Arial" w:hAnsi="Arial" w:cs="Arial"/>
          <w:lang w:eastAsia="en-GB"/>
        </w:rPr>
        <w:t>greater</w:t>
      </w:r>
      <w:r w:rsidRPr="00510BFE">
        <w:rPr>
          <w:rFonts w:ascii="Arial" w:hAnsi="Arial" w:cs="Arial"/>
          <w:lang w:eastAsia="en-GB"/>
        </w:rPr>
        <w:t xml:space="preserve"> </w:t>
      </w:r>
      <w:r w:rsidR="00307AEC" w:rsidRPr="00510BFE">
        <w:rPr>
          <w:rFonts w:ascii="Arial" w:hAnsi="Arial" w:cs="Arial"/>
          <w:lang w:eastAsia="en-GB"/>
        </w:rPr>
        <w:t>than</w:t>
      </w:r>
      <w:r w:rsidRPr="00510BFE">
        <w:rPr>
          <w:rFonts w:ascii="Arial" w:hAnsi="Arial" w:cs="Arial"/>
          <w:lang w:eastAsia="en-GB"/>
        </w:rPr>
        <w:t xml:space="preserve"> 20%. </w:t>
      </w:r>
      <w:r w:rsidR="00307AEC" w:rsidRPr="00510BFE">
        <w:rPr>
          <w:rFonts w:ascii="Arial" w:hAnsi="Arial" w:cs="Arial"/>
          <w:lang w:eastAsia="en-GB"/>
        </w:rPr>
        <w:t>A comparison between smoking prevalence and social deprivation</w:t>
      </w:r>
      <w:r w:rsidR="000A1DEF" w:rsidRPr="00510BFE">
        <w:rPr>
          <w:rFonts w:ascii="Arial" w:hAnsi="Arial" w:cs="Arial"/>
          <w:lang w:eastAsia="en-GB"/>
        </w:rPr>
        <w:t xml:space="preserve"> (Figure </w:t>
      </w:r>
      <w:r w:rsidR="000340E9">
        <w:rPr>
          <w:rFonts w:ascii="Arial" w:hAnsi="Arial" w:cs="Arial"/>
          <w:lang w:eastAsia="en-GB"/>
        </w:rPr>
        <w:t>11</w:t>
      </w:r>
      <w:r w:rsidR="000A1DEF" w:rsidRPr="00510BFE">
        <w:rPr>
          <w:rFonts w:ascii="Arial" w:hAnsi="Arial" w:cs="Arial"/>
          <w:lang w:eastAsia="en-GB"/>
        </w:rPr>
        <w:t>)</w:t>
      </w:r>
      <w:r w:rsidR="00307AEC" w:rsidRPr="00510BFE">
        <w:rPr>
          <w:rFonts w:ascii="Arial" w:hAnsi="Arial" w:cs="Arial"/>
          <w:lang w:eastAsia="en-GB"/>
        </w:rPr>
        <w:t xml:space="preserve"> reveals a weak positive correlation between increasing deprivation and increasing smoking prevalence.</w:t>
      </w:r>
      <w:r w:rsidR="0026691B" w:rsidRPr="00510BFE">
        <w:rPr>
          <w:rFonts w:ascii="Arial" w:hAnsi="Arial" w:cs="Arial"/>
          <w:lang w:eastAsia="en-GB"/>
        </w:rPr>
        <w:t xml:space="preserve"> </w:t>
      </w:r>
      <w:r w:rsidR="000A1DEF" w:rsidRPr="00510BFE">
        <w:rPr>
          <w:rFonts w:ascii="Arial" w:hAnsi="Arial" w:cs="Arial"/>
          <w:lang w:eastAsia="en-GB"/>
        </w:rPr>
        <w:t xml:space="preserve">This is in line with existing and historical literature which notes higher levels of smoking at lower levels of socio-economic status. </w:t>
      </w:r>
      <w:r w:rsidR="0026691B" w:rsidRPr="00510BFE">
        <w:rPr>
          <w:rFonts w:ascii="Arial" w:hAnsi="Arial" w:cs="Arial"/>
          <w:lang w:eastAsia="en-GB"/>
        </w:rPr>
        <w:t xml:space="preserve">On a national level, </w:t>
      </w:r>
      <w:r w:rsidR="004471D6" w:rsidRPr="00510BFE">
        <w:rPr>
          <w:rFonts w:ascii="Arial" w:hAnsi="Arial" w:cs="Arial"/>
          <w:lang w:eastAsia="en-GB"/>
        </w:rPr>
        <w:t>this positive</w:t>
      </w:r>
      <w:r w:rsidR="0026691B" w:rsidRPr="00510BFE">
        <w:rPr>
          <w:rFonts w:ascii="Arial" w:hAnsi="Arial" w:cs="Arial"/>
          <w:lang w:eastAsia="en-GB"/>
        </w:rPr>
        <w:t xml:space="preserve"> correlation is observed more strongly.</w:t>
      </w:r>
    </w:p>
    <w:p w:rsidR="000A1DEF" w:rsidRPr="00510BFE" w:rsidRDefault="000A1DEF" w:rsidP="00575DB3">
      <w:pPr>
        <w:rPr>
          <w:rFonts w:ascii="Arial" w:hAnsi="Arial" w:cs="Arial"/>
          <w:lang w:eastAsia="en-GB"/>
        </w:rPr>
      </w:pPr>
      <w:r w:rsidRPr="00510BFE">
        <w:rPr>
          <w:rFonts w:ascii="Arial" w:hAnsi="Arial" w:cs="Arial"/>
          <w:lang w:eastAsia="en-GB"/>
        </w:rPr>
        <w:t>These data for prevalence and deprivation are al</w:t>
      </w:r>
      <w:r w:rsidR="000340E9">
        <w:rPr>
          <w:rFonts w:ascii="Arial" w:hAnsi="Arial" w:cs="Arial"/>
          <w:lang w:eastAsia="en-GB"/>
        </w:rPr>
        <w:t>so plotted on maps in Figures 13 and 14</w:t>
      </w:r>
      <w:r w:rsidRPr="00510BFE">
        <w:rPr>
          <w:rFonts w:ascii="Arial" w:hAnsi="Arial" w:cs="Arial"/>
          <w:lang w:eastAsia="en-GB"/>
        </w:rPr>
        <w:t>.</w:t>
      </w:r>
    </w:p>
    <w:p w:rsidR="00820579" w:rsidRDefault="00820579" w:rsidP="00820579">
      <w:pPr>
        <w:pStyle w:val="Caption"/>
      </w:pPr>
      <w:r>
        <w:lastRenderedPageBreak/>
        <w:t xml:space="preserve">Figure </w:t>
      </w:r>
      <w:fldSimple w:instr=" SEQ Figure \* ARABIC ">
        <w:r w:rsidR="00652BDF">
          <w:rPr>
            <w:noProof/>
          </w:rPr>
          <w:t>10</w:t>
        </w:r>
      </w:fldSimple>
    </w:p>
    <w:p w:rsidR="00F138F6" w:rsidRDefault="00F138F6" w:rsidP="00575DB3">
      <w:pPr>
        <w:rPr>
          <w:lang w:eastAsia="en-GB"/>
        </w:rPr>
      </w:pPr>
      <w:r w:rsidRPr="00F138F6">
        <w:rPr>
          <w:noProof/>
          <w:lang w:eastAsia="en-GB"/>
        </w:rPr>
        <w:drawing>
          <wp:inline distT="0" distB="0" distL="0" distR="0">
            <wp:extent cx="6271260" cy="2905125"/>
            <wp:effectExtent l="19050" t="0" r="15240" b="0"/>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20579" w:rsidRPr="00510BFE" w:rsidRDefault="00820579" w:rsidP="00697795">
      <w:pPr>
        <w:jc w:val="right"/>
        <w:rPr>
          <w:rFonts w:ascii="Arial" w:hAnsi="Arial" w:cs="Arial"/>
          <w:i/>
          <w:lang w:eastAsia="en-GB"/>
        </w:rPr>
      </w:pPr>
      <w:r w:rsidRPr="00510BFE">
        <w:rPr>
          <w:rFonts w:ascii="Arial" w:hAnsi="Arial" w:cs="Arial"/>
          <w:i/>
          <w:lang w:eastAsia="en-GB"/>
        </w:rPr>
        <w:t>Source: QOF, 2008-9</w:t>
      </w:r>
    </w:p>
    <w:p w:rsidR="00820579" w:rsidRPr="00510BFE" w:rsidRDefault="00820579" w:rsidP="00575DB3">
      <w:pPr>
        <w:rPr>
          <w:rFonts w:ascii="Arial" w:hAnsi="Arial" w:cs="Arial"/>
          <w:lang w:eastAsia="en-GB"/>
        </w:rPr>
      </w:pPr>
      <w:r w:rsidRPr="00510BFE">
        <w:rPr>
          <w:rFonts w:ascii="Arial" w:hAnsi="Arial" w:cs="Arial"/>
          <w:lang w:eastAsia="en-GB"/>
        </w:rPr>
        <w:t>The following char</w:t>
      </w:r>
      <w:r w:rsidR="000A1DEF" w:rsidRPr="00510BFE">
        <w:rPr>
          <w:rFonts w:ascii="Arial" w:hAnsi="Arial" w:cs="Arial"/>
          <w:lang w:eastAsia="en-GB"/>
        </w:rPr>
        <w:t>t</w:t>
      </w:r>
      <w:r w:rsidRPr="00510BFE">
        <w:rPr>
          <w:rFonts w:ascii="Arial" w:hAnsi="Arial" w:cs="Arial"/>
          <w:lang w:eastAsia="en-GB"/>
        </w:rPr>
        <w:t xml:space="preserve"> also shows that smoking cessation advice rates in Wandsworth are just below the national average, with 91.9% of </w:t>
      </w:r>
      <w:r w:rsidR="000A1DEF" w:rsidRPr="00510BFE">
        <w:rPr>
          <w:rFonts w:ascii="Arial" w:hAnsi="Arial" w:cs="Arial"/>
          <w:lang w:eastAsia="en-GB"/>
        </w:rPr>
        <w:t>patients</w:t>
      </w:r>
      <w:r w:rsidRPr="00510BFE">
        <w:rPr>
          <w:rFonts w:ascii="Arial" w:hAnsi="Arial" w:cs="Arial"/>
          <w:lang w:eastAsia="en-GB"/>
        </w:rPr>
        <w:t xml:space="preserve"> with disease worsened by smoking having been </w:t>
      </w:r>
      <w:r w:rsidR="000A1DEF" w:rsidRPr="00510BFE">
        <w:rPr>
          <w:rFonts w:ascii="Arial" w:hAnsi="Arial" w:cs="Arial"/>
          <w:lang w:eastAsia="en-GB"/>
        </w:rPr>
        <w:t>offered</w:t>
      </w:r>
      <w:r w:rsidRPr="00510BFE">
        <w:rPr>
          <w:rFonts w:ascii="Arial" w:hAnsi="Arial" w:cs="Arial"/>
          <w:lang w:eastAsia="en-GB"/>
        </w:rPr>
        <w:t xml:space="preserve"> smoking cessation advice, compared to a figure of 92.9% nationally.</w:t>
      </w:r>
    </w:p>
    <w:p w:rsidR="00820579" w:rsidRDefault="00820579" w:rsidP="00820579">
      <w:pPr>
        <w:pStyle w:val="Caption"/>
      </w:pPr>
      <w:r>
        <w:t xml:space="preserve">Figure </w:t>
      </w:r>
      <w:fldSimple w:instr=" SEQ Figure \* ARABIC ">
        <w:r w:rsidR="00652BDF">
          <w:rPr>
            <w:noProof/>
          </w:rPr>
          <w:t>11</w:t>
        </w:r>
      </w:fldSimple>
    </w:p>
    <w:p w:rsidR="00A60B12" w:rsidRDefault="00820579" w:rsidP="00575DB3">
      <w:pPr>
        <w:rPr>
          <w:lang w:eastAsia="en-GB"/>
        </w:rPr>
      </w:pPr>
      <w:r w:rsidRPr="00820579">
        <w:rPr>
          <w:noProof/>
          <w:lang w:eastAsia="en-GB"/>
        </w:rPr>
        <w:drawing>
          <wp:inline distT="0" distB="0" distL="0" distR="0">
            <wp:extent cx="5731510" cy="3429000"/>
            <wp:effectExtent l="19050" t="0" r="21590" b="0"/>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0B12" w:rsidRDefault="00820579" w:rsidP="00820579">
      <w:pPr>
        <w:jc w:val="right"/>
        <w:rPr>
          <w:lang w:eastAsia="en-GB"/>
        </w:rPr>
      </w:pPr>
      <w:r>
        <w:rPr>
          <w:lang w:eastAsia="en-GB"/>
        </w:rPr>
        <w:t>Source: NCHOD, 2008-9</w:t>
      </w:r>
    </w:p>
    <w:p w:rsidR="000A1DEF" w:rsidRDefault="000A1DEF" w:rsidP="00A60B12"/>
    <w:p w:rsidR="000A1DEF" w:rsidRDefault="000A1DEF" w:rsidP="000A1DEF">
      <w:pPr>
        <w:pStyle w:val="Caption"/>
        <w:jc w:val="both"/>
      </w:pPr>
      <w:r>
        <w:lastRenderedPageBreak/>
        <w:t xml:space="preserve">Figure </w:t>
      </w:r>
      <w:r w:rsidR="00924AF3">
        <w:fldChar w:fldCharType="begin"/>
      </w:r>
      <w:r w:rsidR="009F0F13">
        <w:instrText xml:space="preserve"> SEQ Figure \* ARABIC </w:instrText>
      </w:r>
      <w:r w:rsidR="00924AF3">
        <w:fldChar w:fldCharType="separate"/>
      </w:r>
      <w:proofErr w:type="gramStart"/>
      <w:r w:rsidR="00652BDF">
        <w:rPr>
          <w:noProof/>
        </w:rPr>
        <w:t>12</w:t>
      </w:r>
      <w:r w:rsidR="00924AF3">
        <w:fldChar w:fldCharType="end"/>
      </w:r>
      <w:r w:rsidRPr="000A1DEF">
        <w:rPr>
          <w:lang w:eastAsia="en-GB"/>
        </w:rPr>
        <w:t xml:space="preserve"> </w:t>
      </w:r>
      <w:r>
        <w:rPr>
          <w:lang w:eastAsia="en-GB"/>
        </w:rPr>
        <w:t>Smoking Prevalence in Wandsworth</w:t>
      </w:r>
      <w:proofErr w:type="gramEnd"/>
    </w:p>
    <w:p w:rsidR="00DA5F39" w:rsidRDefault="00DA5F39" w:rsidP="00DA5F39">
      <w:pPr>
        <w:jc w:val="both"/>
        <w:rPr>
          <w:lang w:eastAsia="en-GB"/>
        </w:rPr>
      </w:pPr>
      <w:r>
        <w:rPr>
          <w:noProof/>
          <w:lang w:eastAsia="en-GB"/>
        </w:rPr>
        <w:drawing>
          <wp:inline distT="0" distB="0" distL="0" distR="0">
            <wp:extent cx="4378779" cy="3740895"/>
            <wp:effectExtent l="19050" t="0" r="2721"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376451" cy="3738906"/>
                    </a:xfrm>
                    <a:prstGeom prst="rect">
                      <a:avLst/>
                    </a:prstGeom>
                    <a:noFill/>
                    <a:ln w="9525">
                      <a:noFill/>
                      <a:miter lim="800000"/>
                      <a:headEnd/>
                      <a:tailEnd/>
                    </a:ln>
                  </pic:spPr>
                </pic:pic>
              </a:graphicData>
            </a:graphic>
          </wp:inline>
        </w:drawing>
      </w:r>
    </w:p>
    <w:p w:rsidR="00365FCB" w:rsidRPr="008A0365" w:rsidRDefault="00365FCB" w:rsidP="00365FCB">
      <w:pPr>
        <w:jc w:val="right"/>
        <w:rPr>
          <w:i/>
          <w:lang w:eastAsia="en-GB"/>
        </w:rPr>
      </w:pPr>
      <w:r w:rsidRPr="008A0365">
        <w:rPr>
          <w:i/>
          <w:lang w:eastAsia="en-GB"/>
        </w:rPr>
        <w:t>Source: London Health Observatory 2008</w:t>
      </w:r>
    </w:p>
    <w:p w:rsidR="000A1DEF" w:rsidRDefault="000A1DEF" w:rsidP="000A1DEF">
      <w:pPr>
        <w:pStyle w:val="Caption"/>
      </w:pPr>
      <w:r>
        <w:t xml:space="preserve">Figure </w:t>
      </w:r>
      <w:r w:rsidR="00924AF3">
        <w:fldChar w:fldCharType="begin"/>
      </w:r>
      <w:r w:rsidR="009F0F13">
        <w:instrText xml:space="preserve"> SEQ Figure \* ARABIC </w:instrText>
      </w:r>
      <w:r w:rsidR="00924AF3">
        <w:fldChar w:fldCharType="separate"/>
      </w:r>
      <w:proofErr w:type="gramStart"/>
      <w:r w:rsidR="00652BDF">
        <w:rPr>
          <w:noProof/>
        </w:rPr>
        <w:t>13</w:t>
      </w:r>
      <w:r w:rsidR="00924AF3">
        <w:fldChar w:fldCharType="end"/>
      </w:r>
      <w:r w:rsidRPr="000A1DEF">
        <w:rPr>
          <w:lang w:eastAsia="en-GB"/>
        </w:rPr>
        <w:t xml:space="preserve"> </w:t>
      </w:r>
      <w:r>
        <w:rPr>
          <w:lang w:eastAsia="en-GB"/>
        </w:rPr>
        <w:t>Deprivation</w:t>
      </w:r>
      <w:proofErr w:type="gramEnd"/>
      <w:r>
        <w:rPr>
          <w:lang w:eastAsia="en-GB"/>
        </w:rPr>
        <w:t xml:space="preserve"> in Wandsworth</w:t>
      </w:r>
    </w:p>
    <w:p w:rsidR="00DB5373" w:rsidRDefault="00DA3F89" w:rsidP="00575DB3">
      <w:pPr>
        <w:rPr>
          <w:lang w:eastAsia="en-GB"/>
        </w:rPr>
      </w:pPr>
      <w:r>
        <w:rPr>
          <w:noProof/>
          <w:lang w:eastAsia="en-GB"/>
        </w:rPr>
        <w:drawing>
          <wp:inline distT="0" distB="0" distL="0" distR="0">
            <wp:extent cx="4640036" cy="3321074"/>
            <wp:effectExtent l="19050" t="0" r="816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640655" cy="3321517"/>
                    </a:xfrm>
                    <a:prstGeom prst="rect">
                      <a:avLst/>
                    </a:prstGeom>
                    <a:noFill/>
                    <a:ln w="9525">
                      <a:noFill/>
                      <a:miter lim="800000"/>
                      <a:headEnd/>
                      <a:tailEnd/>
                    </a:ln>
                  </pic:spPr>
                </pic:pic>
              </a:graphicData>
            </a:graphic>
          </wp:inline>
        </w:drawing>
      </w:r>
    </w:p>
    <w:p w:rsidR="00365FCB" w:rsidRPr="008A0365" w:rsidRDefault="00365FCB" w:rsidP="00365FCB">
      <w:pPr>
        <w:jc w:val="right"/>
        <w:rPr>
          <w:i/>
          <w:lang w:eastAsia="en-GB"/>
        </w:rPr>
      </w:pPr>
      <w:r w:rsidRPr="008A0365">
        <w:rPr>
          <w:i/>
          <w:lang w:eastAsia="en-GB"/>
        </w:rPr>
        <w:t>Source: London Health Observatory 2008</w:t>
      </w:r>
    </w:p>
    <w:p w:rsidR="00501D0F" w:rsidRDefault="00501D0F" w:rsidP="00770E50">
      <w:pPr>
        <w:pStyle w:val="Heading2"/>
      </w:pPr>
      <w:bookmarkStart w:id="20" w:name="_Toc256345731"/>
      <w:r>
        <w:lastRenderedPageBreak/>
        <w:t>Mortality</w:t>
      </w:r>
      <w:bookmarkEnd w:id="20"/>
    </w:p>
    <w:p w:rsidR="00501D0F" w:rsidRPr="00510BFE" w:rsidRDefault="00501D0F" w:rsidP="00501D0F">
      <w:pPr>
        <w:spacing w:after="0"/>
        <w:rPr>
          <w:rFonts w:ascii="Arial" w:hAnsi="Arial" w:cs="Arial"/>
        </w:rPr>
      </w:pPr>
      <w:r w:rsidRPr="00510BFE">
        <w:rPr>
          <w:rFonts w:ascii="Arial" w:hAnsi="Arial" w:cs="Arial"/>
        </w:rPr>
        <w:t xml:space="preserve">Data from the National </w:t>
      </w:r>
      <w:r w:rsidR="00A60B12" w:rsidRPr="00510BFE">
        <w:rPr>
          <w:rFonts w:ascii="Arial" w:hAnsi="Arial" w:cs="Arial"/>
        </w:rPr>
        <w:t>Centre</w:t>
      </w:r>
      <w:r w:rsidRPr="00510BFE">
        <w:rPr>
          <w:rFonts w:ascii="Arial" w:hAnsi="Arial" w:cs="Arial"/>
        </w:rPr>
        <w:t xml:space="preserve"> for Health Outcomes, calculated from death certificates, allows comparison of mortality rates between Wandsworth, the national, regional averages, and the average figure in demographically similar PCTs.</w:t>
      </w:r>
      <w:r w:rsidR="00D93C19">
        <w:rPr>
          <w:rFonts w:ascii="Arial" w:hAnsi="Arial" w:cs="Arial"/>
        </w:rPr>
        <w:t xml:space="preserve"> </w:t>
      </w:r>
    </w:p>
    <w:p w:rsidR="00501D0F" w:rsidRPr="00510BFE" w:rsidRDefault="00501D0F" w:rsidP="00501D0F">
      <w:pPr>
        <w:spacing w:after="0"/>
        <w:rPr>
          <w:rFonts w:ascii="Arial" w:hAnsi="Arial" w:cs="Arial"/>
        </w:rPr>
      </w:pPr>
    </w:p>
    <w:p w:rsidR="00501D0F" w:rsidRPr="00510BFE" w:rsidRDefault="00501D0F" w:rsidP="00501D0F">
      <w:pPr>
        <w:spacing w:after="0"/>
        <w:rPr>
          <w:rFonts w:ascii="Arial" w:hAnsi="Arial" w:cs="Arial"/>
        </w:rPr>
      </w:pPr>
      <w:r w:rsidRPr="00510BFE">
        <w:rPr>
          <w:rFonts w:ascii="Arial" w:hAnsi="Arial" w:cs="Arial"/>
        </w:rPr>
        <w:t xml:space="preserve">In </w:t>
      </w:r>
      <w:r w:rsidR="000340E9">
        <w:rPr>
          <w:rFonts w:ascii="Arial" w:hAnsi="Arial" w:cs="Arial"/>
        </w:rPr>
        <w:t>Figure 1</w:t>
      </w:r>
      <w:r w:rsidR="00D93C19">
        <w:rPr>
          <w:rFonts w:ascii="Arial" w:hAnsi="Arial" w:cs="Arial"/>
        </w:rPr>
        <w:t>4</w:t>
      </w:r>
      <w:r w:rsidRPr="00510BFE">
        <w:rPr>
          <w:rFonts w:ascii="Arial" w:hAnsi="Arial" w:cs="Arial"/>
        </w:rPr>
        <w:t xml:space="preserve"> we see that overall, mortality rates in Wandsworth are lower than the London and England averages, and similar to the cluster average.</w:t>
      </w:r>
      <w:r w:rsidR="00D93C19" w:rsidRPr="00D93C19">
        <w:rPr>
          <w:rFonts w:ascii="Arial" w:hAnsi="Arial" w:cs="Arial"/>
        </w:rPr>
        <w:t xml:space="preserve"> </w:t>
      </w:r>
      <w:r w:rsidR="00D93C19">
        <w:rPr>
          <w:rFonts w:ascii="Arial" w:hAnsi="Arial" w:cs="Arial"/>
        </w:rPr>
        <w:t>However, mortality in the older age groups is higher than the average in Wandsworth.</w:t>
      </w:r>
    </w:p>
    <w:p w:rsidR="00501D0F" w:rsidRPr="00751528" w:rsidRDefault="00501D0F" w:rsidP="00751528">
      <w:pPr>
        <w:pStyle w:val="Caption"/>
      </w:pPr>
    </w:p>
    <w:p w:rsidR="00501D0F" w:rsidRPr="00751528" w:rsidRDefault="00501D0F" w:rsidP="00751528">
      <w:pPr>
        <w:pStyle w:val="Caption"/>
      </w:pPr>
      <w:r w:rsidRPr="00751528">
        <w:t xml:space="preserve">Figure </w:t>
      </w:r>
      <w:fldSimple w:instr=" SEQ Figure \* ARABIC ">
        <w:r w:rsidR="00652BDF">
          <w:rPr>
            <w:noProof/>
          </w:rPr>
          <w:t>14</w:t>
        </w:r>
      </w:fldSimple>
    </w:p>
    <w:p w:rsidR="00501D0F" w:rsidRPr="00433711" w:rsidRDefault="00501D0F" w:rsidP="00501D0F">
      <w:pPr>
        <w:spacing w:after="0"/>
        <w:ind w:left="-1134"/>
        <w:rPr>
          <w:rFonts w:ascii="Arial" w:eastAsia="Times New Roman" w:hAnsi="Arial" w:cs="Arial"/>
          <w:b/>
          <w:bCs/>
          <w:lang w:eastAsia="en-GB"/>
        </w:rPr>
      </w:pPr>
      <w:r w:rsidRPr="00433711">
        <w:rPr>
          <w:rFonts w:ascii="Arial" w:eastAsia="Times New Roman" w:hAnsi="Arial" w:cs="Arial"/>
          <w:b/>
          <w:bCs/>
          <w:noProof/>
          <w:lang w:eastAsia="en-GB"/>
        </w:rPr>
        <w:drawing>
          <wp:inline distT="0" distB="0" distL="0" distR="0">
            <wp:extent cx="7272000" cy="4461468"/>
            <wp:effectExtent l="19050" t="0" r="2415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01D0F" w:rsidRPr="00F1325F" w:rsidRDefault="00501D0F" w:rsidP="00501D0F">
      <w:pPr>
        <w:spacing w:after="0"/>
        <w:jc w:val="right"/>
        <w:rPr>
          <w:rFonts w:ascii="Arial" w:eastAsia="Times New Roman" w:hAnsi="Arial" w:cs="Arial"/>
          <w:bCs/>
          <w:i/>
          <w:lang w:eastAsia="en-GB"/>
        </w:rPr>
      </w:pPr>
      <w:r w:rsidRPr="00F1325F">
        <w:rPr>
          <w:rFonts w:ascii="Arial" w:eastAsia="Times New Roman" w:hAnsi="Arial" w:cs="Arial"/>
          <w:bCs/>
          <w:i/>
          <w:lang w:eastAsia="en-GB"/>
        </w:rPr>
        <w:t>Source: NCHOD</w:t>
      </w:r>
      <w:r w:rsidR="00365FCB" w:rsidRPr="00F1325F">
        <w:rPr>
          <w:rFonts w:ascii="Arial" w:eastAsia="Times New Roman" w:hAnsi="Arial" w:cs="Arial"/>
          <w:bCs/>
          <w:i/>
          <w:lang w:eastAsia="en-GB"/>
        </w:rPr>
        <w:t>, 2005-7</w:t>
      </w:r>
    </w:p>
    <w:p w:rsidR="00F1325F" w:rsidRDefault="00F1325F" w:rsidP="00501D0F">
      <w:pPr>
        <w:spacing w:after="0"/>
        <w:rPr>
          <w:rFonts w:ascii="Arial" w:eastAsia="Times New Roman" w:hAnsi="Arial" w:cs="Arial"/>
          <w:bCs/>
          <w:noProof/>
          <w:lang w:eastAsia="en-GB"/>
        </w:rPr>
      </w:pPr>
    </w:p>
    <w:p w:rsidR="00501D0F" w:rsidRPr="00433711" w:rsidRDefault="00501D0F" w:rsidP="00501D0F">
      <w:pPr>
        <w:spacing w:after="0"/>
        <w:rPr>
          <w:rFonts w:ascii="Arial" w:eastAsia="Times New Roman" w:hAnsi="Arial" w:cs="Arial"/>
          <w:bCs/>
          <w:noProof/>
          <w:lang w:eastAsia="en-GB"/>
        </w:rPr>
      </w:pPr>
      <w:r w:rsidRPr="00433711">
        <w:rPr>
          <w:rFonts w:ascii="Arial" w:eastAsia="Times New Roman" w:hAnsi="Arial" w:cs="Arial"/>
          <w:bCs/>
          <w:noProof/>
          <w:lang w:eastAsia="en-GB"/>
        </w:rPr>
        <w:t>Mortalit</w:t>
      </w:r>
      <w:r>
        <w:rPr>
          <w:rFonts w:ascii="Arial" w:eastAsia="Times New Roman" w:hAnsi="Arial" w:cs="Arial"/>
          <w:bCs/>
          <w:noProof/>
          <w:lang w:eastAsia="en-GB"/>
        </w:rPr>
        <w:t>y</w:t>
      </w:r>
      <w:r w:rsidRPr="00433711">
        <w:rPr>
          <w:rFonts w:ascii="Arial" w:eastAsia="Times New Roman" w:hAnsi="Arial" w:cs="Arial"/>
          <w:bCs/>
          <w:noProof/>
          <w:lang w:eastAsia="en-GB"/>
        </w:rPr>
        <w:t xml:space="preserve"> rates from COPD are noticable in</w:t>
      </w:r>
      <w:r>
        <w:rPr>
          <w:rFonts w:ascii="Arial" w:eastAsia="Times New Roman" w:hAnsi="Arial" w:cs="Arial"/>
          <w:bCs/>
          <w:noProof/>
          <w:lang w:eastAsia="en-GB"/>
        </w:rPr>
        <w:t xml:space="preserve"> their consistancy with observed</w:t>
      </w:r>
      <w:r w:rsidRPr="00433711">
        <w:rPr>
          <w:rFonts w:ascii="Arial" w:eastAsia="Times New Roman" w:hAnsi="Arial" w:cs="Arial"/>
          <w:bCs/>
          <w:noProof/>
          <w:lang w:eastAsia="en-GB"/>
        </w:rPr>
        <w:t xml:space="preserve"> patterns at</w:t>
      </w:r>
      <w:r w:rsidR="00E8586A">
        <w:rPr>
          <w:rFonts w:ascii="Arial" w:eastAsia="Times New Roman" w:hAnsi="Arial" w:cs="Arial"/>
          <w:bCs/>
          <w:noProof/>
          <w:lang w:eastAsia="en-GB"/>
        </w:rPr>
        <w:t xml:space="preserve"> the London and national levels</w:t>
      </w:r>
      <w:r w:rsidRPr="00433711">
        <w:rPr>
          <w:rFonts w:ascii="Arial" w:eastAsia="Times New Roman" w:hAnsi="Arial" w:cs="Arial"/>
          <w:bCs/>
          <w:noProof/>
          <w:lang w:eastAsia="en-GB"/>
        </w:rPr>
        <w:t>.</w:t>
      </w:r>
      <w:r w:rsidR="00E8586A">
        <w:rPr>
          <w:rFonts w:ascii="Arial" w:eastAsia="Times New Roman" w:hAnsi="Arial" w:cs="Arial"/>
          <w:bCs/>
          <w:noProof/>
          <w:lang w:eastAsia="en-GB"/>
        </w:rPr>
        <w:t xml:space="preserve"> It is not however, possible to tell if there is any statistically significant difference from these figures.</w:t>
      </w:r>
    </w:p>
    <w:p w:rsidR="00501D0F" w:rsidRDefault="00501D0F" w:rsidP="00501D0F">
      <w:pPr>
        <w:spacing w:after="0"/>
        <w:rPr>
          <w:rFonts w:ascii="Arial" w:eastAsia="Times New Roman" w:hAnsi="Arial" w:cs="Arial"/>
          <w:bCs/>
          <w:lang w:eastAsia="en-GB"/>
        </w:rPr>
      </w:pPr>
    </w:p>
    <w:p w:rsidR="00501D0F" w:rsidRPr="00433711" w:rsidRDefault="00501D0F" w:rsidP="00501D0F">
      <w:pPr>
        <w:spacing w:after="0"/>
      </w:pPr>
      <w:r w:rsidRPr="00433711">
        <w:rPr>
          <w:rFonts w:ascii="Arial" w:eastAsia="Times New Roman" w:hAnsi="Arial" w:cs="Arial"/>
          <w:bCs/>
          <w:lang w:eastAsia="en-GB"/>
        </w:rPr>
        <w:t xml:space="preserve">Another </w:t>
      </w:r>
      <w:r w:rsidR="00510BFE" w:rsidRPr="00433711">
        <w:rPr>
          <w:rFonts w:ascii="Arial" w:eastAsia="Times New Roman" w:hAnsi="Arial" w:cs="Arial"/>
          <w:bCs/>
          <w:lang w:eastAsia="en-GB"/>
        </w:rPr>
        <w:t xml:space="preserve">figure </w:t>
      </w:r>
      <w:r w:rsidR="00510BFE">
        <w:rPr>
          <w:rFonts w:ascii="Arial" w:eastAsia="Times New Roman" w:hAnsi="Arial" w:cs="Arial"/>
          <w:bCs/>
          <w:lang w:eastAsia="en-GB"/>
        </w:rPr>
        <w:t>(</w:t>
      </w:r>
      <w:r w:rsidR="00D93C19">
        <w:rPr>
          <w:rFonts w:ascii="Arial" w:eastAsia="Times New Roman" w:hAnsi="Arial" w:cs="Arial"/>
          <w:bCs/>
          <w:lang w:eastAsia="en-GB"/>
        </w:rPr>
        <w:t>Figure 15</w:t>
      </w:r>
      <w:r w:rsidR="00E8586A">
        <w:rPr>
          <w:rFonts w:ascii="Arial" w:eastAsia="Times New Roman" w:hAnsi="Arial" w:cs="Arial"/>
          <w:bCs/>
          <w:lang w:eastAsia="en-GB"/>
        </w:rPr>
        <w:t xml:space="preserve">) </w:t>
      </w:r>
      <w:r w:rsidRPr="00433711">
        <w:rPr>
          <w:rFonts w:ascii="Arial" w:eastAsia="Times New Roman" w:hAnsi="Arial" w:cs="Arial"/>
          <w:bCs/>
          <w:lang w:eastAsia="en-GB"/>
        </w:rPr>
        <w:t xml:space="preserve">from the LHO allows us to look at mortality rates across the London Boroughs. </w:t>
      </w:r>
      <w:r>
        <w:rPr>
          <w:rFonts w:ascii="Arial" w:eastAsia="Times New Roman" w:hAnsi="Arial" w:cs="Arial"/>
          <w:bCs/>
          <w:lang w:eastAsia="en-GB"/>
        </w:rPr>
        <w:t>Here</w:t>
      </w:r>
      <w:r w:rsidRPr="00433711">
        <w:rPr>
          <w:rFonts w:ascii="Arial" w:eastAsia="Times New Roman" w:hAnsi="Arial" w:cs="Arial"/>
          <w:bCs/>
          <w:lang w:eastAsia="en-GB"/>
        </w:rPr>
        <w:t xml:space="preserve"> we see that Wandsworth sits close to the London average, and certainly not significantly different from the average.</w:t>
      </w:r>
      <w:r w:rsidRPr="00433711">
        <w:rPr>
          <w:rFonts w:ascii="Arial" w:eastAsia="Times New Roman" w:hAnsi="Arial" w:cs="Arial"/>
          <w:b/>
          <w:bCs/>
          <w:lang w:eastAsia="en-GB"/>
        </w:rPr>
        <w:t xml:space="preserve"> </w:t>
      </w:r>
    </w:p>
    <w:p w:rsidR="00501D0F" w:rsidRPr="00751528" w:rsidRDefault="00501D0F" w:rsidP="00751528">
      <w:pPr>
        <w:pStyle w:val="Caption"/>
      </w:pPr>
    </w:p>
    <w:p w:rsidR="00501D0F" w:rsidRPr="00751528" w:rsidRDefault="00501D0F" w:rsidP="00751528">
      <w:pPr>
        <w:pStyle w:val="Caption"/>
      </w:pPr>
      <w:r w:rsidRPr="00751528">
        <w:t xml:space="preserve">Figure </w:t>
      </w:r>
      <w:fldSimple w:instr=" SEQ Figure \* ARABIC ">
        <w:r w:rsidR="00652BDF">
          <w:rPr>
            <w:noProof/>
          </w:rPr>
          <w:t>15</w:t>
        </w:r>
      </w:fldSimple>
    </w:p>
    <w:p w:rsidR="00501D0F" w:rsidRPr="00433711" w:rsidRDefault="00501D0F" w:rsidP="00501D0F">
      <w:pPr>
        <w:spacing w:after="0"/>
        <w:rPr>
          <w:rFonts w:ascii="Arial" w:eastAsia="Times New Roman" w:hAnsi="Arial" w:cs="Arial"/>
          <w:b/>
          <w:bCs/>
          <w:lang w:eastAsia="en-GB"/>
        </w:rPr>
      </w:pPr>
      <w:r w:rsidRPr="00433711">
        <w:rPr>
          <w:rFonts w:ascii="Arial" w:eastAsia="Times New Roman" w:hAnsi="Arial" w:cs="Arial"/>
          <w:b/>
          <w:bCs/>
          <w:noProof/>
          <w:lang w:eastAsia="en-GB"/>
        </w:rPr>
        <w:drawing>
          <wp:inline distT="0" distB="0" distL="0" distR="0">
            <wp:extent cx="5731510" cy="3899599"/>
            <wp:effectExtent l="19050" t="0" r="254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731510" cy="3899599"/>
                    </a:xfrm>
                    <a:prstGeom prst="rect">
                      <a:avLst/>
                    </a:prstGeom>
                    <a:noFill/>
                    <a:ln w="9525">
                      <a:noFill/>
                      <a:miter lim="800000"/>
                      <a:headEnd/>
                      <a:tailEnd/>
                    </a:ln>
                  </pic:spPr>
                </pic:pic>
              </a:graphicData>
            </a:graphic>
          </wp:inline>
        </w:drawing>
      </w:r>
    </w:p>
    <w:p w:rsidR="00F1325F" w:rsidRPr="00F1325F" w:rsidRDefault="00F1325F" w:rsidP="00F1325F">
      <w:pPr>
        <w:spacing w:after="0"/>
        <w:jc w:val="right"/>
        <w:rPr>
          <w:rFonts w:ascii="Arial" w:eastAsia="Times New Roman" w:hAnsi="Arial" w:cs="Arial"/>
          <w:bCs/>
          <w:i/>
          <w:lang w:eastAsia="en-GB"/>
        </w:rPr>
      </w:pPr>
      <w:r w:rsidRPr="00F1325F">
        <w:rPr>
          <w:rFonts w:ascii="Arial" w:eastAsia="Times New Roman" w:hAnsi="Arial" w:cs="Arial"/>
          <w:bCs/>
          <w:i/>
          <w:lang w:eastAsia="en-GB"/>
        </w:rPr>
        <w:t>Source: London Health Observatory, 2005-2007</w:t>
      </w:r>
    </w:p>
    <w:p w:rsidR="00F1325F" w:rsidRDefault="00F1325F" w:rsidP="00501D0F">
      <w:pPr>
        <w:spacing w:after="0"/>
        <w:rPr>
          <w:rFonts w:ascii="Arial" w:eastAsia="Times New Roman" w:hAnsi="Arial" w:cs="Arial"/>
          <w:bCs/>
          <w:lang w:eastAsia="en-GB"/>
        </w:rPr>
      </w:pPr>
    </w:p>
    <w:p w:rsidR="00501D0F" w:rsidRPr="00433711" w:rsidRDefault="00501D0F" w:rsidP="00501D0F">
      <w:pPr>
        <w:spacing w:after="0"/>
        <w:rPr>
          <w:rFonts w:ascii="Arial" w:eastAsia="Times New Roman" w:hAnsi="Arial" w:cs="Arial"/>
          <w:bCs/>
          <w:lang w:eastAsia="en-GB"/>
        </w:rPr>
      </w:pPr>
      <w:r w:rsidRPr="00433711">
        <w:rPr>
          <w:rFonts w:ascii="Arial" w:eastAsia="Times New Roman" w:hAnsi="Arial" w:cs="Arial"/>
          <w:bCs/>
          <w:lang w:eastAsia="en-GB"/>
        </w:rPr>
        <w:t>Patterns of change in mortality over time demonstrate that Wandsworth is following the established national patterns, with mort</w:t>
      </w:r>
      <w:r>
        <w:rPr>
          <w:rFonts w:ascii="Arial" w:eastAsia="Times New Roman" w:hAnsi="Arial" w:cs="Arial"/>
          <w:bCs/>
          <w:lang w:eastAsia="en-GB"/>
        </w:rPr>
        <w:t>ality</w:t>
      </w:r>
      <w:r w:rsidRPr="00433711">
        <w:rPr>
          <w:rFonts w:ascii="Arial" w:eastAsia="Times New Roman" w:hAnsi="Arial" w:cs="Arial"/>
          <w:bCs/>
          <w:lang w:eastAsia="en-GB"/>
        </w:rPr>
        <w:t xml:space="preserve"> in males falling considerably over the past 15 years, while mortality in females has remained roughly</w:t>
      </w:r>
      <w:r>
        <w:rPr>
          <w:rFonts w:ascii="Arial" w:eastAsia="Times New Roman" w:hAnsi="Arial" w:cs="Arial"/>
          <w:bCs/>
          <w:lang w:eastAsia="en-GB"/>
        </w:rPr>
        <w:t xml:space="preserve"> co</w:t>
      </w:r>
      <w:r w:rsidRPr="00433711">
        <w:rPr>
          <w:rFonts w:ascii="Arial" w:eastAsia="Times New Roman" w:hAnsi="Arial" w:cs="Arial"/>
          <w:bCs/>
          <w:lang w:eastAsia="en-GB"/>
        </w:rPr>
        <w:t>nstant</w:t>
      </w:r>
      <w:r w:rsidR="00D93C19">
        <w:rPr>
          <w:rFonts w:ascii="Arial" w:eastAsia="Times New Roman" w:hAnsi="Arial" w:cs="Arial"/>
          <w:bCs/>
          <w:lang w:eastAsia="en-GB"/>
        </w:rPr>
        <w:t xml:space="preserve"> (Figure 16)</w:t>
      </w:r>
      <w:r w:rsidRPr="00433711">
        <w:rPr>
          <w:rFonts w:ascii="Arial" w:eastAsia="Times New Roman" w:hAnsi="Arial" w:cs="Arial"/>
          <w:bCs/>
          <w:lang w:eastAsia="en-GB"/>
        </w:rPr>
        <w:t>. This gender specific pattern is thought to be related to changes in risk facto</w:t>
      </w:r>
      <w:r>
        <w:rPr>
          <w:rFonts w:ascii="Arial" w:eastAsia="Times New Roman" w:hAnsi="Arial" w:cs="Arial"/>
          <w:bCs/>
          <w:lang w:eastAsia="en-GB"/>
        </w:rPr>
        <w:t xml:space="preserve">r </w:t>
      </w:r>
      <w:r w:rsidRPr="00433711">
        <w:rPr>
          <w:rFonts w:ascii="Arial" w:eastAsia="Times New Roman" w:hAnsi="Arial" w:cs="Arial"/>
          <w:bCs/>
          <w:lang w:eastAsia="en-GB"/>
        </w:rPr>
        <w:t>exposure between genders. The smoking rate in men has been falling considerably fa</w:t>
      </w:r>
      <w:r>
        <w:rPr>
          <w:rFonts w:ascii="Arial" w:eastAsia="Times New Roman" w:hAnsi="Arial" w:cs="Arial"/>
          <w:bCs/>
          <w:lang w:eastAsia="en-GB"/>
        </w:rPr>
        <w:t>s</w:t>
      </w:r>
      <w:r w:rsidRPr="00433711">
        <w:rPr>
          <w:rFonts w:ascii="Arial" w:eastAsia="Times New Roman" w:hAnsi="Arial" w:cs="Arial"/>
          <w:bCs/>
          <w:lang w:eastAsia="en-GB"/>
        </w:rPr>
        <w:t xml:space="preserve">ter than smoking rate in women over the last </w:t>
      </w:r>
      <w:r w:rsidR="00E8586A">
        <w:rPr>
          <w:rFonts w:ascii="Arial" w:eastAsia="Times New Roman" w:hAnsi="Arial" w:cs="Arial"/>
          <w:bCs/>
          <w:lang w:eastAsia="en-GB"/>
        </w:rPr>
        <w:t>40</w:t>
      </w:r>
      <w:r w:rsidRPr="00433711">
        <w:rPr>
          <w:rFonts w:ascii="Arial" w:eastAsia="Times New Roman" w:hAnsi="Arial" w:cs="Arial"/>
          <w:bCs/>
          <w:lang w:eastAsia="en-GB"/>
        </w:rPr>
        <w:t xml:space="preserve"> years.</w:t>
      </w:r>
    </w:p>
    <w:p w:rsidR="00501D0F" w:rsidRPr="00751528" w:rsidRDefault="00501D0F" w:rsidP="00751528">
      <w:pPr>
        <w:pStyle w:val="Caption"/>
      </w:pPr>
    </w:p>
    <w:p w:rsidR="00501D0F" w:rsidRPr="00751528" w:rsidRDefault="00501D0F" w:rsidP="00751528">
      <w:pPr>
        <w:pStyle w:val="Caption"/>
      </w:pPr>
      <w:r w:rsidRPr="00751528">
        <w:t xml:space="preserve">Figure </w:t>
      </w:r>
      <w:fldSimple w:instr=" SEQ Figure \* ARABIC ">
        <w:r w:rsidR="00652BDF">
          <w:rPr>
            <w:noProof/>
          </w:rPr>
          <w:t>16</w:t>
        </w:r>
      </w:fldSimple>
    </w:p>
    <w:p w:rsidR="00501D0F" w:rsidRPr="00433711" w:rsidRDefault="00501D0F" w:rsidP="00501D0F">
      <w:pPr>
        <w:spacing w:after="0"/>
        <w:rPr>
          <w:rFonts w:ascii="Arial" w:eastAsia="Times New Roman" w:hAnsi="Arial" w:cs="Arial"/>
          <w:b/>
          <w:bCs/>
          <w:lang w:eastAsia="en-GB"/>
        </w:rPr>
      </w:pPr>
      <w:r w:rsidRPr="00433711">
        <w:rPr>
          <w:rFonts w:ascii="Arial" w:eastAsia="Times New Roman" w:hAnsi="Arial" w:cs="Arial"/>
          <w:b/>
          <w:bCs/>
          <w:noProof/>
          <w:lang w:eastAsia="en-GB"/>
        </w:rPr>
        <w:drawing>
          <wp:inline distT="0" distB="0" distL="0" distR="0">
            <wp:extent cx="6154601" cy="3701143"/>
            <wp:effectExtent l="19050" t="0" r="17599" b="0"/>
            <wp:docPr id="3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01D0F" w:rsidRPr="00F1325F" w:rsidRDefault="00501D0F" w:rsidP="00365FCB">
      <w:pPr>
        <w:spacing w:after="0"/>
        <w:jc w:val="right"/>
        <w:rPr>
          <w:rFonts w:ascii="Arial" w:eastAsia="Times New Roman" w:hAnsi="Arial" w:cs="Arial"/>
          <w:bCs/>
          <w:i/>
          <w:lang w:eastAsia="en-GB"/>
        </w:rPr>
      </w:pPr>
      <w:r w:rsidRPr="00F1325F">
        <w:rPr>
          <w:rFonts w:ascii="Arial" w:eastAsia="Times New Roman" w:hAnsi="Arial" w:cs="Arial"/>
          <w:bCs/>
          <w:i/>
          <w:lang w:eastAsia="en-GB"/>
        </w:rPr>
        <w:t>Source: NCHOD</w:t>
      </w:r>
      <w:r w:rsidR="00365FCB" w:rsidRPr="00F1325F">
        <w:rPr>
          <w:rFonts w:ascii="Arial" w:eastAsia="Times New Roman" w:hAnsi="Arial" w:cs="Arial"/>
          <w:bCs/>
          <w:i/>
          <w:lang w:eastAsia="en-GB"/>
        </w:rPr>
        <w:t>, 2009</w:t>
      </w:r>
    </w:p>
    <w:p w:rsidR="00501D0F" w:rsidRPr="00433711" w:rsidRDefault="00501D0F" w:rsidP="00501D0F">
      <w:pPr>
        <w:spacing w:after="0"/>
        <w:rPr>
          <w:rFonts w:ascii="Arial" w:eastAsia="Times New Roman" w:hAnsi="Arial" w:cs="Arial"/>
          <w:b/>
          <w:bCs/>
          <w:lang w:eastAsia="en-GB"/>
        </w:rPr>
      </w:pPr>
    </w:p>
    <w:p w:rsidR="00501D0F" w:rsidRPr="00751528" w:rsidRDefault="00501D0F" w:rsidP="00751528">
      <w:pPr>
        <w:pStyle w:val="Caption"/>
      </w:pPr>
      <w:r w:rsidRPr="00751528">
        <w:t xml:space="preserve">Figure </w:t>
      </w:r>
      <w:fldSimple w:instr=" SEQ Figure \* ARABIC ">
        <w:r w:rsidR="00652BDF">
          <w:rPr>
            <w:noProof/>
          </w:rPr>
          <w:t>17</w:t>
        </w:r>
      </w:fldSimple>
    </w:p>
    <w:p w:rsidR="00501D0F" w:rsidRPr="00433711" w:rsidRDefault="00501D0F" w:rsidP="00501D0F">
      <w:pPr>
        <w:spacing w:after="0"/>
        <w:rPr>
          <w:rFonts w:ascii="Arial" w:eastAsia="Times New Roman" w:hAnsi="Arial" w:cs="Arial"/>
          <w:b/>
          <w:bCs/>
          <w:lang w:eastAsia="en-GB"/>
        </w:rPr>
      </w:pPr>
      <w:r w:rsidRPr="00433711">
        <w:rPr>
          <w:rFonts w:ascii="Arial" w:eastAsia="Times New Roman" w:hAnsi="Arial" w:cs="Arial"/>
          <w:b/>
          <w:bCs/>
          <w:noProof/>
          <w:lang w:eastAsia="en-GB"/>
        </w:rPr>
        <w:drawing>
          <wp:inline distT="0" distB="0" distL="0" distR="0">
            <wp:extent cx="6048375" cy="3067050"/>
            <wp:effectExtent l="19050" t="0" r="9525" b="0"/>
            <wp:docPr id="3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01D0F" w:rsidRPr="00F1325F" w:rsidRDefault="00501D0F" w:rsidP="00365FCB">
      <w:pPr>
        <w:spacing w:after="0"/>
        <w:jc w:val="right"/>
        <w:rPr>
          <w:rFonts w:ascii="Arial" w:eastAsia="Times New Roman" w:hAnsi="Arial" w:cs="Arial"/>
          <w:bCs/>
          <w:i/>
          <w:lang w:eastAsia="en-GB"/>
        </w:rPr>
      </w:pPr>
      <w:r w:rsidRPr="00F1325F">
        <w:rPr>
          <w:rFonts w:ascii="Arial" w:eastAsia="Times New Roman" w:hAnsi="Arial" w:cs="Arial"/>
          <w:bCs/>
          <w:i/>
          <w:lang w:eastAsia="en-GB"/>
        </w:rPr>
        <w:t>Source: NCHOD</w:t>
      </w:r>
      <w:r w:rsidR="00365FCB" w:rsidRPr="00F1325F">
        <w:rPr>
          <w:rFonts w:ascii="Arial" w:eastAsia="Times New Roman" w:hAnsi="Arial" w:cs="Arial"/>
          <w:bCs/>
          <w:i/>
          <w:lang w:eastAsia="en-GB"/>
        </w:rPr>
        <w:t>, 2009</w:t>
      </w:r>
    </w:p>
    <w:p w:rsidR="00501D0F" w:rsidRPr="00433711" w:rsidRDefault="00501D0F" w:rsidP="00501D0F">
      <w:pPr>
        <w:spacing w:after="0"/>
        <w:rPr>
          <w:rFonts w:ascii="Arial" w:eastAsia="Times New Roman" w:hAnsi="Arial" w:cs="Arial"/>
          <w:b/>
          <w:bCs/>
          <w:lang w:eastAsia="en-GB"/>
        </w:rPr>
      </w:pPr>
    </w:p>
    <w:p w:rsidR="00DB5373" w:rsidRDefault="00DB5373" w:rsidP="00DB5373">
      <w:pPr>
        <w:rPr>
          <w:rFonts w:ascii="Arial" w:eastAsia="Times New Roman" w:hAnsi="Arial" w:cstheme="majorBidi"/>
          <w:bCs/>
          <w:color w:val="1F497D" w:themeColor="text2"/>
          <w:sz w:val="26"/>
          <w:lang w:eastAsia="en-GB"/>
        </w:rPr>
      </w:pPr>
      <w:r w:rsidRPr="00433711">
        <w:rPr>
          <w:rFonts w:ascii="Arial" w:eastAsia="Times New Roman" w:hAnsi="Arial" w:cs="Arial"/>
          <w:bCs/>
          <w:lang w:eastAsia="en-GB"/>
        </w:rPr>
        <w:t xml:space="preserve">The </w:t>
      </w:r>
      <w:r>
        <w:rPr>
          <w:rFonts w:ascii="Arial" w:eastAsia="Times New Roman" w:hAnsi="Arial" w:cs="Arial"/>
          <w:bCs/>
          <w:lang w:eastAsia="en-GB"/>
        </w:rPr>
        <w:t>current</w:t>
      </w:r>
      <w:r w:rsidRPr="00433711">
        <w:rPr>
          <w:rFonts w:ascii="Arial" w:eastAsia="Times New Roman" w:hAnsi="Arial" w:cs="Arial"/>
          <w:bCs/>
          <w:lang w:eastAsia="en-GB"/>
        </w:rPr>
        <w:t xml:space="preserve"> level of deaths in Wandswo</w:t>
      </w:r>
      <w:r>
        <w:rPr>
          <w:rFonts w:ascii="Arial" w:eastAsia="Times New Roman" w:hAnsi="Arial" w:cs="Arial"/>
          <w:bCs/>
          <w:lang w:eastAsia="en-GB"/>
        </w:rPr>
        <w:t>r</w:t>
      </w:r>
      <w:r w:rsidRPr="00433711">
        <w:rPr>
          <w:rFonts w:ascii="Arial" w:eastAsia="Times New Roman" w:hAnsi="Arial" w:cs="Arial"/>
          <w:bCs/>
          <w:lang w:eastAsia="en-GB"/>
        </w:rPr>
        <w:t>th from COPD per year is recorded as 90 in 2008, although COP</w:t>
      </w:r>
      <w:r>
        <w:rPr>
          <w:rFonts w:ascii="Arial" w:eastAsia="Times New Roman" w:hAnsi="Arial" w:cs="Arial"/>
          <w:bCs/>
          <w:lang w:eastAsia="en-GB"/>
        </w:rPr>
        <w:t>D</w:t>
      </w:r>
      <w:r w:rsidRPr="00433711">
        <w:rPr>
          <w:rFonts w:ascii="Arial" w:eastAsia="Times New Roman" w:hAnsi="Arial" w:cs="Arial"/>
          <w:bCs/>
          <w:lang w:eastAsia="en-GB"/>
        </w:rPr>
        <w:t xml:space="preserve"> is likely to be a contributory factor is a considerably large number of deaths.</w:t>
      </w:r>
      <w:r>
        <w:rPr>
          <w:rFonts w:ascii="Arial" w:eastAsia="Times New Roman" w:hAnsi="Arial" w:cs="Arial"/>
          <w:bCs/>
          <w:lang w:eastAsia="en-GB"/>
        </w:rPr>
        <w:t xml:space="preserve"> The </w:t>
      </w:r>
      <w:r w:rsidR="00E8586A">
        <w:rPr>
          <w:rFonts w:ascii="Arial" w:eastAsia="Times New Roman" w:hAnsi="Arial" w:cs="Arial"/>
          <w:bCs/>
          <w:lang w:eastAsia="en-GB"/>
        </w:rPr>
        <w:t>breakdown</w:t>
      </w:r>
      <w:r>
        <w:rPr>
          <w:rFonts w:ascii="Arial" w:eastAsia="Times New Roman" w:hAnsi="Arial" w:cs="Arial"/>
          <w:bCs/>
          <w:lang w:eastAsia="en-GB"/>
        </w:rPr>
        <w:t xml:space="preserve"> of the age and gender of these deaths can be seen in Table </w:t>
      </w:r>
      <w:r w:rsidR="000340E9">
        <w:rPr>
          <w:rFonts w:ascii="Arial" w:eastAsia="Times New Roman" w:hAnsi="Arial" w:cs="Arial"/>
          <w:bCs/>
          <w:lang w:eastAsia="en-GB"/>
        </w:rPr>
        <w:t>2</w:t>
      </w:r>
      <w:r>
        <w:rPr>
          <w:rFonts w:ascii="Arial" w:eastAsia="Times New Roman" w:hAnsi="Arial" w:cs="Arial"/>
          <w:bCs/>
          <w:lang w:eastAsia="en-GB"/>
        </w:rPr>
        <w:t>.</w:t>
      </w:r>
    </w:p>
    <w:p w:rsidR="00501D0F" w:rsidRPr="00433711" w:rsidRDefault="00501D0F" w:rsidP="00501D0F">
      <w:pPr>
        <w:spacing w:after="0"/>
        <w:rPr>
          <w:rFonts w:ascii="Arial" w:eastAsia="Times New Roman" w:hAnsi="Arial" w:cs="Arial"/>
          <w:b/>
          <w:bCs/>
          <w:lang w:eastAsia="en-GB"/>
        </w:rPr>
      </w:pPr>
    </w:p>
    <w:p w:rsidR="00501D0F" w:rsidRPr="00751528" w:rsidRDefault="00501D0F" w:rsidP="00751528">
      <w:pPr>
        <w:pStyle w:val="Caption"/>
      </w:pPr>
      <w:r w:rsidRPr="00751528">
        <w:t xml:space="preserve">Table </w:t>
      </w:r>
      <w:fldSimple w:instr=" SEQ Table \* ARABIC ">
        <w:r w:rsidR="00652BDF">
          <w:rPr>
            <w:noProof/>
          </w:rPr>
          <w:t>2</w:t>
        </w:r>
      </w:fldSimple>
      <w:r w:rsidRPr="00751528">
        <w:t xml:space="preserve"> Numbers of COPD deaths in Wandsworth (2008)</w:t>
      </w:r>
    </w:p>
    <w:tbl>
      <w:tblPr>
        <w:tblW w:w="10140" w:type="dxa"/>
        <w:tblCellMar>
          <w:left w:w="0" w:type="dxa"/>
          <w:right w:w="0" w:type="dxa"/>
        </w:tblCellMar>
        <w:tblLook w:val="04A0"/>
      </w:tblPr>
      <w:tblGrid>
        <w:gridCol w:w="1740"/>
        <w:gridCol w:w="1200"/>
        <w:gridCol w:w="1200"/>
        <w:gridCol w:w="1200"/>
        <w:gridCol w:w="1200"/>
        <w:gridCol w:w="1200"/>
        <w:gridCol w:w="1200"/>
        <w:gridCol w:w="1200"/>
      </w:tblGrid>
      <w:tr w:rsidR="00501D0F" w:rsidTr="00501D0F">
        <w:trPr>
          <w:trHeight w:val="791"/>
        </w:trPr>
        <w:tc>
          <w:tcPr>
            <w:tcW w:w="17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01D0F" w:rsidRPr="00433711" w:rsidRDefault="00501D0F" w:rsidP="00501D0F">
            <w:pPr>
              <w:spacing w:after="0"/>
              <w:rPr>
                <w:rFonts w:ascii="Arial" w:hAnsi="Arial" w:cs="Arial"/>
                <w:i/>
                <w:iCs/>
                <w:color w:val="FF0000"/>
              </w:rPr>
            </w:pPr>
            <w:r w:rsidRPr="00433711">
              <w:rPr>
                <w:rFonts w:ascii="Arial" w:hAnsi="Arial" w:cs="Arial"/>
                <w:i/>
                <w:iCs/>
                <w:color w:val="FF0000"/>
              </w:rPr>
              <w:t> </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01D0F" w:rsidRPr="00433711" w:rsidRDefault="00501D0F" w:rsidP="00501D0F">
            <w:pPr>
              <w:spacing w:after="0"/>
              <w:jc w:val="center"/>
              <w:rPr>
                <w:rFonts w:ascii="Arial" w:hAnsi="Arial" w:cs="Arial"/>
              </w:rPr>
            </w:pPr>
            <w:r w:rsidRPr="00433711">
              <w:rPr>
                <w:rFonts w:ascii="Arial" w:hAnsi="Arial" w:cs="Arial"/>
              </w:rPr>
              <w:t>Total</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01D0F" w:rsidRPr="00433711" w:rsidRDefault="00501D0F" w:rsidP="00501D0F">
            <w:pPr>
              <w:spacing w:after="0"/>
              <w:jc w:val="center"/>
              <w:rPr>
                <w:rFonts w:ascii="Arial" w:hAnsi="Arial" w:cs="Arial"/>
              </w:rPr>
            </w:pPr>
            <w:r w:rsidRPr="00433711">
              <w:rPr>
                <w:rFonts w:ascii="Arial" w:hAnsi="Arial" w:cs="Arial"/>
              </w:rPr>
              <w:t xml:space="preserve">1-4 </w:t>
            </w:r>
          </w:p>
          <w:p w:rsidR="00501D0F" w:rsidRPr="00433711" w:rsidRDefault="00501D0F" w:rsidP="00501D0F">
            <w:pPr>
              <w:spacing w:after="0"/>
              <w:jc w:val="center"/>
              <w:rPr>
                <w:rFonts w:ascii="Arial" w:hAnsi="Arial" w:cs="Arial"/>
              </w:rPr>
            </w:pPr>
            <w:r w:rsidRPr="00433711">
              <w:rPr>
                <w:rFonts w:ascii="Arial" w:hAnsi="Arial" w:cs="Arial"/>
              </w:rPr>
              <w:t>years</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01D0F" w:rsidRPr="00433711" w:rsidRDefault="00501D0F" w:rsidP="00501D0F">
            <w:pPr>
              <w:spacing w:after="0"/>
              <w:jc w:val="center"/>
              <w:rPr>
                <w:rFonts w:ascii="Arial" w:hAnsi="Arial" w:cs="Arial"/>
              </w:rPr>
            </w:pPr>
            <w:r w:rsidRPr="00433711">
              <w:rPr>
                <w:rFonts w:ascii="Arial" w:hAnsi="Arial" w:cs="Arial"/>
              </w:rPr>
              <w:t xml:space="preserve">5-14 </w:t>
            </w:r>
          </w:p>
          <w:p w:rsidR="00501D0F" w:rsidRPr="00433711" w:rsidRDefault="00501D0F" w:rsidP="00501D0F">
            <w:pPr>
              <w:spacing w:after="0"/>
              <w:jc w:val="center"/>
              <w:rPr>
                <w:rFonts w:ascii="Arial" w:hAnsi="Arial" w:cs="Arial"/>
              </w:rPr>
            </w:pPr>
            <w:r w:rsidRPr="00433711">
              <w:rPr>
                <w:rFonts w:ascii="Arial" w:hAnsi="Arial" w:cs="Arial"/>
              </w:rPr>
              <w:t>years</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01D0F" w:rsidRPr="00433711" w:rsidRDefault="00501D0F" w:rsidP="00501D0F">
            <w:pPr>
              <w:spacing w:after="0"/>
              <w:jc w:val="center"/>
              <w:rPr>
                <w:rFonts w:ascii="Arial" w:hAnsi="Arial" w:cs="Arial"/>
              </w:rPr>
            </w:pPr>
            <w:r w:rsidRPr="00433711">
              <w:rPr>
                <w:rFonts w:ascii="Arial" w:hAnsi="Arial" w:cs="Arial"/>
              </w:rPr>
              <w:t xml:space="preserve">15-34 </w:t>
            </w:r>
          </w:p>
          <w:p w:rsidR="00501D0F" w:rsidRPr="00433711" w:rsidRDefault="00501D0F" w:rsidP="00501D0F">
            <w:pPr>
              <w:spacing w:after="0"/>
              <w:jc w:val="center"/>
              <w:rPr>
                <w:rFonts w:ascii="Arial" w:hAnsi="Arial" w:cs="Arial"/>
              </w:rPr>
            </w:pPr>
            <w:r w:rsidRPr="00433711">
              <w:rPr>
                <w:rFonts w:ascii="Arial" w:hAnsi="Arial" w:cs="Arial"/>
              </w:rPr>
              <w:t>years</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01D0F" w:rsidRPr="00433711" w:rsidRDefault="00501D0F" w:rsidP="00501D0F">
            <w:pPr>
              <w:spacing w:after="0"/>
              <w:jc w:val="center"/>
              <w:rPr>
                <w:rFonts w:ascii="Arial" w:hAnsi="Arial" w:cs="Arial"/>
              </w:rPr>
            </w:pPr>
            <w:r w:rsidRPr="00433711">
              <w:rPr>
                <w:rFonts w:ascii="Arial" w:hAnsi="Arial" w:cs="Arial"/>
              </w:rPr>
              <w:t xml:space="preserve">35-64 </w:t>
            </w:r>
          </w:p>
          <w:p w:rsidR="00501D0F" w:rsidRPr="00433711" w:rsidRDefault="00501D0F" w:rsidP="00501D0F">
            <w:pPr>
              <w:spacing w:after="0"/>
              <w:jc w:val="center"/>
              <w:rPr>
                <w:rFonts w:ascii="Arial" w:hAnsi="Arial" w:cs="Arial"/>
              </w:rPr>
            </w:pPr>
            <w:r w:rsidRPr="00433711">
              <w:rPr>
                <w:rFonts w:ascii="Arial" w:hAnsi="Arial" w:cs="Arial"/>
              </w:rPr>
              <w:t xml:space="preserve">years </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01D0F" w:rsidRPr="00433711" w:rsidRDefault="00501D0F" w:rsidP="00501D0F">
            <w:pPr>
              <w:spacing w:after="0"/>
              <w:jc w:val="center"/>
              <w:rPr>
                <w:rFonts w:ascii="Arial" w:hAnsi="Arial" w:cs="Arial"/>
              </w:rPr>
            </w:pPr>
            <w:r w:rsidRPr="00433711">
              <w:rPr>
                <w:rFonts w:ascii="Arial" w:hAnsi="Arial" w:cs="Arial"/>
              </w:rPr>
              <w:t xml:space="preserve">65-74 </w:t>
            </w:r>
          </w:p>
          <w:p w:rsidR="00501D0F" w:rsidRPr="00433711" w:rsidRDefault="00501D0F" w:rsidP="00501D0F">
            <w:pPr>
              <w:spacing w:after="0"/>
              <w:jc w:val="center"/>
              <w:rPr>
                <w:rFonts w:ascii="Arial" w:hAnsi="Arial" w:cs="Arial"/>
              </w:rPr>
            </w:pPr>
            <w:r w:rsidRPr="00433711">
              <w:rPr>
                <w:rFonts w:ascii="Arial" w:hAnsi="Arial" w:cs="Arial"/>
              </w:rPr>
              <w:t>years</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01D0F" w:rsidRPr="00433711" w:rsidRDefault="00501D0F" w:rsidP="00501D0F">
            <w:pPr>
              <w:spacing w:after="0"/>
              <w:jc w:val="center"/>
              <w:rPr>
                <w:rFonts w:ascii="Arial" w:hAnsi="Arial" w:cs="Arial"/>
              </w:rPr>
            </w:pPr>
            <w:r w:rsidRPr="00433711">
              <w:rPr>
                <w:rFonts w:ascii="Arial" w:hAnsi="Arial" w:cs="Arial"/>
              </w:rPr>
              <w:t xml:space="preserve">75+ </w:t>
            </w:r>
          </w:p>
          <w:p w:rsidR="00501D0F" w:rsidRPr="00433711" w:rsidRDefault="00501D0F" w:rsidP="00501D0F">
            <w:pPr>
              <w:spacing w:after="0"/>
              <w:jc w:val="center"/>
              <w:rPr>
                <w:rFonts w:ascii="Arial" w:hAnsi="Arial" w:cs="Arial"/>
              </w:rPr>
            </w:pPr>
            <w:r w:rsidRPr="00433711">
              <w:rPr>
                <w:rFonts w:ascii="Arial" w:hAnsi="Arial" w:cs="Arial"/>
              </w:rPr>
              <w:t>years</w:t>
            </w:r>
          </w:p>
        </w:tc>
      </w:tr>
      <w:tr w:rsidR="00501D0F" w:rsidTr="00501D0F">
        <w:trPr>
          <w:trHeight w:val="55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MALES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8C2F89" w:rsidP="00501D0F">
            <w:pPr>
              <w:spacing w:after="0"/>
              <w:jc w:val="center"/>
              <w:rPr>
                <w:rFonts w:ascii="Arial" w:hAnsi="Arial" w:cs="Arial"/>
              </w:rPr>
            </w:pPr>
            <w:r>
              <w:rPr>
                <w:rFonts w:ascii="Arial" w:hAnsi="Arial" w:cs="Arial"/>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8C2F89" w:rsidP="00501D0F">
            <w:pPr>
              <w:spacing w:after="0"/>
              <w:jc w:val="center"/>
              <w:rPr>
                <w:rFonts w:ascii="Arial" w:hAnsi="Arial" w:cs="Arial"/>
              </w:rPr>
            </w:pPr>
            <w:r>
              <w:rPr>
                <w:rFonts w:ascii="Arial" w:hAnsi="Arial" w:cs="Arial"/>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22</w:t>
            </w:r>
          </w:p>
        </w:tc>
      </w:tr>
      <w:tr w:rsidR="00501D0F" w:rsidTr="00501D0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FEMALES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8C2F89" w:rsidP="00501D0F">
            <w:pPr>
              <w:spacing w:after="0"/>
              <w:jc w:val="center"/>
              <w:rPr>
                <w:rFonts w:ascii="Arial" w:hAnsi="Arial" w:cs="Arial"/>
              </w:rPr>
            </w:pPr>
            <w:r>
              <w:rPr>
                <w:rFonts w:ascii="Arial" w:hAnsi="Arial" w:cs="Arial"/>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8C2F89" w:rsidP="00501D0F">
            <w:pPr>
              <w:spacing w:after="0"/>
              <w:jc w:val="center"/>
              <w:rPr>
                <w:rFonts w:ascii="Arial" w:hAnsi="Arial" w:cs="Arial"/>
              </w:rPr>
            </w:pPr>
            <w:r>
              <w:rPr>
                <w:rFonts w:ascii="Arial" w:hAnsi="Arial" w:cs="Arial"/>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41</w:t>
            </w:r>
          </w:p>
        </w:tc>
      </w:tr>
      <w:tr w:rsidR="00501D0F" w:rsidTr="00501D0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PERSONS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8C2F89" w:rsidP="00501D0F">
            <w:pPr>
              <w:spacing w:after="0"/>
              <w:jc w:val="center"/>
              <w:rPr>
                <w:rFonts w:ascii="Arial" w:hAnsi="Arial" w:cs="Arial"/>
              </w:rPr>
            </w:pPr>
            <w:r>
              <w:rPr>
                <w:rFonts w:ascii="Arial" w:hAnsi="Arial" w:cs="Arial"/>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8C2F89" w:rsidP="00501D0F">
            <w:pPr>
              <w:spacing w:after="0"/>
              <w:jc w:val="center"/>
              <w:rPr>
                <w:rFonts w:ascii="Arial" w:hAnsi="Arial" w:cs="Arial"/>
              </w:rPr>
            </w:pPr>
            <w:r>
              <w:rPr>
                <w:rFonts w:ascii="Arial" w:hAnsi="Arial" w:cs="Arial"/>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01D0F" w:rsidRPr="00433711" w:rsidRDefault="00501D0F" w:rsidP="00501D0F">
            <w:pPr>
              <w:spacing w:after="0"/>
              <w:jc w:val="center"/>
              <w:rPr>
                <w:rFonts w:ascii="Arial" w:hAnsi="Arial" w:cs="Arial"/>
              </w:rPr>
            </w:pPr>
            <w:r w:rsidRPr="00433711">
              <w:rPr>
                <w:rFonts w:ascii="Arial" w:hAnsi="Arial" w:cs="Arial"/>
              </w:rPr>
              <w:t>63</w:t>
            </w:r>
          </w:p>
        </w:tc>
      </w:tr>
    </w:tbl>
    <w:p w:rsidR="00501D0F" w:rsidRPr="00433711" w:rsidRDefault="00501D0F" w:rsidP="00501D0F">
      <w:pPr>
        <w:spacing w:after="0"/>
        <w:rPr>
          <w:rFonts w:ascii="Arial" w:eastAsia="Times New Roman" w:hAnsi="Arial" w:cs="Arial"/>
          <w:b/>
          <w:bCs/>
          <w:lang w:eastAsia="en-GB"/>
        </w:rPr>
      </w:pPr>
      <w:r w:rsidRPr="00433711">
        <w:rPr>
          <w:rFonts w:ascii="Arial" w:eastAsia="Times New Roman" w:hAnsi="Arial" w:cs="Arial"/>
          <w:b/>
          <w:bCs/>
          <w:lang w:eastAsia="en-GB"/>
        </w:rPr>
        <w:t xml:space="preserve"> </w:t>
      </w:r>
    </w:p>
    <w:p w:rsidR="00501D0F" w:rsidRDefault="00501D0F" w:rsidP="00501D0F">
      <w:pPr>
        <w:spacing w:after="0"/>
        <w:jc w:val="right"/>
        <w:rPr>
          <w:rFonts w:ascii="Arial" w:eastAsia="Times New Roman" w:hAnsi="Arial" w:cs="Arial"/>
          <w:bCs/>
          <w:i/>
          <w:lang w:eastAsia="en-GB"/>
        </w:rPr>
      </w:pPr>
      <w:r w:rsidRPr="00F1325F">
        <w:rPr>
          <w:rFonts w:ascii="Arial" w:eastAsia="Times New Roman" w:hAnsi="Arial" w:cs="Arial"/>
          <w:bCs/>
          <w:i/>
          <w:lang w:eastAsia="en-GB"/>
        </w:rPr>
        <w:t>Source: NCHOD</w:t>
      </w:r>
      <w:r w:rsidR="00365FCB" w:rsidRPr="00F1325F">
        <w:rPr>
          <w:rFonts w:ascii="Arial" w:eastAsia="Times New Roman" w:hAnsi="Arial" w:cs="Arial"/>
          <w:bCs/>
          <w:i/>
          <w:lang w:eastAsia="en-GB"/>
        </w:rPr>
        <w:t>, 2009</w:t>
      </w:r>
    </w:p>
    <w:p w:rsidR="008C2F89" w:rsidRPr="008C2F89" w:rsidRDefault="008C2F89" w:rsidP="008C2F89">
      <w:pPr>
        <w:spacing w:after="0"/>
        <w:ind w:left="360"/>
        <w:rPr>
          <w:rFonts w:ascii="Arial" w:eastAsia="Times New Roman" w:hAnsi="Arial" w:cs="Arial"/>
          <w:bCs/>
          <w:i/>
          <w:lang w:eastAsia="en-GB"/>
        </w:rPr>
      </w:pPr>
      <w:proofErr w:type="gramStart"/>
      <w:r w:rsidRPr="008C2F89">
        <w:rPr>
          <w:rFonts w:ascii="Arial" w:eastAsia="Times New Roman" w:hAnsi="Arial" w:cs="Arial"/>
          <w:bCs/>
          <w:i/>
          <w:lang w:eastAsia="en-GB"/>
        </w:rPr>
        <w:t>*</w:t>
      </w:r>
      <w:r>
        <w:rPr>
          <w:rFonts w:ascii="Arial" w:eastAsia="Times New Roman" w:hAnsi="Arial" w:cs="Arial"/>
          <w:bCs/>
          <w:i/>
          <w:lang w:eastAsia="en-GB"/>
        </w:rPr>
        <w:t xml:space="preserve"> represents numbers that have been suppressed for reasons of confidentiality due to small numbers.</w:t>
      </w:r>
      <w:proofErr w:type="gramEnd"/>
    </w:p>
    <w:p w:rsidR="00501D0F" w:rsidRPr="00433711" w:rsidRDefault="00501D0F" w:rsidP="00501D0F">
      <w:pPr>
        <w:spacing w:after="0"/>
        <w:rPr>
          <w:rFonts w:ascii="Arial" w:eastAsia="Times New Roman" w:hAnsi="Arial" w:cs="Arial"/>
          <w:b/>
          <w:bCs/>
          <w:lang w:eastAsia="en-GB"/>
        </w:rPr>
      </w:pPr>
    </w:p>
    <w:p w:rsidR="00501D0F" w:rsidRDefault="00501D0F" w:rsidP="00501D0F">
      <w:pPr>
        <w:rPr>
          <w:rFonts w:ascii="Arial" w:eastAsia="Times New Roman" w:hAnsi="Arial" w:cs="Times New Roman"/>
          <w:b/>
          <w:bCs/>
          <w:color w:val="1F497D" w:themeColor="text2"/>
          <w:kern w:val="36"/>
          <w:sz w:val="28"/>
          <w:szCs w:val="29"/>
          <w:lang w:eastAsia="en-GB"/>
        </w:rPr>
      </w:pPr>
      <w:r>
        <w:br w:type="page"/>
      </w:r>
    </w:p>
    <w:p w:rsidR="00F63160" w:rsidRDefault="001C5DCC" w:rsidP="00575DB3">
      <w:pPr>
        <w:pStyle w:val="Heading1"/>
        <w:spacing w:before="0" w:beforeAutospacing="0" w:after="0" w:afterAutospacing="0" w:line="276" w:lineRule="auto"/>
      </w:pPr>
      <w:bookmarkStart w:id="21" w:name="_Toc256345732"/>
      <w:r>
        <w:lastRenderedPageBreak/>
        <w:t>The COPD Service Pathway in Wandsworth</w:t>
      </w:r>
      <w:bookmarkEnd w:id="21"/>
    </w:p>
    <w:p w:rsidR="00337D57" w:rsidRDefault="00107FB0" w:rsidP="00770E50">
      <w:pPr>
        <w:pStyle w:val="Heading2"/>
      </w:pPr>
      <w:bookmarkStart w:id="22" w:name="_Toc256345733"/>
      <w:r>
        <w:t>Service Pathway</w:t>
      </w:r>
      <w:bookmarkEnd w:id="22"/>
    </w:p>
    <w:p w:rsidR="00426117" w:rsidRPr="000340E9" w:rsidRDefault="00313064" w:rsidP="00426117">
      <w:pPr>
        <w:rPr>
          <w:rFonts w:ascii="Arial" w:hAnsi="Arial" w:cs="Arial"/>
        </w:rPr>
      </w:pPr>
      <w:r w:rsidRPr="000340E9">
        <w:rPr>
          <w:rFonts w:ascii="Arial" w:hAnsi="Arial" w:cs="Arial"/>
        </w:rPr>
        <w:t xml:space="preserve">Wandsworth has </w:t>
      </w:r>
      <w:r w:rsidR="00426117" w:rsidRPr="000340E9">
        <w:rPr>
          <w:rFonts w:ascii="Arial" w:hAnsi="Arial" w:cs="Arial"/>
        </w:rPr>
        <w:t xml:space="preserve">a stated service pathway for people with COPD. This is </w:t>
      </w:r>
      <w:r w:rsidR="006C108B" w:rsidRPr="000340E9">
        <w:rPr>
          <w:rFonts w:ascii="Arial" w:hAnsi="Arial" w:cs="Arial"/>
        </w:rPr>
        <w:t>adapted</w:t>
      </w:r>
      <w:r w:rsidR="00426117" w:rsidRPr="000340E9">
        <w:rPr>
          <w:rFonts w:ascii="Arial" w:hAnsi="Arial" w:cs="Arial"/>
        </w:rPr>
        <w:t xml:space="preserve"> from the pathway set out by the East of England SHA. </w:t>
      </w:r>
    </w:p>
    <w:p w:rsidR="00934DFF" w:rsidRPr="000340E9" w:rsidRDefault="00313064" w:rsidP="00D450A9">
      <w:pPr>
        <w:rPr>
          <w:rFonts w:ascii="Arial" w:hAnsi="Arial" w:cs="Arial"/>
        </w:rPr>
      </w:pPr>
      <w:r w:rsidRPr="000340E9">
        <w:rPr>
          <w:rFonts w:ascii="Arial" w:hAnsi="Arial" w:cs="Arial"/>
        </w:rPr>
        <w:t xml:space="preserve">The </w:t>
      </w:r>
      <w:r w:rsidR="006C108B" w:rsidRPr="000340E9">
        <w:rPr>
          <w:rFonts w:ascii="Arial" w:hAnsi="Arial" w:cs="Arial"/>
        </w:rPr>
        <w:t>service</w:t>
      </w:r>
      <w:r w:rsidRPr="000340E9">
        <w:rPr>
          <w:rFonts w:ascii="Arial" w:hAnsi="Arial" w:cs="Arial"/>
        </w:rPr>
        <w:t xml:space="preserve"> is based around three </w:t>
      </w:r>
      <w:r w:rsidR="006C108B" w:rsidRPr="000340E9">
        <w:rPr>
          <w:rFonts w:ascii="Arial" w:hAnsi="Arial" w:cs="Arial"/>
        </w:rPr>
        <w:t>escalating</w:t>
      </w:r>
      <w:r w:rsidRPr="000340E9">
        <w:rPr>
          <w:rFonts w:ascii="Arial" w:hAnsi="Arial" w:cs="Arial"/>
        </w:rPr>
        <w:t xml:space="preserve"> levels of clinical care: Primary Care</w:t>
      </w:r>
      <w:r w:rsidR="00704ADD" w:rsidRPr="000340E9">
        <w:rPr>
          <w:rFonts w:ascii="Arial" w:hAnsi="Arial" w:cs="Arial"/>
        </w:rPr>
        <w:t>,</w:t>
      </w:r>
      <w:r w:rsidRPr="000340E9">
        <w:rPr>
          <w:rFonts w:ascii="Arial" w:hAnsi="Arial" w:cs="Arial"/>
        </w:rPr>
        <w:t xml:space="preserve"> Specialist care and supra specialist care. At each sta</w:t>
      </w:r>
      <w:r w:rsidR="00D450A9" w:rsidRPr="000340E9">
        <w:rPr>
          <w:rFonts w:ascii="Arial" w:hAnsi="Arial" w:cs="Arial"/>
        </w:rPr>
        <w:t xml:space="preserve">ge there are </w:t>
      </w:r>
      <w:r w:rsidR="006C108B" w:rsidRPr="000340E9">
        <w:rPr>
          <w:rFonts w:ascii="Arial" w:hAnsi="Arial" w:cs="Arial"/>
        </w:rPr>
        <w:t>suggested diagnostic procedures</w:t>
      </w:r>
      <w:r w:rsidR="00D450A9" w:rsidRPr="000340E9">
        <w:rPr>
          <w:rFonts w:ascii="Arial" w:hAnsi="Arial" w:cs="Arial"/>
        </w:rPr>
        <w:t xml:space="preserve"> and </w:t>
      </w:r>
      <w:r w:rsidR="00386DED" w:rsidRPr="000340E9">
        <w:rPr>
          <w:rFonts w:ascii="Arial" w:hAnsi="Arial" w:cs="Arial"/>
        </w:rPr>
        <w:t>treatments that</w:t>
      </w:r>
      <w:r w:rsidR="006C108B" w:rsidRPr="000340E9">
        <w:rPr>
          <w:rFonts w:ascii="Arial" w:hAnsi="Arial" w:cs="Arial"/>
        </w:rPr>
        <w:t xml:space="preserve"> </w:t>
      </w:r>
      <w:r w:rsidR="00D450A9" w:rsidRPr="000340E9">
        <w:rPr>
          <w:rFonts w:ascii="Arial" w:hAnsi="Arial" w:cs="Arial"/>
        </w:rPr>
        <w:t xml:space="preserve">should be </w:t>
      </w:r>
      <w:r w:rsidR="00386DED" w:rsidRPr="000340E9">
        <w:rPr>
          <w:rFonts w:ascii="Arial" w:hAnsi="Arial" w:cs="Arial"/>
        </w:rPr>
        <w:t>decided by</w:t>
      </w:r>
      <w:r w:rsidR="006C108B" w:rsidRPr="000340E9">
        <w:rPr>
          <w:rFonts w:ascii="Arial" w:hAnsi="Arial" w:cs="Arial"/>
        </w:rPr>
        <w:t xml:space="preserve"> the patient and clinician in a shared decision making process </w:t>
      </w:r>
      <w:r w:rsidR="00D450A9" w:rsidRPr="000340E9">
        <w:rPr>
          <w:rFonts w:ascii="Arial" w:hAnsi="Arial" w:cs="Arial"/>
        </w:rPr>
        <w:t>on</w:t>
      </w:r>
      <w:r w:rsidR="006C108B" w:rsidRPr="000340E9">
        <w:rPr>
          <w:rFonts w:ascii="Arial" w:hAnsi="Arial" w:cs="Arial"/>
        </w:rPr>
        <w:t xml:space="preserve"> </w:t>
      </w:r>
      <w:r w:rsidR="00D450A9" w:rsidRPr="000340E9">
        <w:rPr>
          <w:rFonts w:ascii="Arial" w:hAnsi="Arial" w:cs="Arial"/>
        </w:rPr>
        <w:t xml:space="preserve">as a part of a </w:t>
      </w:r>
      <w:r w:rsidR="006C108B" w:rsidRPr="000340E9">
        <w:rPr>
          <w:rFonts w:ascii="Arial" w:hAnsi="Arial" w:cs="Arial"/>
        </w:rPr>
        <w:t>care plan.</w:t>
      </w:r>
    </w:p>
    <w:p w:rsidR="00934DFF" w:rsidRPr="000340E9" w:rsidRDefault="00313064" w:rsidP="00D450A9">
      <w:pPr>
        <w:rPr>
          <w:rFonts w:ascii="Arial" w:hAnsi="Arial" w:cs="Arial"/>
        </w:rPr>
      </w:pPr>
      <w:r w:rsidRPr="000340E9">
        <w:rPr>
          <w:rFonts w:ascii="Arial" w:hAnsi="Arial" w:cs="Arial"/>
        </w:rPr>
        <w:t xml:space="preserve">Community care is delivered by </w:t>
      </w:r>
      <w:r w:rsidR="00704ADD" w:rsidRPr="000340E9">
        <w:rPr>
          <w:rFonts w:ascii="Arial" w:hAnsi="Arial" w:cs="Arial"/>
        </w:rPr>
        <w:t xml:space="preserve">in general </w:t>
      </w:r>
      <w:r w:rsidR="00E8586A" w:rsidRPr="000340E9">
        <w:rPr>
          <w:rFonts w:ascii="Arial" w:hAnsi="Arial" w:cs="Arial"/>
        </w:rPr>
        <w:t>practice</w:t>
      </w:r>
      <w:r w:rsidR="00704ADD" w:rsidRPr="000340E9">
        <w:rPr>
          <w:rFonts w:ascii="Arial" w:hAnsi="Arial" w:cs="Arial"/>
        </w:rPr>
        <w:t>, supplemented by a</w:t>
      </w:r>
      <w:r w:rsidR="006C108B" w:rsidRPr="000340E9">
        <w:rPr>
          <w:rFonts w:ascii="Arial" w:hAnsi="Arial" w:cs="Arial"/>
        </w:rPr>
        <w:t xml:space="preserve"> team</w:t>
      </w:r>
      <w:r w:rsidRPr="000340E9">
        <w:rPr>
          <w:rFonts w:ascii="Arial" w:hAnsi="Arial" w:cs="Arial"/>
        </w:rPr>
        <w:t xml:space="preserve"> of 4.4 WTE equivalent</w:t>
      </w:r>
      <w:r w:rsidR="00D714FA" w:rsidRPr="000340E9">
        <w:rPr>
          <w:rFonts w:ascii="Arial" w:hAnsi="Arial" w:cs="Arial"/>
        </w:rPr>
        <w:t xml:space="preserve"> specialist respiratory nurses. These specialist nurses</w:t>
      </w:r>
      <w:r w:rsidRPr="000340E9">
        <w:rPr>
          <w:rFonts w:ascii="Arial" w:hAnsi="Arial" w:cs="Arial"/>
        </w:rPr>
        <w:t xml:space="preserve"> work closely wi</w:t>
      </w:r>
      <w:r w:rsidR="006C108B" w:rsidRPr="000340E9">
        <w:rPr>
          <w:rFonts w:ascii="Arial" w:hAnsi="Arial" w:cs="Arial"/>
        </w:rPr>
        <w:t xml:space="preserve">th GPs and the Respiratory </w:t>
      </w:r>
      <w:r w:rsidR="00614BF6" w:rsidRPr="000340E9">
        <w:rPr>
          <w:rFonts w:ascii="Arial" w:hAnsi="Arial" w:cs="Arial"/>
        </w:rPr>
        <w:t>Service</w:t>
      </w:r>
      <w:r w:rsidRPr="000340E9">
        <w:rPr>
          <w:rFonts w:ascii="Arial" w:hAnsi="Arial" w:cs="Arial"/>
        </w:rPr>
        <w:t xml:space="preserve"> at St </w:t>
      </w:r>
      <w:r w:rsidR="006C108B" w:rsidRPr="000340E9">
        <w:rPr>
          <w:rFonts w:ascii="Arial" w:hAnsi="Arial" w:cs="Arial"/>
        </w:rPr>
        <w:t>George’s Hospital</w:t>
      </w:r>
      <w:r w:rsidRPr="000340E9">
        <w:rPr>
          <w:rFonts w:ascii="Arial" w:hAnsi="Arial" w:cs="Arial"/>
        </w:rPr>
        <w:t>.</w:t>
      </w:r>
    </w:p>
    <w:p w:rsidR="00313064" w:rsidRPr="000340E9" w:rsidRDefault="00D450A9" w:rsidP="00D450A9">
      <w:pPr>
        <w:rPr>
          <w:rFonts w:ascii="Arial" w:hAnsi="Arial" w:cs="Arial"/>
        </w:rPr>
      </w:pPr>
      <w:r w:rsidRPr="000340E9">
        <w:rPr>
          <w:rFonts w:ascii="Arial" w:hAnsi="Arial" w:cs="Arial"/>
        </w:rPr>
        <w:t xml:space="preserve">The respiratory </w:t>
      </w:r>
      <w:r w:rsidR="006C108B" w:rsidRPr="000340E9">
        <w:rPr>
          <w:rFonts w:ascii="Arial" w:hAnsi="Arial" w:cs="Arial"/>
        </w:rPr>
        <w:t>nurses</w:t>
      </w:r>
      <w:r w:rsidR="00313064" w:rsidRPr="000340E9">
        <w:rPr>
          <w:rFonts w:ascii="Arial" w:hAnsi="Arial" w:cs="Arial"/>
        </w:rPr>
        <w:t xml:space="preserve"> run a </w:t>
      </w:r>
      <w:r w:rsidRPr="000340E9">
        <w:rPr>
          <w:rFonts w:ascii="Arial" w:hAnsi="Arial" w:cs="Arial"/>
        </w:rPr>
        <w:t xml:space="preserve">network of clinics at a number of practices </w:t>
      </w:r>
      <w:r w:rsidR="006C108B" w:rsidRPr="000340E9">
        <w:rPr>
          <w:rFonts w:ascii="Arial" w:hAnsi="Arial" w:cs="Arial"/>
        </w:rPr>
        <w:t>around the</w:t>
      </w:r>
      <w:r w:rsidRPr="000340E9">
        <w:rPr>
          <w:rFonts w:ascii="Arial" w:hAnsi="Arial" w:cs="Arial"/>
        </w:rPr>
        <w:t xml:space="preserve"> borough. They work with named GP practices, to </w:t>
      </w:r>
      <w:r w:rsidR="006C108B" w:rsidRPr="000340E9">
        <w:rPr>
          <w:rFonts w:ascii="Arial" w:hAnsi="Arial" w:cs="Arial"/>
        </w:rPr>
        <w:t>develop</w:t>
      </w:r>
      <w:r w:rsidRPr="000340E9">
        <w:rPr>
          <w:rFonts w:ascii="Arial" w:hAnsi="Arial" w:cs="Arial"/>
        </w:rPr>
        <w:t xml:space="preserve"> skills of practice teams in </w:t>
      </w:r>
      <w:r w:rsidR="006C108B" w:rsidRPr="000340E9">
        <w:rPr>
          <w:rFonts w:ascii="Arial" w:hAnsi="Arial" w:cs="Arial"/>
        </w:rPr>
        <w:t>managing</w:t>
      </w:r>
      <w:r w:rsidRPr="000340E9">
        <w:rPr>
          <w:rFonts w:ascii="Arial" w:hAnsi="Arial" w:cs="Arial"/>
        </w:rPr>
        <w:t xml:space="preserve"> patients with COPD.  They also work with less well patients at home, managing acute exacerbations, working with patients recently discharged from the hospital, and monitoring at risk patients, including through the use </w:t>
      </w:r>
      <w:r w:rsidR="006C108B" w:rsidRPr="000340E9">
        <w:rPr>
          <w:rFonts w:ascii="Arial" w:hAnsi="Arial" w:cs="Arial"/>
        </w:rPr>
        <w:t>of the Telehealth</w:t>
      </w:r>
      <w:r w:rsidRPr="000340E9">
        <w:rPr>
          <w:rFonts w:ascii="Arial" w:hAnsi="Arial" w:cs="Arial"/>
        </w:rPr>
        <w:t xml:space="preserve"> service.</w:t>
      </w:r>
    </w:p>
    <w:p w:rsidR="00D450A9" w:rsidRPr="000340E9" w:rsidRDefault="00D450A9" w:rsidP="00D450A9">
      <w:pPr>
        <w:rPr>
          <w:rFonts w:ascii="Arial" w:hAnsi="Arial" w:cs="Arial"/>
        </w:rPr>
      </w:pPr>
      <w:r w:rsidRPr="000340E9">
        <w:rPr>
          <w:rFonts w:ascii="Arial" w:hAnsi="Arial" w:cs="Arial"/>
        </w:rPr>
        <w:t xml:space="preserve">The </w:t>
      </w:r>
      <w:r w:rsidR="006C108B" w:rsidRPr="000340E9">
        <w:rPr>
          <w:rFonts w:ascii="Arial" w:hAnsi="Arial" w:cs="Arial"/>
        </w:rPr>
        <w:t>Respiratory</w:t>
      </w:r>
      <w:r w:rsidRPr="000340E9">
        <w:rPr>
          <w:rFonts w:ascii="Arial" w:hAnsi="Arial" w:cs="Arial"/>
        </w:rPr>
        <w:t xml:space="preserve"> </w:t>
      </w:r>
      <w:r w:rsidR="006C108B" w:rsidRPr="000340E9">
        <w:rPr>
          <w:rFonts w:ascii="Arial" w:hAnsi="Arial" w:cs="Arial"/>
        </w:rPr>
        <w:t>Service</w:t>
      </w:r>
      <w:r w:rsidRPr="000340E9">
        <w:rPr>
          <w:rFonts w:ascii="Arial" w:hAnsi="Arial" w:cs="Arial"/>
        </w:rPr>
        <w:t xml:space="preserve"> at St </w:t>
      </w:r>
      <w:r w:rsidR="006C108B" w:rsidRPr="000340E9">
        <w:rPr>
          <w:rFonts w:ascii="Arial" w:hAnsi="Arial" w:cs="Arial"/>
        </w:rPr>
        <w:t>George’s</w:t>
      </w:r>
      <w:r w:rsidRPr="000340E9">
        <w:rPr>
          <w:rFonts w:ascii="Arial" w:hAnsi="Arial" w:cs="Arial"/>
        </w:rPr>
        <w:t xml:space="preserve"> Hospital is </w:t>
      </w:r>
      <w:r w:rsidR="006C108B" w:rsidRPr="000340E9">
        <w:rPr>
          <w:rFonts w:ascii="Arial" w:hAnsi="Arial" w:cs="Arial"/>
        </w:rPr>
        <w:t>delivered</w:t>
      </w:r>
      <w:r w:rsidRPr="000340E9">
        <w:rPr>
          <w:rFonts w:ascii="Arial" w:hAnsi="Arial" w:cs="Arial"/>
        </w:rPr>
        <w:t xml:space="preserve"> by a team of </w:t>
      </w:r>
      <w:r w:rsidR="006C108B" w:rsidRPr="000340E9">
        <w:rPr>
          <w:rFonts w:ascii="Arial" w:hAnsi="Arial" w:cs="Arial"/>
        </w:rPr>
        <w:t>specialist</w:t>
      </w:r>
      <w:r w:rsidRPr="000340E9">
        <w:rPr>
          <w:rFonts w:ascii="Arial" w:hAnsi="Arial" w:cs="Arial"/>
        </w:rPr>
        <w:t xml:space="preserve"> clinicians, included a nurse consu</w:t>
      </w:r>
      <w:r w:rsidR="000340E9" w:rsidRPr="000340E9">
        <w:rPr>
          <w:rFonts w:ascii="Arial" w:hAnsi="Arial" w:cs="Arial"/>
        </w:rPr>
        <w:t xml:space="preserve">ltant, </w:t>
      </w:r>
      <w:r w:rsidR="006C108B" w:rsidRPr="000340E9">
        <w:rPr>
          <w:rFonts w:ascii="Arial" w:hAnsi="Arial" w:cs="Arial"/>
        </w:rPr>
        <w:t>specialist nurses</w:t>
      </w:r>
      <w:r w:rsidR="000340E9" w:rsidRPr="000340E9">
        <w:rPr>
          <w:rFonts w:ascii="Arial" w:hAnsi="Arial" w:cs="Arial"/>
        </w:rPr>
        <w:t>, respiratory consultants</w:t>
      </w:r>
      <w:r w:rsidR="006C108B" w:rsidRPr="000340E9">
        <w:rPr>
          <w:rFonts w:ascii="Arial" w:hAnsi="Arial" w:cs="Arial"/>
        </w:rPr>
        <w:t xml:space="preserve"> and a wider team of associated health professionals.</w:t>
      </w:r>
    </w:p>
    <w:p w:rsidR="006C108B" w:rsidRDefault="006C108B" w:rsidP="00770E50">
      <w:pPr>
        <w:pStyle w:val="Heading2"/>
      </w:pPr>
      <w:bookmarkStart w:id="23" w:name="_Toc256345734"/>
      <w:r>
        <w:t>Evidence base</w:t>
      </w:r>
      <w:r w:rsidR="0026691B">
        <w:t>d g</w:t>
      </w:r>
      <w:r>
        <w:t>uidance</w:t>
      </w:r>
      <w:bookmarkEnd w:id="23"/>
    </w:p>
    <w:p w:rsidR="006C108B" w:rsidRPr="00433711" w:rsidRDefault="006C108B" w:rsidP="004471D6">
      <w:pPr>
        <w:pStyle w:val="Heading3"/>
        <w:rPr>
          <w:rFonts w:eastAsia="Times New Roman"/>
          <w:lang w:eastAsia="en-GB"/>
        </w:rPr>
      </w:pPr>
      <w:bookmarkStart w:id="24" w:name="_Toc256345735"/>
      <w:r w:rsidRPr="00433711">
        <w:rPr>
          <w:rFonts w:eastAsia="Times New Roman"/>
          <w:lang w:eastAsia="en-GB"/>
        </w:rPr>
        <w:t>NICE Guidance</w:t>
      </w:r>
      <w:bookmarkEnd w:id="24"/>
    </w:p>
    <w:p w:rsidR="006C108B" w:rsidRPr="000340E9" w:rsidRDefault="006C108B" w:rsidP="006C108B">
      <w:pPr>
        <w:rPr>
          <w:rFonts w:ascii="Arial" w:hAnsi="Arial" w:cs="Arial"/>
          <w:lang w:eastAsia="en-GB"/>
        </w:rPr>
      </w:pPr>
      <w:r w:rsidRPr="000340E9">
        <w:rPr>
          <w:rFonts w:ascii="Arial" w:hAnsi="Arial" w:cs="Arial"/>
          <w:lang w:eastAsia="en-GB"/>
        </w:rPr>
        <w:t>Established standards of Care for COPD in primary care have been established, in the form of NICE guidance</w:t>
      </w:r>
      <w:r w:rsidRPr="000340E9">
        <w:rPr>
          <w:rStyle w:val="EndnoteReference"/>
          <w:rFonts w:ascii="Arial" w:eastAsia="Times New Roman" w:hAnsi="Arial" w:cs="Arial"/>
          <w:b/>
          <w:bCs/>
          <w:lang w:eastAsia="en-GB"/>
        </w:rPr>
        <w:endnoteReference w:id="19"/>
      </w:r>
      <w:r w:rsidRPr="000340E9">
        <w:rPr>
          <w:rFonts w:ascii="Arial" w:hAnsi="Arial" w:cs="Arial"/>
          <w:lang w:eastAsia="en-GB"/>
        </w:rPr>
        <w:t>. This guidance includes a number of factors, including the initial diagnosis and management of the disease, going on to cover management of acute exacerbations. NICE guidance is available in Appendix 1.</w:t>
      </w:r>
    </w:p>
    <w:p w:rsidR="006C108B" w:rsidRPr="000340E9" w:rsidRDefault="006C108B" w:rsidP="006C108B">
      <w:pPr>
        <w:rPr>
          <w:rFonts w:ascii="Arial" w:hAnsi="Arial" w:cs="Arial"/>
        </w:rPr>
      </w:pPr>
      <w:r w:rsidRPr="000340E9">
        <w:rPr>
          <w:rFonts w:ascii="Arial" w:hAnsi="Arial" w:cs="Arial"/>
        </w:rPr>
        <w:t xml:space="preserve">Wandsworth also has specific protocols for the management of stable COPD and acute exacerbations of COPD. These are set out in the Appendix 2. These protocols are designed to incorporate the national NICE guidance. </w:t>
      </w:r>
    </w:p>
    <w:p w:rsidR="00415759" w:rsidRDefault="00415759" w:rsidP="00313064">
      <w:pPr>
        <w:rPr>
          <w:rFonts w:ascii="Arial" w:eastAsia="Times New Roman" w:hAnsi="Arial" w:cs="Arial"/>
          <w:b/>
          <w:bCs/>
          <w:lang w:eastAsia="en-GB"/>
        </w:rPr>
      </w:pPr>
    </w:p>
    <w:p w:rsidR="00426117" w:rsidRDefault="00426117" w:rsidP="00313064">
      <w:pPr>
        <w:rPr>
          <w:rFonts w:ascii="Arial" w:eastAsia="Times New Roman" w:hAnsi="Arial" w:cs="Arial"/>
          <w:b/>
          <w:bCs/>
          <w:lang w:eastAsia="en-GB"/>
        </w:rPr>
      </w:pPr>
    </w:p>
    <w:p w:rsidR="00426117" w:rsidRDefault="00426117" w:rsidP="00575DB3">
      <w:pPr>
        <w:spacing w:after="0"/>
        <w:rPr>
          <w:rFonts w:ascii="Arial" w:eastAsia="Times New Roman" w:hAnsi="Arial" w:cs="Arial"/>
          <w:b/>
          <w:bCs/>
          <w:lang w:eastAsia="en-GB"/>
        </w:rPr>
      </w:pPr>
    </w:p>
    <w:p w:rsidR="00426117" w:rsidRDefault="00426117" w:rsidP="00575DB3">
      <w:pPr>
        <w:spacing w:after="0"/>
        <w:rPr>
          <w:rFonts w:ascii="Arial" w:eastAsia="Times New Roman" w:hAnsi="Arial" w:cs="Arial"/>
          <w:b/>
          <w:bCs/>
          <w:lang w:eastAsia="en-GB"/>
        </w:rPr>
      </w:pPr>
    </w:p>
    <w:p w:rsidR="00426117" w:rsidRDefault="00426117" w:rsidP="00575DB3">
      <w:pPr>
        <w:spacing w:after="0"/>
        <w:rPr>
          <w:rFonts w:ascii="Arial" w:eastAsia="Times New Roman" w:hAnsi="Arial" w:cs="Arial"/>
          <w:b/>
          <w:bCs/>
          <w:lang w:eastAsia="en-GB"/>
        </w:rPr>
      </w:pPr>
    </w:p>
    <w:p w:rsidR="00426117" w:rsidRDefault="00426117" w:rsidP="00575DB3">
      <w:pPr>
        <w:spacing w:after="0"/>
        <w:rPr>
          <w:rFonts w:ascii="Arial" w:eastAsia="Times New Roman" w:hAnsi="Arial" w:cs="Arial"/>
          <w:b/>
          <w:bCs/>
          <w:lang w:eastAsia="en-GB"/>
        </w:rPr>
      </w:pPr>
    </w:p>
    <w:p w:rsidR="00426117" w:rsidRDefault="00426117">
      <w:pPr>
        <w:rPr>
          <w:rFonts w:ascii="Arial" w:eastAsia="Times New Roman" w:hAnsi="Arial" w:cs="Arial"/>
          <w:b/>
          <w:bCs/>
          <w:lang w:eastAsia="en-GB"/>
        </w:rPr>
      </w:pPr>
      <w:r>
        <w:rPr>
          <w:rFonts w:ascii="Arial" w:eastAsia="Times New Roman" w:hAnsi="Arial" w:cs="Arial"/>
          <w:b/>
          <w:bCs/>
          <w:lang w:eastAsia="en-GB"/>
        </w:rPr>
        <w:br w:type="page"/>
      </w:r>
    </w:p>
    <w:p w:rsidR="006C108B" w:rsidRDefault="006C108B" w:rsidP="00770E50">
      <w:pPr>
        <w:pStyle w:val="Heading2"/>
      </w:pPr>
      <w:bookmarkStart w:id="25" w:name="_Toc256345736"/>
      <w:r>
        <w:lastRenderedPageBreak/>
        <w:t>NICE Priorities</w:t>
      </w:r>
      <w:bookmarkEnd w:id="25"/>
    </w:p>
    <w:p w:rsidR="00415759" w:rsidRDefault="006C108B" w:rsidP="00697795">
      <w:pPr>
        <w:spacing w:after="0"/>
        <w:rPr>
          <w:rFonts w:ascii="Arial" w:hAnsi="Arial" w:cs="Arial"/>
        </w:rPr>
      </w:pPr>
      <w:r>
        <w:rPr>
          <w:rFonts w:ascii="Arial" w:hAnsi="Arial" w:cs="Arial"/>
        </w:rPr>
        <w:t>The following areas were highlighted by the NICE guidance as priorities for implementation:</w:t>
      </w:r>
    </w:p>
    <w:p w:rsidR="006C108B" w:rsidRPr="00433711" w:rsidRDefault="006C108B" w:rsidP="00697795">
      <w:pPr>
        <w:spacing w:after="0"/>
        <w:rPr>
          <w:rFonts w:ascii="Arial" w:hAnsi="Arial" w:cs="Arial"/>
        </w:rPr>
      </w:pPr>
    </w:p>
    <w:p w:rsidR="00415759" w:rsidRPr="00433711" w:rsidRDefault="00415759" w:rsidP="00697795">
      <w:pPr>
        <w:autoSpaceDE w:val="0"/>
        <w:autoSpaceDN w:val="0"/>
        <w:adjustRightInd w:val="0"/>
        <w:spacing w:after="0"/>
        <w:rPr>
          <w:rFonts w:ascii="Frutiger-Bold" w:hAnsi="Frutiger-Bold" w:cs="Frutiger-Bold"/>
          <w:b/>
          <w:bCs/>
          <w:color w:val="000000"/>
        </w:rPr>
      </w:pPr>
      <w:r w:rsidRPr="00433711">
        <w:rPr>
          <w:rFonts w:ascii="Frutiger-Bold" w:hAnsi="Frutiger-Bold" w:cs="Frutiger-Bold"/>
          <w:b/>
          <w:bCs/>
          <w:color w:val="000000"/>
        </w:rPr>
        <w:t>Diagnose COPD</w:t>
      </w:r>
    </w:p>
    <w:p w:rsidR="00415759" w:rsidRPr="006C108B" w:rsidRDefault="00415759" w:rsidP="00697795">
      <w:pPr>
        <w:pStyle w:val="ListParagraph"/>
        <w:numPr>
          <w:ilvl w:val="0"/>
          <w:numId w:val="24"/>
        </w:numPr>
        <w:autoSpaceDE w:val="0"/>
        <w:autoSpaceDN w:val="0"/>
        <w:adjustRightInd w:val="0"/>
        <w:spacing w:after="0"/>
        <w:ind w:left="426" w:right="-330" w:hanging="284"/>
        <w:rPr>
          <w:rFonts w:ascii="Frutiger-Roman" w:hAnsi="Frutiger-Roman" w:cs="Frutiger-Roman"/>
          <w:color w:val="231F20"/>
        </w:rPr>
      </w:pPr>
      <w:r w:rsidRPr="006C108B">
        <w:rPr>
          <w:rFonts w:ascii="Frutiger-Roman" w:hAnsi="Frutiger-Roman" w:cs="Frutiger-Roman"/>
          <w:color w:val="231F20"/>
        </w:rPr>
        <w:t>A diagnosis of COPD should be considered in patients over the age of 35 who have a risk factor (generally smoking) and who present with exertional breathlessness, chronic cough, regular sputum production, frequent winter ‘bronchitis’ or wheeze.</w:t>
      </w:r>
    </w:p>
    <w:p w:rsidR="00415759" w:rsidRPr="006C108B" w:rsidRDefault="00415759" w:rsidP="00697795">
      <w:pPr>
        <w:pStyle w:val="ListParagraph"/>
        <w:numPr>
          <w:ilvl w:val="0"/>
          <w:numId w:val="24"/>
        </w:numPr>
        <w:autoSpaceDE w:val="0"/>
        <w:autoSpaceDN w:val="0"/>
        <w:adjustRightInd w:val="0"/>
        <w:spacing w:after="0"/>
        <w:ind w:left="426" w:right="-330" w:hanging="284"/>
        <w:rPr>
          <w:rFonts w:ascii="Frutiger-Roman" w:hAnsi="Frutiger-Roman" w:cs="Frutiger-Roman"/>
          <w:color w:val="231F20"/>
        </w:rPr>
      </w:pPr>
      <w:r w:rsidRPr="006C108B">
        <w:rPr>
          <w:rFonts w:ascii="Frutiger-Roman" w:hAnsi="Frutiger-Roman" w:cs="Frutiger-Roman"/>
          <w:color w:val="231F20"/>
        </w:rPr>
        <w:t xml:space="preserve">The presence of airflow obstruction should be confirmed by performing spirometry. All health professionals </w:t>
      </w:r>
      <w:r w:rsidR="00307AEC" w:rsidRPr="006C108B">
        <w:rPr>
          <w:rFonts w:ascii="Frutiger-Roman" w:hAnsi="Frutiger-Roman" w:cs="Frutiger-Roman"/>
          <w:color w:val="231F20"/>
        </w:rPr>
        <w:t>managing patients</w:t>
      </w:r>
      <w:r w:rsidRPr="006C108B">
        <w:rPr>
          <w:rFonts w:ascii="Frutiger-Roman" w:hAnsi="Frutiger-Roman" w:cs="Frutiger-Roman"/>
          <w:color w:val="231F20"/>
        </w:rPr>
        <w:t xml:space="preserve"> with COPD should have access to spirometry and be competent in the interpretation of the results.</w:t>
      </w:r>
    </w:p>
    <w:p w:rsidR="00415759" w:rsidRPr="006C108B" w:rsidRDefault="00415759" w:rsidP="00697795">
      <w:pPr>
        <w:autoSpaceDE w:val="0"/>
        <w:autoSpaceDN w:val="0"/>
        <w:adjustRightInd w:val="0"/>
        <w:spacing w:after="0"/>
        <w:ind w:left="426" w:right="-330" w:hanging="284"/>
        <w:rPr>
          <w:rFonts w:ascii="Frutiger-Bold" w:hAnsi="Frutiger-Bold" w:cs="Frutiger-Bold"/>
          <w:b/>
          <w:bCs/>
          <w:color w:val="000000"/>
          <w:sz w:val="16"/>
          <w:szCs w:val="16"/>
        </w:rPr>
      </w:pPr>
    </w:p>
    <w:p w:rsidR="00415759" w:rsidRPr="00433711" w:rsidRDefault="00415759" w:rsidP="00697795">
      <w:pPr>
        <w:autoSpaceDE w:val="0"/>
        <w:autoSpaceDN w:val="0"/>
        <w:adjustRightInd w:val="0"/>
        <w:spacing w:after="0"/>
        <w:ind w:left="426" w:right="-330" w:hanging="284"/>
        <w:rPr>
          <w:rFonts w:ascii="Frutiger-Bold" w:hAnsi="Frutiger-Bold" w:cs="Frutiger-Bold"/>
          <w:b/>
          <w:bCs/>
          <w:color w:val="000000"/>
        </w:rPr>
      </w:pPr>
      <w:r w:rsidRPr="00433711">
        <w:rPr>
          <w:rFonts w:ascii="Frutiger-Bold" w:hAnsi="Frutiger-Bold" w:cs="Frutiger-Bold"/>
          <w:b/>
          <w:bCs/>
          <w:color w:val="000000"/>
        </w:rPr>
        <w:t>Stop smoking</w:t>
      </w:r>
    </w:p>
    <w:p w:rsidR="00415759" w:rsidRPr="006C108B" w:rsidRDefault="00415759" w:rsidP="00697795">
      <w:pPr>
        <w:pStyle w:val="ListParagraph"/>
        <w:numPr>
          <w:ilvl w:val="0"/>
          <w:numId w:val="22"/>
        </w:numPr>
        <w:autoSpaceDE w:val="0"/>
        <w:autoSpaceDN w:val="0"/>
        <w:adjustRightInd w:val="0"/>
        <w:spacing w:after="0"/>
        <w:ind w:left="426" w:right="-330" w:hanging="284"/>
        <w:rPr>
          <w:rFonts w:ascii="Frutiger-Roman" w:hAnsi="Frutiger-Roman" w:cs="Frutiger-Roman"/>
          <w:color w:val="231F20"/>
        </w:rPr>
      </w:pPr>
      <w:r w:rsidRPr="006C108B">
        <w:rPr>
          <w:rFonts w:ascii="Frutiger-Roman" w:hAnsi="Frutiger-Roman" w:cs="Frutiger-Roman"/>
          <w:color w:val="231F20"/>
        </w:rPr>
        <w:t>Encouraging patients with COPD to stop smoking is one of the most important components of their management. All COPD patients still smoking, regardless of age, should be encouraged to stop, and offered help to do so, at every opportunity.</w:t>
      </w:r>
    </w:p>
    <w:p w:rsidR="00415759" w:rsidRPr="006C108B" w:rsidRDefault="00415759" w:rsidP="00697795">
      <w:pPr>
        <w:autoSpaceDE w:val="0"/>
        <w:autoSpaceDN w:val="0"/>
        <w:adjustRightInd w:val="0"/>
        <w:spacing w:after="0"/>
        <w:ind w:left="426" w:right="-330" w:hanging="284"/>
        <w:rPr>
          <w:rFonts w:ascii="Frutiger-Bold" w:hAnsi="Frutiger-Bold" w:cs="Frutiger-Bold"/>
          <w:b/>
          <w:bCs/>
          <w:color w:val="000000"/>
          <w:sz w:val="16"/>
          <w:szCs w:val="16"/>
        </w:rPr>
      </w:pPr>
    </w:p>
    <w:p w:rsidR="00415759" w:rsidRPr="00433711" w:rsidRDefault="00415759" w:rsidP="00697795">
      <w:pPr>
        <w:autoSpaceDE w:val="0"/>
        <w:autoSpaceDN w:val="0"/>
        <w:adjustRightInd w:val="0"/>
        <w:spacing w:after="0"/>
        <w:ind w:left="426" w:right="-330" w:hanging="284"/>
        <w:rPr>
          <w:rFonts w:ascii="Frutiger-Bold" w:hAnsi="Frutiger-Bold" w:cs="Frutiger-Bold"/>
          <w:b/>
          <w:bCs/>
          <w:color w:val="000000"/>
        </w:rPr>
      </w:pPr>
      <w:r w:rsidRPr="00433711">
        <w:rPr>
          <w:rFonts w:ascii="Frutiger-Bold" w:hAnsi="Frutiger-Bold" w:cs="Frutiger-Bold"/>
          <w:b/>
          <w:bCs/>
          <w:color w:val="000000"/>
        </w:rPr>
        <w:t>Effective inhaled therapy</w:t>
      </w:r>
    </w:p>
    <w:p w:rsidR="00415759" w:rsidRPr="006C108B" w:rsidRDefault="00415759" w:rsidP="00697795">
      <w:pPr>
        <w:pStyle w:val="ListParagraph"/>
        <w:numPr>
          <w:ilvl w:val="0"/>
          <w:numId w:val="20"/>
        </w:numPr>
        <w:autoSpaceDE w:val="0"/>
        <w:autoSpaceDN w:val="0"/>
        <w:adjustRightInd w:val="0"/>
        <w:spacing w:after="0"/>
        <w:ind w:left="426" w:right="-330" w:hanging="284"/>
        <w:rPr>
          <w:rFonts w:ascii="Frutiger-Roman" w:hAnsi="Frutiger-Roman" w:cs="Frutiger-Roman"/>
          <w:color w:val="231F20"/>
        </w:rPr>
      </w:pPr>
      <w:r w:rsidRPr="006C108B">
        <w:rPr>
          <w:rFonts w:ascii="Frutiger-Roman" w:hAnsi="Frutiger-Roman" w:cs="Frutiger-Roman"/>
          <w:color w:val="231F20"/>
        </w:rPr>
        <w:t xml:space="preserve">Long-acting inhaled bronchodilators (beta2-agonists or </w:t>
      </w:r>
      <w:proofErr w:type="spellStart"/>
      <w:r w:rsidRPr="006C108B">
        <w:rPr>
          <w:rFonts w:ascii="Frutiger-Roman" w:hAnsi="Frutiger-Roman" w:cs="Frutiger-Roman"/>
          <w:color w:val="231F20"/>
        </w:rPr>
        <w:t>anticholinergics</w:t>
      </w:r>
      <w:proofErr w:type="spellEnd"/>
      <w:r w:rsidRPr="006C108B">
        <w:rPr>
          <w:rFonts w:ascii="Frutiger-Roman" w:hAnsi="Frutiger-Roman" w:cs="Frutiger-Roman"/>
          <w:color w:val="231F20"/>
        </w:rPr>
        <w:t>) should be used to control symptoms and improve exercise capacity in patients who continue to experience problems despite the use of short-acting drugs.</w:t>
      </w:r>
    </w:p>
    <w:p w:rsidR="00415759" w:rsidRPr="006C108B" w:rsidRDefault="00415759" w:rsidP="00697795">
      <w:pPr>
        <w:pStyle w:val="ListParagraph"/>
        <w:numPr>
          <w:ilvl w:val="0"/>
          <w:numId w:val="20"/>
        </w:numPr>
        <w:autoSpaceDE w:val="0"/>
        <w:autoSpaceDN w:val="0"/>
        <w:adjustRightInd w:val="0"/>
        <w:spacing w:after="0"/>
        <w:ind w:left="426" w:right="-330" w:hanging="284"/>
        <w:rPr>
          <w:rFonts w:ascii="Frutiger-Roman" w:hAnsi="Frutiger-Roman" w:cs="Frutiger-Roman"/>
          <w:color w:val="231F20"/>
        </w:rPr>
      </w:pPr>
      <w:r w:rsidRPr="006C108B">
        <w:rPr>
          <w:rFonts w:ascii="Frutiger-Roman" w:hAnsi="Frutiger-Roman" w:cs="Frutiger-Roman"/>
          <w:color w:val="231F20"/>
        </w:rPr>
        <w:t>Inhaled corticosteroids should be added to long-acting bronchodilators to decrease exacerbation frequency in patients with an FEV1 less than or equal to 50% predicted who have had two or more exacerbations requiring treatment with antibiotics or oral corticosteroids in a 12-month period.</w:t>
      </w:r>
    </w:p>
    <w:p w:rsidR="00415759" w:rsidRPr="006C108B" w:rsidRDefault="00415759" w:rsidP="00697795">
      <w:pPr>
        <w:autoSpaceDE w:val="0"/>
        <w:autoSpaceDN w:val="0"/>
        <w:adjustRightInd w:val="0"/>
        <w:spacing w:after="0"/>
        <w:ind w:left="426" w:right="-330" w:hanging="284"/>
        <w:rPr>
          <w:rFonts w:ascii="Frutiger-Bold" w:hAnsi="Frutiger-Bold" w:cs="Frutiger-Bold"/>
          <w:b/>
          <w:bCs/>
          <w:color w:val="000000"/>
          <w:sz w:val="16"/>
          <w:szCs w:val="16"/>
        </w:rPr>
      </w:pPr>
    </w:p>
    <w:p w:rsidR="00415759" w:rsidRPr="00433711" w:rsidRDefault="00415759" w:rsidP="00697795">
      <w:pPr>
        <w:autoSpaceDE w:val="0"/>
        <w:autoSpaceDN w:val="0"/>
        <w:adjustRightInd w:val="0"/>
        <w:spacing w:after="0"/>
        <w:ind w:left="426" w:right="-330" w:hanging="284"/>
        <w:rPr>
          <w:rFonts w:ascii="Frutiger-Bold" w:hAnsi="Frutiger-Bold" w:cs="Frutiger-Bold"/>
          <w:b/>
          <w:bCs/>
          <w:color w:val="000000"/>
        </w:rPr>
      </w:pPr>
      <w:r w:rsidRPr="00433711">
        <w:rPr>
          <w:rFonts w:ascii="Frutiger-Bold" w:hAnsi="Frutiger-Bold" w:cs="Frutiger-Bold"/>
          <w:b/>
          <w:bCs/>
          <w:color w:val="000000"/>
        </w:rPr>
        <w:t>Pulmonary rehabilitation for all who need it</w:t>
      </w:r>
    </w:p>
    <w:p w:rsidR="00415759" w:rsidRPr="006C108B" w:rsidRDefault="00415759" w:rsidP="00697795">
      <w:pPr>
        <w:pStyle w:val="ListParagraph"/>
        <w:numPr>
          <w:ilvl w:val="0"/>
          <w:numId w:val="18"/>
        </w:numPr>
        <w:autoSpaceDE w:val="0"/>
        <w:autoSpaceDN w:val="0"/>
        <w:adjustRightInd w:val="0"/>
        <w:spacing w:after="0"/>
        <w:ind w:left="426" w:right="-330" w:hanging="284"/>
        <w:rPr>
          <w:rFonts w:ascii="Frutiger-Roman" w:hAnsi="Frutiger-Roman" w:cs="Frutiger-Roman"/>
          <w:color w:val="231F20"/>
        </w:rPr>
      </w:pPr>
      <w:r w:rsidRPr="006C108B">
        <w:rPr>
          <w:rFonts w:ascii="Frutiger-Roman" w:hAnsi="Frutiger-Roman" w:cs="Frutiger-Roman"/>
          <w:color w:val="231F20"/>
        </w:rPr>
        <w:t>Pulmonary rehabilitation should be made available to all appropriate patients with COPD.</w:t>
      </w:r>
    </w:p>
    <w:p w:rsidR="00415759" w:rsidRPr="006C108B" w:rsidRDefault="00415759" w:rsidP="00697795">
      <w:pPr>
        <w:autoSpaceDE w:val="0"/>
        <w:autoSpaceDN w:val="0"/>
        <w:adjustRightInd w:val="0"/>
        <w:spacing w:after="0"/>
        <w:ind w:left="426" w:right="-330" w:hanging="284"/>
        <w:rPr>
          <w:rFonts w:ascii="Frutiger-Bold" w:hAnsi="Frutiger-Bold" w:cs="Frutiger-Bold"/>
          <w:b/>
          <w:bCs/>
          <w:color w:val="000000"/>
          <w:sz w:val="16"/>
          <w:szCs w:val="16"/>
        </w:rPr>
      </w:pPr>
    </w:p>
    <w:p w:rsidR="00415759" w:rsidRPr="00433711" w:rsidRDefault="00415759" w:rsidP="00697795">
      <w:pPr>
        <w:autoSpaceDE w:val="0"/>
        <w:autoSpaceDN w:val="0"/>
        <w:adjustRightInd w:val="0"/>
        <w:spacing w:after="0"/>
        <w:ind w:left="426" w:right="-330" w:hanging="284"/>
        <w:rPr>
          <w:rFonts w:ascii="Frutiger-Bold" w:hAnsi="Frutiger-Bold" w:cs="Frutiger-Bold"/>
          <w:b/>
          <w:bCs/>
          <w:color w:val="000000"/>
        </w:rPr>
      </w:pPr>
      <w:r w:rsidRPr="00433711">
        <w:rPr>
          <w:rFonts w:ascii="Frutiger-Bold" w:hAnsi="Frutiger-Bold" w:cs="Frutiger-Bold"/>
          <w:b/>
          <w:bCs/>
          <w:color w:val="000000"/>
        </w:rPr>
        <w:t>Use non-invasive ventilation</w:t>
      </w:r>
    </w:p>
    <w:p w:rsidR="00415759" w:rsidRPr="00A82EAC" w:rsidRDefault="00415759" w:rsidP="00697795">
      <w:pPr>
        <w:pStyle w:val="ListParagraph"/>
        <w:numPr>
          <w:ilvl w:val="0"/>
          <w:numId w:val="13"/>
        </w:numPr>
        <w:autoSpaceDE w:val="0"/>
        <w:autoSpaceDN w:val="0"/>
        <w:adjustRightInd w:val="0"/>
        <w:spacing w:after="0"/>
        <w:ind w:left="426" w:right="-330" w:hanging="284"/>
        <w:rPr>
          <w:rFonts w:ascii="Frutiger-Roman" w:hAnsi="Frutiger-Roman" w:cs="Frutiger-Roman"/>
          <w:color w:val="231F20"/>
        </w:rPr>
      </w:pPr>
      <w:r w:rsidRPr="00A82EAC">
        <w:rPr>
          <w:rFonts w:ascii="Frutiger-Roman" w:hAnsi="Frutiger-Roman" w:cs="Frutiger-Roman"/>
          <w:color w:val="231F20"/>
        </w:rPr>
        <w:t xml:space="preserve">Non-invasive ventilation (NIV) should be used as the treatment of choice for persistent </w:t>
      </w:r>
      <w:proofErr w:type="spellStart"/>
      <w:r w:rsidRPr="00A82EAC">
        <w:rPr>
          <w:rFonts w:ascii="Frutiger-Roman" w:hAnsi="Frutiger-Roman" w:cs="Frutiger-Roman"/>
          <w:color w:val="231F20"/>
        </w:rPr>
        <w:t>hypercapnic</w:t>
      </w:r>
      <w:proofErr w:type="spellEnd"/>
      <w:r w:rsidRPr="00A82EAC">
        <w:rPr>
          <w:rFonts w:ascii="Frutiger-Roman" w:hAnsi="Frutiger-Roman" w:cs="Frutiger-Roman"/>
          <w:color w:val="231F20"/>
        </w:rPr>
        <w:t xml:space="preserve"> </w:t>
      </w:r>
      <w:proofErr w:type="spellStart"/>
      <w:r w:rsidRPr="00A82EAC">
        <w:rPr>
          <w:rFonts w:ascii="Frutiger-Roman" w:hAnsi="Frutiger-Roman" w:cs="Frutiger-Roman"/>
          <w:color w:val="231F20"/>
        </w:rPr>
        <w:t>ventilatory</w:t>
      </w:r>
      <w:proofErr w:type="spellEnd"/>
      <w:r w:rsidRPr="00A82EAC">
        <w:rPr>
          <w:rFonts w:ascii="Frutiger-Roman" w:hAnsi="Frutiger-Roman" w:cs="Frutiger-Roman"/>
          <w:color w:val="231F20"/>
        </w:rPr>
        <w:t xml:space="preserve"> failure during exacerbations not responding to medical therapy. It should be delivered by staff trained in its application,</w:t>
      </w:r>
      <w:r w:rsidR="00A82EAC" w:rsidRPr="00A82EAC">
        <w:rPr>
          <w:rFonts w:ascii="Frutiger-Roman" w:hAnsi="Frutiger-Roman" w:cs="Frutiger-Roman"/>
          <w:color w:val="231F20"/>
        </w:rPr>
        <w:t xml:space="preserve"> </w:t>
      </w:r>
      <w:r w:rsidRPr="00A82EAC">
        <w:rPr>
          <w:rFonts w:ascii="Frutiger-Roman" w:hAnsi="Frutiger-Roman" w:cs="Frutiger-Roman"/>
          <w:color w:val="231F20"/>
        </w:rPr>
        <w:t>experienced in its use and aware of its limitations.</w:t>
      </w:r>
    </w:p>
    <w:p w:rsidR="00415759" w:rsidRPr="0088180A" w:rsidRDefault="00415759" w:rsidP="00697795">
      <w:pPr>
        <w:pStyle w:val="ListParagraph"/>
        <w:numPr>
          <w:ilvl w:val="0"/>
          <w:numId w:val="13"/>
        </w:numPr>
        <w:autoSpaceDE w:val="0"/>
        <w:autoSpaceDN w:val="0"/>
        <w:adjustRightInd w:val="0"/>
        <w:spacing w:after="0"/>
        <w:ind w:left="426" w:right="-330" w:hanging="284"/>
        <w:rPr>
          <w:rFonts w:ascii="Frutiger-Roman" w:hAnsi="Frutiger-Roman" w:cs="Frutiger-Roman"/>
          <w:color w:val="231F20"/>
        </w:rPr>
      </w:pPr>
      <w:r w:rsidRPr="0088180A">
        <w:rPr>
          <w:rFonts w:ascii="Frutiger-Roman" w:hAnsi="Frutiger-Roman" w:cs="Frutiger-Roman"/>
          <w:color w:val="231F20"/>
        </w:rPr>
        <w:t>When patients are started on NIV, there should be a clear plan covering what to do in the event of deterioration and</w:t>
      </w:r>
      <w:r>
        <w:rPr>
          <w:rFonts w:ascii="Frutiger-Roman" w:hAnsi="Frutiger-Roman" w:cs="Frutiger-Roman"/>
          <w:color w:val="231F20"/>
        </w:rPr>
        <w:t xml:space="preserve"> </w:t>
      </w:r>
      <w:r w:rsidRPr="0088180A">
        <w:rPr>
          <w:rFonts w:ascii="Frutiger-Roman" w:hAnsi="Frutiger-Roman" w:cs="Frutiger-Roman"/>
          <w:color w:val="231F20"/>
        </w:rPr>
        <w:t>ceilings of therapy should be agreed.</w:t>
      </w:r>
    </w:p>
    <w:p w:rsidR="00415759" w:rsidRPr="006C108B" w:rsidRDefault="00415759" w:rsidP="00697795">
      <w:pPr>
        <w:autoSpaceDE w:val="0"/>
        <w:autoSpaceDN w:val="0"/>
        <w:adjustRightInd w:val="0"/>
        <w:spacing w:after="0"/>
        <w:ind w:left="426" w:right="-330" w:hanging="284"/>
        <w:rPr>
          <w:rFonts w:ascii="Frutiger-Bold" w:hAnsi="Frutiger-Bold" w:cs="Frutiger-Bold"/>
          <w:b/>
          <w:bCs/>
          <w:color w:val="000000"/>
          <w:sz w:val="16"/>
          <w:szCs w:val="16"/>
        </w:rPr>
      </w:pPr>
    </w:p>
    <w:p w:rsidR="00415759" w:rsidRPr="00433711" w:rsidRDefault="00415759" w:rsidP="00697795">
      <w:pPr>
        <w:autoSpaceDE w:val="0"/>
        <w:autoSpaceDN w:val="0"/>
        <w:adjustRightInd w:val="0"/>
        <w:spacing w:after="0"/>
        <w:ind w:left="426" w:right="-330" w:hanging="284"/>
        <w:rPr>
          <w:rFonts w:ascii="Frutiger-Bold" w:hAnsi="Frutiger-Bold" w:cs="Frutiger-Bold"/>
          <w:b/>
          <w:bCs/>
          <w:color w:val="000000"/>
        </w:rPr>
      </w:pPr>
      <w:r w:rsidRPr="00433711">
        <w:rPr>
          <w:rFonts w:ascii="Frutiger-Bold" w:hAnsi="Frutiger-Bold" w:cs="Frutiger-Bold"/>
          <w:b/>
          <w:bCs/>
          <w:color w:val="000000"/>
        </w:rPr>
        <w:t>Manage exacerbations</w:t>
      </w:r>
    </w:p>
    <w:p w:rsidR="00415759" w:rsidRPr="006C108B" w:rsidRDefault="00415759" w:rsidP="00697795">
      <w:pPr>
        <w:pStyle w:val="ListParagraph"/>
        <w:numPr>
          <w:ilvl w:val="0"/>
          <w:numId w:val="13"/>
        </w:numPr>
        <w:autoSpaceDE w:val="0"/>
        <w:autoSpaceDN w:val="0"/>
        <w:adjustRightInd w:val="0"/>
        <w:spacing w:after="0"/>
        <w:ind w:left="426" w:right="-330" w:hanging="284"/>
        <w:rPr>
          <w:rFonts w:ascii="Frutiger-Roman" w:hAnsi="Frutiger-Roman" w:cs="Frutiger-Roman"/>
          <w:color w:val="231F20"/>
        </w:rPr>
      </w:pPr>
      <w:r w:rsidRPr="006C108B">
        <w:rPr>
          <w:rFonts w:ascii="Frutiger-Roman" w:hAnsi="Frutiger-Roman" w:cs="Frutiger-Roman"/>
          <w:color w:val="231F20"/>
        </w:rPr>
        <w:t>The frequency of exacerbations should be reduced by appropriate use of inhaled corticosteroids and bronchodilators, and vaccinations.</w:t>
      </w:r>
    </w:p>
    <w:p w:rsidR="00415759" w:rsidRPr="006C108B" w:rsidRDefault="00415759" w:rsidP="00697795">
      <w:pPr>
        <w:pStyle w:val="ListParagraph"/>
        <w:numPr>
          <w:ilvl w:val="0"/>
          <w:numId w:val="13"/>
        </w:numPr>
        <w:autoSpaceDE w:val="0"/>
        <w:autoSpaceDN w:val="0"/>
        <w:adjustRightInd w:val="0"/>
        <w:spacing w:after="0"/>
        <w:ind w:left="426" w:right="-330" w:hanging="284"/>
        <w:rPr>
          <w:rFonts w:ascii="Frutiger-Roman" w:hAnsi="Frutiger-Roman" w:cs="Frutiger-Roman"/>
          <w:color w:val="231F20"/>
        </w:rPr>
      </w:pPr>
      <w:r w:rsidRPr="006C108B">
        <w:rPr>
          <w:rFonts w:ascii="Frutiger-Roman" w:hAnsi="Frutiger-Roman" w:cs="Frutiger-Roman"/>
          <w:color w:val="231F20"/>
        </w:rPr>
        <w:t>The impact of exacerbations should be minimised by:</w:t>
      </w:r>
    </w:p>
    <w:p w:rsidR="00415759" w:rsidRPr="006C108B" w:rsidRDefault="00415759" w:rsidP="00697795">
      <w:pPr>
        <w:pStyle w:val="ListParagraph"/>
        <w:numPr>
          <w:ilvl w:val="1"/>
          <w:numId w:val="13"/>
        </w:numPr>
        <w:autoSpaceDE w:val="0"/>
        <w:autoSpaceDN w:val="0"/>
        <w:adjustRightInd w:val="0"/>
        <w:spacing w:after="0"/>
        <w:ind w:right="-330"/>
        <w:rPr>
          <w:rFonts w:ascii="Frutiger-Roman" w:hAnsi="Frutiger-Roman" w:cs="Frutiger-Roman"/>
          <w:color w:val="231F20"/>
        </w:rPr>
      </w:pPr>
      <w:r w:rsidRPr="006C108B">
        <w:rPr>
          <w:rFonts w:ascii="Frutiger-Roman" w:hAnsi="Frutiger-Roman" w:cs="Frutiger-Roman"/>
          <w:color w:val="231F20"/>
        </w:rPr>
        <w:t>giving self-management advice on responding promptly to the symptoms of an exacerbation</w:t>
      </w:r>
    </w:p>
    <w:p w:rsidR="00415759" w:rsidRPr="006C108B" w:rsidRDefault="00415759" w:rsidP="00697795">
      <w:pPr>
        <w:pStyle w:val="ListParagraph"/>
        <w:numPr>
          <w:ilvl w:val="1"/>
          <w:numId w:val="13"/>
        </w:numPr>
        <w:autoSpaceDE w:val="0"/>
        <w:autoSpaceDN w:val="0"/>
        <w:adjustRightInd w:val="0"/>
        <w:spacing w:after="0"/>
        <w:ind w:right="-330"/>
        <w:rPr>
          <w:rFonts w:ascii="Frutiger-Roman" w:hAnsi="Frutiger-Roman" w:cs="Frutiger-Roman"/>
          <w:color w:val="231F20"/>
        </w:rPr>
      </w:pPr>
      <w:r w:rsidRPr="006C108B">
        <w:rPr>
          <w:rFonts w:ascii="Frutiger-Roman" w:hAnsi="Frutiger-Roman" w:cs="Frutiger-Roman"/>
          <w:color w:val="231F20"/>
        </w:rPr>
        <w:t>starting appropriate treatment with oral steroids and/or antibiotics</w:t>
      </w:r>
    </w:p>
    <w:p w:rsidR="00415759" w:rsidRPr="006C108B" w:rsidRDefault="00415759" w:rsidP="00697795">
      <w:pPr>
        <w:pStyle w:val="ListParagraph"/>
        <w:numPr>
          <w:ilvl w:val="1"/>
          <w:numId w:val="13"/>
        </w:numPr>
        <w:autoSpaceDE w:val="0"/>
        <w:autoSpaceDN w:val="0"/>
        <w:adjustRightInd w:val="0"/>
        <w:spacing w:after="0"/>
        <w:ind w:right="-330"/>
        <w:rPr>
          <w:rFonts w:ascii="Frutiger-Roman" w:hAnsi="Frutiger-Roman" w:cs="Frutiger-Roman"/>
          <w:color w:val="231F20"/>
        </w:rPr>
      </w:pPr>
      <w:r w:rsidRPr="006C108B">
        <w:rPr>
          <w:rFonts w:ascii="Frutiger-Roman" w:hAnsi="Frutiger-Roman" w:cs="Frutiger-Roman"/>
          <w:color w:val="231F20"/>
        </w:rPr>
        <w:t>use of NIV when indicated</w:t>
      </w:r>
    </w:p>
    <w:p w:rsidR="00415759" w:rsidRPr="006C108B" w:rsidRDefault="00415759" w:rsidP="00697795">
      <w:pPr>
        <w:pStyle w:val="ListParagraph"/>
        <w:numPr>
          <w:ilvl w:val="1"/>
          <w:numId w:val="13"/>
        </w:numPr>
        <w:autoSpaceDE w:val="0"/>
        <w:autoSpaceDN w:val="0"/>
        <w:adjustRightInd w:val="0"/>
        <w:spacing w:after="0"/>
        <w:ind w:right="-330"/>
        <w:rPr>
          <w:rFonts w:ascii="Frutiger-Roman" w:hAnsi="Frutiger-Roman" w:cs="Frutiger-Roman"/>
          <w:color w:val="231F20"/>
        </w:rPr>
      </w:pPr>
      <w:proofErr w:type="gramStart"/>
      <w:r w:rsidRPr="006C108B">
        <w:rPr>
          <w:rFonts w:ascii="Frutiger-Roman" w:hAnsi="Frutiger-Roman" w:cs="Frutiger-Roman"/>
          <w:color w:val="231F20"/>
        </w:rPr>
        <w:t>use</w:t>
      </w:r>
      <w:proofErr w:type="gramEnd"/>
      <w:r w:rsidRPr="006C108B">
        <w:rPr>
          <w:rFonts w:ascii="Frutiger-Roman" w:hAnsi="Frutiger-Roman" w:cs="Frutiger-Roman"/>
          <w:color w:val="231F20"/>
        </w:rPr>
        <w:t xml:space="preserve"> of hospital-at-home or assisted-discharge schemes.</w:t>
      </w:r>
    </w:p>
    <w:p w:rsidR="00415759" w:rsidRPr="006C108B" w:rsidRDefault="00415759" w:rsidP="00697795">
      <w:pPr>
        <w:autoSpaceDE w:val="0"/>
        <w:autoSpaceDN w:val="0"/>
        <w:adjustRightInd w:val="0"/>
        <w:spacing w:after="0"/>
        <w:ind w:left="426" w:right="-330" w:hanging="284"/>
        <w:rPr>
          <w:rFonts w:ascii="Frutiger-Bold" w:hAnsi="Frutiger-Bold" w:cs="Frutiger-Bold"/>
          <w:b/>
          <w:bCs/>
          <w:color w:val="000000"/>
          <w:sz w:val="16"/>
          <w:szCs w:val="16"/>
        </w:rPr>
      </w:pPr>
    </w:p>
    <w:p w:rsidR="00415759" w:rsidRPr="00433711" w:rsidRDefault="00415759" w:rsidP="00697795">
      <w:pPr>
        <w:autoSpaceDE w:val="0"/>
        <w:autoSpaceDN w:val="0"/>
        <w:adjustRightInd w:val="0"/>
        <w:spacing w:after="0"/>
        <w:ind w:left="426" w:right="-330" w:hanging="284"/>
        <w:rPr>
          <w:rFonts w:ascii="Frutiger-Bold" w:hAnsi="Frutiger-Bold" w:cs="Frutiger-Bold"/>
          <w:b/>
          <w:bCs/>
          <w:color w:val="000000"/>
        </w:rPr>
      </w:pPr>
      <w:r w:rsidRPr="00433711">
        <w:rPr>
          <w:rFonts w:ascii="Frutiger-Bold" w:hAnsi="Frutiger-Bold" w:cs="Frutiger-Bold"/>
          <w:b/>
          <w:bCs/>
          <w:color w:val="000000"/>
        </w:rPr>
        <w:t>Multidisciplinary working</w:t>
      </w:r>
    </w:p>
    <w:p w:rsidR="00415759" w:rsidRPr="00433711" w:rsidRDefault="00415759" w:rsidP="00697795">
      <w:pPr>
        <w:spacing w:after="0"/>
        <w:ind w:left="426" w:right="-330" w:hanging="284"/>
        <w:rPr>
          <w:rFonts w:ascii="Arial" w:eastAsia="Times New Roman" w:hAnsi="Arial" w:cs="Arial"/>
          <w:b/>
          <w:lang w:eastAsia="en-GB"/>
        </w:rPr>
      </w:pPr>
      <w:r w:rsidRPr="00433711">
        <w:rPr>
          <w:rFonts w:ascii="Frutiger-Roman" w:hAnsi="Frutiger-Roman" w:cs="Frutiger-Roman"/>
          <w:color w:val="231F20"/>
        </w:rPr>
        <w:t>• COPD care should be delivered by a multidisciplinary team.</w:t>
      </w:r>
    </w:p>
    <w:p w:rsidR="00415759" w:rsidRPr="00433711" w:rsidRDefault="00415759" w:rsidP="00697795">
      <w:pPr>
        <w:spacing w:after="0"/>
        <w:rPr>
          <w:rFonts w:ascii="Arial" w:eastAsia="Times New Roman" w:hAnsi="Arial" w:cs="Arial"/>
          <w:b/>
          <w:lang w:eastAsia="en-GB"/>
        </w:rPr>
      </w:pPr>
    </w:p>
    <w:p w:rsidR="00415759" w:rsidRPr="008A0365" w:rsidRDefault="00614BF6" w:rsidP="00697795">
      <w:pPr>
        <w:spacing w:after="0"/>
        <w:rPr>
          <w:rFonts w:ascii="Arial" w:eastAsia="Times New Roman" w:hAnsi="Arial" w:cs="Arial"/>
          <w:lang w:eastAsia="en-GB"/>
        </w:rPr>
      </w:pPr>
      <w:r w:rsidRPr="008A0365">
        <w:rPr>
          <w:rFonts w:ascii="Arial" w:hAnsi="Arial" w:cs="Arial"/>
        </w:rPr>
        <w:lastRenderedPageBreak/>
        <w:t xml:space="preserve">Since the introduction of the NICE </w:t>
      </w:r>
      <w:r w:rsidR="00386DED" w:rsidRPr="008A0365">
        <w:rPr>
          <w:rFonts w:ascii="Arial" w:hAnsi="Arial" w:cs="Arial"/>
        </w:rPr>
        <w:t>guidance</w:t>
      </w:r>
      <w:r w:rsidRPr="008A0365">
        <w:rPr>
          <w:rFonts w:ascii="Arial" w:hAnsi="Arial" w:cs="Arial"/>
        </w:rPr>
        <w:t xml:space="preserve"> on the diagnosis and management of the disease, it has issued further</w:t>
      </w:r>
      <w:r w:rsidRPr="008A0365">
        <w:rPr>
          <w:rFonts w:ascii="Arial" w:eastAsia="Times New Roman" w:hAnsi="Arial" w:cs="Arial"/>
          <w:lang w:eastAsia="en-GB"/>
        </w:rPr>
        <w:t xml:space="preserve"> specific guidance on the issues of early discharge and pulmonary rehabilitation.</w:t>
      </w:r>
    </w:p>
    <w:p w:rsidR="005132AC" w:rsidRPr="00697795" w:rsidRDefault="005132AC" w:rsidP="00697795">
      <w:pPr>
        <w:spacing w:after="0"/>
        <w:rPr>
          <w:rFonts w:ascii="Arial" w:eastAsia="Times New Roman" w:hAnsi="Arial" w:cs="Arial"/>
          <w:b/>
          <w:lang w:eastAsia="en-GB"/>
        </w:rPr>
      </w:pPr>
    </w:p>
    <w:p w:rsidR="005132AC" w:rsidRPr="00697795" w:rsidRDefault="00501D0F" w:rsidP="00697795">
      <w:pPr>
        <w:autoSpaceDE w:val="0"/>
        <w:autoSpaceDN w:val="0"/>
        <w:adjustRightInd w:val="0"/>
        <w:spacing w:after="0"/>
        <w:rPr>
          <w:rFonts w:ascii="Arial" w:hAnsi="Arial" w:cs="Arial"/>
          <w:b/>
          <w:color w:val="000000"/>
        </w:rPr>
      </w:pPr>
      <w:r w:rsidRPr="00697795">
        <w:rPr>
          <w:rFonts w:ascii="Arial" w:hAnsi="Arial" w:cs="Arial"/>
          <w:b/>
          <w:color w:val="000000"/>
        </w:rPr>
        <w:t>E</w:t>
      </w:r>
      <w:r w:rsidR="005132AC" w:rsidRPr="00697795">
        <w:rPr>
          <w:rFonts w:ascii="Arial" w:hAnsi="Arial" w:cs="Arial"/>
          <w:b/>
          <w:color w:val="000000"/>
        </w:rPr>
        <w:t>arly assisted discharge schemes</w:t>
      </w:r>
    </w:p>
    <w:p w:rsidR="00997069" w:rsidRPr="00697795" w:rsidRDefault="00C07B07" w:rsidP="00697795">
      <w:pPr>
        <w:autoSpaceDE w:val="0"/>
        <w:autoSpaceDN w:val="0"/>
        <w:adjustRightInd w:val="0"/>
        <w:spacing w:after="0"/>
        <w:rPr>
          <w:rFonts w:ascii="Arial" w:hAnsi="Arial" w:cs="Arial"/>
          <w:color w:val="000000"/>
        </w:rPr>
      </w:pPr>
      <w:r w:rsidRPr="00697795">
        <w:rPr>
          <w:rFonts w:ascii="Arial" w:hAnsi="Arial" w:cs="Arial"/>
          <w:color w:val="000000"/>
        </w:rPr>
        <w:t xml:space="preserve">NICE has set out specific criteria for the </w:t>
      </w:r>
      <w:r w:rsidR="004471D6" w:rsidRPr="00697795">
        <w:rPr>
          <w:rFonts w:ascii="Arial" w:hAnsi="Arial" w:cs="Arial"/>
          <w:color w:val="000000"/>
        </w:rPr>
        <w:t>commissioning</w:t>
      </w:r>
      <w:r w:rsidRPr="00697795">
        <w:rPr>
          <w:rFonts w:ascii="Arial" w:hAnsi="Arial" w:cs="Arial"/>
          <w:color w:val="000000"/>
        </w:rPr>
        <w:t xml:space="preserve"> of early assisted </w:t>
      </w:r>
      <w:r w:rsidR="004471D6" w:rsidRPr="00697795">
        <w:rPr>
          <w:rFonts w:ascii="Arial" w:hAnsi="Arial" w:cs="Arial"/>
          <w:color w:val="000000"/>
        </w:rPr>
        <w:t>discharged</w:t>
      </w:r>
      <w:r w:rsidRPr="00697795">
        <w:rPr>
          <w:rFonts w:ascii="Arial" w:hAnsi="Arial" w:cs="Arial"/>
          <w:color w:val="000000"/>
        </w:rPr>
        <w:t xml:space="preserve"> schemes</w:t>
      </w:r>
      <w:r w:rsidR="00997069" w:rsidRPr="00697795">
        <w:rPr>
          <w:rStyle w:val="EndnoteReference"/>
          <w:rFonts w:ascii="Arial" w:hAnsi="Arial" w:cs="Arial"/>
          <w:color w:val="000000"/>
        </w:rPr>
        <w:endnoteReference w:id="20"/>
      </w:r>
      <w:r w:rsidR="00997069" w:rsidRPr="00697795">
        <w:rPr>
          <w:rFonts w:ascii="Arial" w:hAnsi="Arial" w:cs="Arial"/>
          <w:color w:val="000000"/>
        </w:rPr>
        <w:t xml:space="preserve">. </w:t>
      </w:r>
    </w:p>
    <w:p w:rsidR="00997069" w:rsidRPr="00697795" w:rsidRDefault="00997069" w:rsidP="00697795">
      <w:pPr>
        <w:pStyle w:val="NormalWeb"/>
        <w:spacing w:line="276" w:lineRule="auto"/>
        <w:rPr>
          <w:rFonts w:ascii="Arial" w:hAnsi="Arial" w:cs="Arial"/>
          <w:sz w:val="22"/>
          <w:szCs w:val="22"/>
        </w:rPr>
      </w:pPr>
      <w:r w:rsidRPr="00697795">
        <w:rPr>
          <w:rFonts w:ascii="Arial" w:hAnsi="Arial" w:cs="Arial"/>
          <w:sz w:val="22"/>
          <w:szCs w:val="22"/>
        </w:rPr>
        <w:t>The key components of an effective assisted-discharge service for patients with chronic obstructive pulmonary disease (COPD) are:</w:t>
      </w:r>
    </w:p>
    <w:p w:rsidR="00997069" w:rsidRPr="00697795" w:rsidRDefault="00997069" w:rsidP="00697795">
      <w:pPr>
        <w:numPr>
          <w:ilvl w:val="0"/>
          <w:numId w:val="25"/>
        </w:numPr>
        <w:spacing w:before="100" w:beforeAutospacing="1" w:after="100" w:afterAutospacing="1"/>
        <w:rPr>
          <w:rFonts w:ascii="Arial" w:hAnsi="Arial" w:cs="Arial"/>
        </w:rPr>
      </w:pPr>
      <w:r w:rsidRPr="00697795">
        <w:rPr>
          <w:rFonts w:ascii="Arial" w:hAnsi="Arial" w:cs="Arial"/>
        </w:rPr>
        <w:t xml:space="preserve">full assessment of the patient within secondary care to determine if they are appropriate to receive assisted-discharge </w:t>
      </w:r>
    </w:p>
    <w:p w:rsidR="00997069" w:rsidRPr="00697795" w:rsidRDefault="00997069" w:rsidP="00697795">
      <w:pPr>
        <w:numPr>
          <w:ilvl w:val="0"/>
          <w:numId w:val="25"/>
        </w:numPr>
        <w:spacing w:before="100" w:beforeAutospacing="1" w:after="100" w:afterAutospacing="1"/>
        <w:rPr>
          <w:rFonts w:ascii="Arial" w:hAnsi="Arial" w:cs="Arial"/>
        </w:rPr>
      </w:pPr>
      <w:r w:rsidRPr="00697795">
        <w:rPr>
          <w:rFonts w:ascii="Arial" w:hAnsi="Arial" w:cs="Arial"/>
        </w:rPr>
        <w:t xml:space="preserve">support in the community for patients deemed appropriate for assisted-discharge </w:t>
      </w:r>
    </w:p>
    <w:p w:rsidR="00997069" w:rsidRPr="00697795" w:rsidRDefault="00997069" w:rsidP="00697795">
      <w:pPr>
        <w:numPr>
          <w:ilvl w:val="0"/>
          <w:numId w:val="25"/>
        </w:numPr>
        <w:spacing w:before="100" w:beforeAutospacing="1" w:after="100" w:afterAutospacing="1"/>
        <w:rPr>
          <w:rFonts w:ascii="Arial" w:hAnsi="Arial" w:cs="Arial"/>
        </w:rPr>
      </w:pPr>
      <w:proofErr w:type="gramStart"/>
      <w:r w:rsidRPr="00697795">
        <w:rPr>
          <w:rFonts w:ascii="Arial" w:hAnsi="Arial" w:cs="Arial"/>
        </w:rPr>
        <w:t>developing</w:t>
      </w:r>
      <w:proofErr w:type="gramEnd"/>
      <w:r w:rsidRPr="00697795">
        <w:rPr>
          <w:rFonts w:ascii="Arial" w:hAnsi="Arial" w:cs="Arial"/>
        </w:rPr>
        <w:t xml:space="preserve"> a high-quality assisted-discharge service. </w:t>
      </w:r>
    </w:p>
    <w:p w:rsidR="00997069" w:rsidRPr="00697795" w:rsidRDefault="00997069" w:rsidP="00697795">
      <w:pPr>
        <w:autoSpaceDE w:val="0"/>
        <w:autoSpaceDN w:val="0"/>
        <w:adjustRightInd w:val="0"/>
        <w:spacing w:after="0"/>
        <w:rPr>
          <w:rFonts w:ascii="Arial" w:hAnsi="Arial" w:cs="Arial"/>
          <w:b/>
          <w:color w:val="000000"/>
        </w:rPr>
      </w:pPr>
      <w:r w:rsidRPr="00697795">
        <w:rPr>
          <w:rFonts w:ascii="Arial" w:hAnsi="Arial" w:cs="Arial"/>
          <w:b/>
          <w:color w:val="000000"/>
        </w:rPr>
        <w:t>Pulmonary rehabilitation</w:t>
      </w:r>
    </w:p>
    <w:p w:rsidR="00E62C87" w:rsidRPr="00697795" w:rsidRDefault="00997069" w:rsidP="00697795">
      <w:pPr>
        <w:autoSpaceDE w:val="0"/>
        <w:autoSpaceDN w:val="0"/>
        <w:adjustRightInd w:val="0"/>
        <w:spacing w:after="0"/>
        <w:rPr>
          <w:rFonts w:ascii="Arial" w:hAnsi="Arial" w:cs="Arial"/>
          <w:color w:val="000000"/>
        </w:rPr>
      </w:pPr>
      <w:r w:rsidRPr="00697795">
        <w:rPr>
          <w:rFonts w:ascii="Arial" w:hAnsi="Arial" w:cs="Arial"/>
          <w:color w:val="000000"/>
        </w:rPr>
        <w:t xml:space="preserve">NICE has set out specific criteria for the </w:t>
      </w:r>
      <w:r w:rsidR="004471D6" w:rsidRPr="00697795">
        <w:rPr>
          <w:rFonts w:ascii="Arial" w:hAnsi="Arial" w:cs="Arial"/>
          <w:color w:val="000000"/>
        </w:rPr>
        <w:t>provision</w:t>
      </w:r>
      <w:r w:rsidRPr="00697795">
        <w:rPr>
          <w:rFonts w:ascii="Arial" w:hAnsi="Arial" w:cs="Arial"/>
          <w:color w:val="000000"/>
        </w:rPr>
        <w:t xml:space="preserve"> of pulmonary </w:t>
      </w:r>
      <w:r w:rsidR="004471D6" w:rsidRPr="00697795">
        <w:rPr>
          <w:rFonts w:ascii="Arial" w:hAnsi="Arial" w:cs="Arial"/>
          <w:color w:val="000000"/>
        </w:rPr>
        <w:t>rehab</w:t>
      </w:r>
      <w:r w:rsidRPr="00697795">
        <w:rPr>
          <w:rFonts w:ascii="Arial" w:hAnsi="Arial" w:cs="Arial"/>
          <w:color w:val="000000"/>
        </w:rPr>
        <w:t xml:space="preserve"> services schemes</w:t>
      </w:r>
      <w:r w:rsidRPr="00697795">
        <w:rPr>
          <w:rStyle w:val="EndnoteReference"/>
          <w:rFonts w:ascii="Arial" w:hAnsi="Arial" w:cs="Arial"/>
          <w:color w:val="000000"/>
        </w:rPr>
        <w:endnoteReference w:id="21"/>
      </w:r>
      <w:r w:rsidRPr="00697795">
        <w:rPr>
          <w:rFonts w:ascii="Arial" w:hAnsi="Arial" w:cs="Arial"/>
          <w:color w:val="000000"/>
        </w:rPr>
        <w:t>.</w:t>
      </w:r>
      <w:r w:rsidR="00E62C87" w:rsidRPr="00697795">
        <w:rPr>
          <w:rFonts w:ascii="Arial" w:hAnsi="Arial" w:cs="Arial"/>
          <w:color w:val="000000"/>
        </w:rPr>
        <w:t xml:space="preserve"> </w:t>
      </w:r>
    </w:p>
    <w:p w:rsidR="00E62C87" w:rsidRPr="00697795" w:rsidRDefault="00E62C87" w:rsidP="00697795">
      <w:pPr>
        <w:autoSpaceDE w:val="0"/>
        <w:autoSpaceDN w:val="0"/>
        <w:adjustRightInd w:val="0"/>
        <w:spacing w:after="0"/>
        <w:rPr>
          <w:rFonts w:ascii="Arial" w:hAnsi="Arial" w:cs="Arial"/>
          <w:color w:val="0000FF"/>
        </w:rPr>
      </w:pPr>
    </w:p>
    <w:p w:rsidR="00415759" w:rsidRPr="00697795" w:rsidRDefault="00415759" w:rsidP="00697795">
      <w:pPr>
        <w:spacing w:after="0"/>
        <w:rPr>
          <w:rStyle w:val="Heading2Char"/>
          <w:rFonts w:eastAsiaTheme="majorEastAsia" w:cs="Arial"/>
          <w:sz w:val="22"/>
        </w:rPr>
      </w:pPr>
    </w:p>
    <w:p w:rsidR="00364196" w:rsidRDefault="00364196" w:rsidP="00697795">
      <w:pPr>
        <w:spacing w:after="0"/>
        <w:rPr>
          <w:rStyle w:val="Heading2Char"/>
          <w:rFonts w:eastAsiaTheme="majorEastAsia"/>
          <w:sz w:val="22"/>
        </w:rPr>
      </w:pPr>
    </w:p>
    <w:p w:rsidR="00D714FA" w:rsidRDefault="00D714FA" w:rsidP="00697795">
      <w:pPr>
        <w:rPr>
          <w:rFonts w:ascii="Arial" w:eastAsia="Times New Roman" w:hAnsi="Arial" w:cs="Times New Roman"/>
          <w:b/>
          <w:bCs/>
          <w:color w:val="1F497D" w:themeColor="text2"/>
          <w:kern w:val="36"/>
          <w:sz w:val="28"/>
          <w:szCs w:val="29"/>
          <w:lang w:eastAsia="en-GB"/>
        </w:rPr>
      </w:pPr>
      <w:r>
        <w:br w:type="page"/>
      </w:r>
    </w:p>
    <w:p w:rsidR="00415759" w:rsidRDefault="001A3AF3" w:rsidP="00575DB3">
      <w:pPr>
        <w:pStyle w:val="Heading1"/>
        <w:spacing w:before="0" w:beforeAutospacing="0" w:after="0" w:afterAutospacing="0" w:line="276" w:lineRule="auto"/>
      </w:pPr>
      <w:bookmarkStart w:id="26" w:name="_Toc256345737"/>
      <w:r>
        <w:lastRenderedPageBreak/>
        <w:t>Measuring performance of s</w:t>
      </w:r>
      <w:r w:rsidR="00415759">
        <w:t>ervices</w:t>
      </w:r>
      <w:bookmarkEnd w:id="26"/>
    </w:p>
    <w:p w:rsidR="00224E45" w:rsidRDefault="00224E45" w:rsidP="00575DB3">
      <w:pPr>
        <w:pStyle w:val="Heading1"/>
        <w:spacing w:before="0" w:beforeAutospacing="0" w:after="0" w:afterAutospacing="0" w:line="276" w:lineRule="auto"/>
      </w:pPr>
    </w:p>
    <w:p w:rsidR="004A23C6" w:rsidRPr="000340E9" w:rsidRDefault="00201014" w:rsidP="00224E45">
      <w:pPr>
        <w:rPr>
          <w:rStyle w:val="Heading2Char"/>
          <w:rFonts w:eastAsiaTheme="minorHAnsi" w:cs="Arial"/>
          <w:bCs w:val="0"/>
          <w:color w:val="auto"/>
          <w:sz w:val="22"/>
          <w:lang w:eastAsia="en-US"/>
        </w:rPr>
      </w:pPr>
      <w:bookmarkStart w:id="27" w:name="_Toc256345738"/>
      <w:r w:rsidRPr="000340E9">
        <w:rPr>
          <w:rStyle w:val="Heading2Char"/>
          <w:rFonts w:eastAsiaTheme="minorHAnsi" w:cs="Arial"/>
          <w:bCs w:val="0"/>
          <w:color w:val="auto"/>
          <w:sz w:val="22"/>
          <w:lang w:eastAsia="en-US"/>
        </w:rPr>
        <w:t xml:space="preserve">The </w:t>
      </w:r>
      <w:r w:rsidR="00415759" w:rsidRPr="000340E9">
        <w:rPr>
          <w:rStyle w:val="Heading2Char"/>
          <w:rFonts w:eastAsiaTheme="minorHAnsi" w:cs="Arial"/>
          <w:bCs w:val="0"/>
          <w:color w:val="auto"/>
          <w:sz w:val="22"/>
          <w:lang w:eastAsia="en-US"/>
        </w:rPr>
        <w:t>performance</w:t>
      </w:r>
      <w:r w:rsidRPr="000340E9">
        <w:rPr>
          <w:rStyle w:val="Heading2Char"/>
          <w:rFonts w:eastAsiaTheme="minorHAnsi" w:cs="Arial"/>
          <w:bCs w:val="0"/>
          <w:color w:val="auto"/>
          <w:sz w:val="22"/>
          <w:lang w:eastAsia="en-US"/>
        </w:rPr>
        <w:t xml:space="preserve"> of the COPD services can be measured through evaluation of a number of indicators. These include both outcome indicators and process indicators.</w:t>
      </w:r>
      <w:r w:rsidR="00B813FA" w:rsidRPr="000340E9">
        <w:rPr>
          <w:rStyle w:val="Heading2Char"/>
          <w:rFonts w:eastAsiaTheme="minorHAnsi" w:cs="Arial"/>
          <w:bCs w:val="0"/>
          <w:color w:val="auto"/>
          <w:sz w:val="22"/>
          <w:lang w:eastAsia="en-US"/>
        </w:rPr>
        <w:t xml:space="preserve"> </w:t>
      </w:r>
      <w:r w:rsidR="004471D6" w:rsidRPr="000340E9">
        <w:rPr>
          <w:rStyle w:val="Heading2Char"/>
          <w:rFonts w:eastAsiaTheme="minorHAnsi" w:cs="Arial"/>
          <w:bCs w:val="0"/>
          <w:color w:val="auto"/>
          <w:sz w:val="22"/>
          <w:lang w:eastAsia="en-US"/>
        </w:rPr>
        <w:t xml:space="preserve">Some of these indicators include data derived at the general practice level from the QOF system; other indicators included data </w:t>
      </w:r>
      <w:r w:rsidR="00697795" w:rsidRPr="000340E9">
        <w:rPr>
          <w:rStyle w:val="Heading2Char"/>
          <w:rFonts w:eastAsiaTheme="minorHAnsi" w:cs="Arial"/>
          <w:bCs w:val="0"/>
          <w:color w:val="auto"/>
          <w:sz w:val="22"/>
          <w:lang w:eastAsia="en-US"/>
        </w:rPr>
        <w:t>from</w:t>
      </w:r>
      <w:r w:rsidR="004471D6" w:rsidRPr="000340E9">
        <w:rPr>
          <w:rStyle w:val="Heading2Char"/>
          <w:rFonts w:eastAsiaTheme="minorHAnsi" w:cs="Arial"/>
          <w:bCs w:val="0"/>
          <w:color w:val="auto"/>
          <w:sz w:val="22"/>
          <w:lang w:eastAsia="en-US"/>
        </w:rPr>
        <w:t xml:space="preserve"> hospitals about inpatient admissions from the Hospital Episode Statistics.</w:t>
      </w:r>
      <w:bookmarkEnd w:id="27"/>
    </w:p>
    <w:p w:rsidR="00B813FA" w:rsidRPr="000340E9" w:rsidRDefault="00B813FA" w:rsidP="00224E45">
      <w:pPr>
        <w:rPr>
          <w:rStyle w:val="Heading2Char"/>
          <w:rFonts w:eastAsiaTheme="minorHAnsi" w:cs="Arial"/>
          <w:bCs w:val="0"/>
          <w:color w:val="auto"/>
          <w:sz w:val="22"/>
          <w:lang w:eastAsia="en-US"/>
        </w:rPr>
      </w:pPr>
      <w:bookmarkStart w:id="28" w:name="_Toc256345739"/>
      <w:r w:rsidRPr="000340E9">
        <w:rPr>
          <w:rStyle w:val="Heading2Char"/>
          <w:rFonts w:eastAsiaTheme="minorHAnsi" w:cs="Arial"/>
          <w:bCs w:val="0"/>
          <w:color w:val="auto"/>
          <w:sz w:val="22"/>
          <w:lang w:eastAsia="en-US"/>
        </w:rPr>
        <w:t>Different measures are available to consider different parts of service performance. In some areas, there is a lack of data about the quality of the service available.</w:t>
      </w:r>
      <w:bookmarkEnd w:id="28"/>
    </w:p>
    <w:p w:rsidR="00B813FA" w:rsidRPr="00B813FA" w:rsidRDefault="008509EC" w:rsidP="00770E50">
      <w:pPr>
        <w:pStyle w:val="Heading2"/>
        <w:rPr>
          <w:rFonts w:eastAsiaTheme="majorEastAsia"/>
        </w:rPr>
      </w:pPr>
      <w:bookmarkStart w:id="29" w:name="_Toc256345740"/>
      <w:r w:rsidRPr="00B813FA">
        <w:rPr>
          <w:rFonts w:eastAsiaTheme="majorEastAsia"/>
        </w:rPr>
        <w:t>Diagnosis</w:t>
      </w:r>
      <w:bookmarkEnd w:id="29"/>
    </w:p>
    <w:p w:rsidR="00B813FA" w:rsidRDefault="00B813FA" w:rsidP="00770E50">
      <w:pPr>
        <w:pStyle w:val="Heading3"/>
      </w:pPr>
      <w:bookmarkStart w:id="30" w:name="_Toc256345741"/>
      <w:r w:rsidRPr="00B813FA">
        <w:t>Key Performance Measure</w:t>
      </w:r>
      <w:r w:rsidR="008509EC">
        <w:t xml:space="preserve">: </w:t>
      </w:r>
      <w:r>
        <w:t>FEV1 Measured</w:t>
      </w:r>
      <w:bookmarkEnd w:id="30"/>
    </w:p>
    <w:p w:rsidR="00B813FA" w:rsidRPr="000340E9" w:rsidRDefault="00B813FA" w:rsidP="00B813FA">
      <w:pPr>
        <w:rPr>
          <w:rFonts w:ascii="Arial" w:hAnsi="Arial" w:cs="Arial"/>
        </w:rPr>
      </w:pPr>
      <w:r w:rsidRPr="000340E9">
        <w:rPr>
          <w:rFonts w:ascii="Arial" w:hAnsi="Arial" w:cs="Arial"/>
        </w:rPr>
        <w:t xml:space="preserve">Forced expiratory Volume over 1 second is a key test for diagnosis of COPD. It is useful to compare </w:t>
      </w:r>
      <w:r w:rsidR="004471D6" w:rsidRPr="000340E9">
        <w:rPr>
          <w:rFonts w:ascii="Arial" w:hAnsi="Arial" w:cs="Arial"/>
        </w:rPr>
        <w:t>restrictive</w:t>
      </w:r>
      <w:r w:rsidRPr="000340E9">
        <w:rPr>
          <w:rFonts w:ascii="Arial" w:hAnsi="Arial" w:cs="Arial"/>
        </w:rPr>
        <w:t xml:space="preserve"> versus obstructive lung disease, and as a measure of degree of obstruction. Ideally, all patients suspected of, or diagnosed with COPD, should undergo spirometry. Those patients with known disease </w:t>
      </w:r>
      <w:r w:rsidR="004471D6" w:rsidRPr="000340E9">
        <w:rPr>
          <w:rFonts w:ascii="Arial" w:hAnsi="Arial" w:cs="Arial"/>
        </w:rPr>
        <w:t>benefit</w:t>
      </w:r>
      <w:r w:rsidRPr="000340E9">
        <w:rPr>
          <w:rFonts w:ascii="Arial" w:hAnsi="Arial" w:cs="Arial"/>
        </w:rPr>
        <w:t xml:space="preserve"> from monitoring of FEV1, to monitor disease progression. </w:t>
      </w:r>
    </w:p>
    <w:p w:rsidR="00820579" w:rsidRPr="000340E9" w:rsidRDefault="00B813FA" w:rsidP="00820579">
      <w:pPr>
        <w:rPr>
          <w:rFonts w:ascii="Arial" w:hAnsi="Arial" w:cs="Arial"/>
        </w:rPr>
      </w:pPr>
      <w:r w:rsidRPr="000340E9">
        <w:rPr>
          <w:rFonts w:ascii="Arial" w:hAnsi="Arial" w:cs="Arial"/>
        </w:rPr>
        <w:t>As the proportion of patients with a diagnosis of</w:t>
      </w:r>
      <w:r w:rsidR="00336FB5">
        <w:rPr>
          <w:rFonts w:ascii="Arial" w:hAnsi="Arial" w:cs="Arial"/>
        </w:rPr>
        <w:t xml:space="preserve"> COPD </w:t>
      </w:r>
      <w:r w:rsidRPr="000340E9">
        <w:rPr>
          <w:rFonts w:ascii="Arial" w:hAnsi="Arial" w:cs="Arial"/>
        </w:rPr>
        <w:t xml:space="preserve">with a recent measure of FEV1 is measured routinely in the QOF system, data is available on a </w:t>
      </w:r>
      <w:r w:rsidR="004471D6" w:rsidRPr="000340E9">
        <w:rPr>
          <w:rFonts w:ascii="Arial" w:hAnsi="Arial" w:cs="Arial"/>
        </w:rPr>
        <w:t>practice</w:t>
      </w:r>
      <w:r w:rsidRPr="000340E9">
        <w:rPr>
          <w:rFonts w:ascii="Arial" w:hAnsi="Arial" w:cs="Arial"/>
        </w:rPr>
        <w:t xml:space="preserve"> by </w:t>
      </w:r>
      <w:r w:rsidR="004471D6" w:rsidRPr="000340E9">
        <w:rPr>
          <w:rFonts w:ascii="Arial" w:hAnsi="Arial" w:cs="Arial"/>
        </w:rPr>
        <w:t>practice</w:t>
      </w:r>
      <w:r w:rsidRPr="000340E9">
        <w:rPr>
          <w:rFonts w:ascii="Arial" w:hAnsi="Arial" w:cs="Arial"/>
        </w:rPr>
        <w:t xml:space="preserve"> level.</w:t>
      </w:r>
      <w:r w:rsidR="00820579" w:rsidRPr="000340E9">
        <w:rPr>
          <w:rFonts w:ascii="Arial" w:hAnsi="Arial" w:cs="Arial"/>
        </w:rPr>
        <w:t xml:space="preserve"> </w:t>
      </w:r>
    </w:p>
    <w:p w:rsidR="00820579" w:rsidRDefault="00820579" w:rsidP="00820579">
      <w:pPr>
        <w:pStyle w:val="Caption"/>
      </w:pPr>
      <w:r>
        <w:t xml:space="preserve">Figure </w:t>
      </w:r>
      <w:fldSimple w:instr=" SEQ Figure \* ARABIC ">
        <w:r w:rsidR="00652BDF">
          <w:rPr>
            <w:noProof/>
          </w:rPr>
          <w:t>18</w:t>
        </w:r>
      </w:fldSimple>
    </w:p>
    <w:p w:rsidR="00820579" w:rsidRDefault="005C56F3" w:rsidP="000340E9">
      <w:pPr>
        <w:spacing w:after="0"/>
      </w:pPr>
      <w:r w:rsidRPr="005C56F3">
        <w:rPr>
          <w:noProof/>
          <w:lang w:eastAsia="en-GB"/>
        </w:rPr>
        <w:drawing>
          <wp:inline distT="0" distB="0" distL="0" distR="0">
            <wp:extent cx="6482463" cy="4157932"/>
            <wp:effectExtent l="19050" t="0" r="13587"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20579" w:rsidRDefault="00820579" w:rsidP="000340E9">
      <w:pPr>
        <w:spacing w:after="0"/>
        <w:jc w:val="right"/>
      </w:pPr>
      <w:r>
        <w:t xml:space="preserve">Source: </w:t>
      </w:r>
      <w:r w:rsidR="000A1DEF">
        <w:t>Quality and Outcomes Framework, NHS information Centre, 2008-2009</w:t>
      </w:r>
    </w:p>
    <w:p w:rsidR="00B813FA" w:rsidRPr="000340E9" w:rsidRDefault="00B813FA" w:rsidP="00820579">
      <w:pPr>
        <w:rPr>
          <w:rFonts w:ascii="Arial" w:hAnsi="Arial" w:cs="Arial"/>
        </w:rPr>
      </w:pPr>
      <w:r w:rsidRPr="000340E9">
        <w:rPr>
          <w:rFonts w:ascii="Arial" w:hAnsi="Arial" w:cs="Arial"/>
        </w:rPr>
        <w:lastRenderedPageBreak/>
        <w:t xml:space="preserve">It is </w:t>
      </w:r>
      <w:r w:rsidR="004471D6" w:rsidRPr="000340E9">
        <w:rPr>
          <w:rFonts w:ascii="Arial" w:hAnsi="Arial" w:cs="Arial"/>
        </w:rPr>
        <w:t>also</w:t>
      </w:r>
      <w:r w:rsidRPr="000340E9">
        <w:rPr>
          <w:rFonts w:ascii="Arial" w:hAnsi="Arial" w:cs="Arial"/>
        </w:rPr>
        <w:t xml:space="preserve"> possible to observe an inverse correlation between </w:t>
      </w:r>
      <w:r w:rsidR="004471D6" w:rsidRPr="000340E9">
        <w:rPr>
          <w:rFonts w:ascii="Arial" w:hAnsi="Arial" w:cs="Arial"/>
        </w:rPr>
        <w:t>increasing</w:t>
      </w:r>
      <w:r w:rsidRPr="000340E9">
        <w:rPr>
          <w:rFonts w:ascii="Arial" w:hAnsi="Arial" w:cs="Arial"/>
        </w:rPr>
        <w:t xml:space="preserve"> FEV1 measurement and deprivation index of practices.</w:t>
      </w:r>
    </w:p>
    <w:p w:rsidR="00B813FA" w:rsidRPr="000340E9" w:rsidRDefault="00B813FA" w:rsidP="00B813FA">
      <w:pPr>
        <w:rPr>
          <w:rFonts w:ascii="Arial" w:hAnsi="Arial" w:cs="Arial"/>
        </w:rPr>
      </w:pPr>
      <w:r w:rsidRPr="000340E9">
        <w:rPr>
          <w:rFonts w:ascii="Arial" w:hAnsi="Arial" w:cs="Arial"/>
        </w:rPr>
        <w:t>Here appetent is observed with central, relatively flat plateau of moderate performance, with a small number of practices that perform very well, and a small number that perform considerably less well.</w:t>
      </w:r>
    </w:p>
    <w:p w:rsidR="00B813FA" w:rsidRPr="00751528" w:rsidRDefault="00B813FA" w:rsidP="00751528">
      <w:pPr>
        <w:pStyle w:val="Caption"/>
      </w:pPr>
    </w:p>
    <w:p w:rsidR="00124AF4" w:rsidRPr="00751528" w:rsidRDefault="00124AF4" w:rsidP="00751528">
      <w:pPr>
        <w:pStyle w:val="Caption"/>
      </w:pPr>
      <w:r w:rsidRPr="00751528">
        <w:t xml:space="preserve">Figure </w:t>
      </w:r>
      <w:fldSimple w:instr=" SEQ Figure \* ARABIC ">
        <w:r w:rsidR="00652BDF">
          <w:rPr>
            <w:noProof/>
          </w:rPr>
          <w:t>19</w:t>
        </w:r>
      </w:fldSimple>
    </w:p>
    <w:p w:rsidR="00071B70" w:rsidRDefault="00071B70" w:rsidP="00575DB3">
      <w:pPr>
        <w:pStyle w:val="ListParagraph"/>
        <w:spacing w:after="0"/>
        <w:ind w:left="0"/>
        <w:rPr>
          <w:rFonts w:ascii="Arial" w:eastAsia="Times New Roman" w:hAnsi="Arial" w:cs="Arial"/>
          <w:bCs/>
          <w:sz w:val="24"/>
          <w:szCs w:val="24"/>
          <w:lang w:eastAsia="en-GB"/>
        </w:rPr>
      </w:pPr>
      <w:r w:rsidRPr="00071B70">
        <w:rPr>
          <w:rFonts w:ascii="Arial" w:eastAsia="Times New Roman" w:hAnsi="Arial" w:cs="Arial"/>
          <w:bCs/>
          <w:noProof/>
          <w:sz w:val="24"/>
          <w:szCs w:val="24"/>
          <w:lang w:eastAsia="en-GB"/>
        </w:rPr>
        <w:drawing>
          <wp:inline distT="0" distB="0" distL="0" distR="0">
            <wp:extent cx="5731510" cy="3882241"/>
            <wp:effectExtent l="19050" t="0" r="254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325F" w:rsidRPr="00F1325F" w:rsidRDefault="00F1325F" w:rsidP="00F1325F">
      <w:pPr>
        <w:spacing w:after="0"/>
        <w:jc w:val="right"/>
        <w:rPr>
          <w:i/>
        </w:rPr>
      </w:pPr>
      <w:r w:rsidRPr="00F1325F">
        <w:rPr>
          <w:i/>
        </w:rPr>
        <w:t xml:space="preserve">Source: Quality and Outcomes Framework, NHS information Centre, 2008-2009 </w:t>
      </w:r>
    </w:p>
    <w:p w:rsidR="00F1325F" w:rsidRPr="00F1325F" w:rsidRDefault="00F1325F" w:rsidP="00F1325F">
      <w:pPr>
        <w:spacing w:after="0"/>
        <w:jc w:val="right"/>
        <w:rPr>
          <w:i/>
        </w:rPr>
      </w:pPr>
      <w:proofErr w:type="gramStart"/>
      <w:r w:rsidRPr="00F1325F">
        <w:rPr>
          <w:i/>
        </w:rPr>
        <w:t>and</w:t>
      </w:r>
      <w:proofErr w:type="gramEnd"/>
      <w:r w:rsidRPr="00F1325F">
        <w:rPr>
          <w:i/>
        </w:rPr>
        <w:t xml:space="preserve"> NHS Comparators 2008-9</w:t>
      </w:r>
    </w:p>
    <w:p w:rsidR="00F1325F" w:rsidRDefault="00F1325F" w:rsidP="00F1325F">
      <w:pPr>
        <w:spacing w:after="0"/>
      </w:pPr>
    </w:p>
    <w:p w:rsidR="00601D31" w:rsidRPr="000340E9" w:rsidRDefault="00601D31" w:rsidP="00575DB3">
      <w:pPr>
        <w:rPr>
          <w:rFonts w:ascii="Arial" w:hAnsi="Arial" w:cs="Arial"/>
        </w:rPr>
      </w:pPr>
      <w:r w:rsidRPr="000340E9">
        <w:rPr>
          <w:rFonts w:ascii="Arial" w:hAnsi="Arial" w:cs="Arial"/>
        </w:rPr>
        <w:t xml:space="preserve">It is also possible to create a chart of </w:t>
      </w:r>
      <w:r w:rsidR="00307AEC" w:rsidRPr="000340E9">
        <w:rPr>
          <w:rFonts w:ascii="Arial" w:hAnsi="Arial" w:cs="Arial"/>
        </w:rPr>
        <w:t>aggregated</w:t>
      </w:r>
      <w:r w:rsidRPr="000340E9">
        <w:rPr>
          <w:rFonts w:ascii="Arial" w:hAnsi="Arial" w:cs="Arial"/>
        </w:rPr>
        <w:t xml:space="preserve"> QOF scores, looking across each of the clinical indicators relate to COPD, and comparing scores.  Again a </w:t>
      </w:r>
      <w:r w:rsidR="008A0365" w:rsidRPr="000340E9">
        <w:rPr>
          <w:rFonts w:ascii="Arial" w:hAnsi="Arial" w:cs="Arial"/>
        </w:rPr>
        <w:t>pattern</w:t>
      </w:r>
      <w:r w:rsidRPr="000340E9">
        <w:rPr>
          <w:rFonts w:ascii="Arial" w:hAnsi="Arial" w:cs="Arial"/>
        </w:rPr>
        <w:t xml:space="preserve"> of variation in performance </w:t>
      </w:r>
      <w:r w:rsidR="00307AEC" w:rsidRPr="000340E9">
        <w:rPr>
          <w:rFonts w:ascii="Arial" w:hAnsi="Arial" w:cs="Arial"/>
        </w:rPr>
        <w:t>occurs</w:t>
      </w:r>
      <w:r w:rsidRPr="000340E9">
        <w:rPr>
          <w:rFonts w:ascii="Arial" w:hAnsi="Arial" w:cs="Arial"/>
        </w:rPr>
        <w:t xml:space="preserve">. It is noticeable that while some </w:t>
      </w:r>
      <w:r w:rsidR="00307AEC" w:rsidRPr="000340E9">
        <w:rPr>
          <w:rFonts w:ascii="Arial" w:hAnsi="Arial" w:cs="Arial"/>
        </w:rPr>
        <w:t>practices</w:t>
      </w:r>
      <w:r w:rsidRPr="000340E9">
        <w:rPr>
          <w:rFonts w:ascii="Arial" w:hAnsi="Arial" w:cs="Arial"/>
        </w:rPr>
        <w:t xml:space="preserve"> are poor at only one or </w:t>
      </w:r>
      <w:r w:rsidR="008A0365" w:rsidRPr="000340E9">
        <w:rPr>
          <w:rFonts w:ascii="Arial" w:hAnsi="Arial" w:cs="Arial"/>
        </w:rPr>
        <w:t>two</w:t>
      </w:r>
      <w:r w:rsidRPr="000340E9">
        <w:rPr>
          <w:rFonts w:ascii="Arial" w:hAnsi="Arial" w:cs="Arial"/>
        </w:rPr>
        <w:t xml:space="preserve"> indicators, there are a </w:t>
      </w:r>
      <w:r w:rsidR="00307AEC" w:rsidRPr="000340E9">
        <w:rPr>
          <w:rFonts w:ascii="Arial" w:hAnsi="Arial" w:cs="Arial"/>
        </w:rPr>
        <w:t>number</w:t>
      </w:r>
      <w:r w:rsidRPr="000340E9">
        <w:rPr>
          <w:rFonts w:ascii="Arial" w:hAnsi="Arial" w:cs="Arial"/>
        </w:rPr>
        <w:t xml:space="preserve"> of practices that are </w:t>
      </w:r>
      <w:r w:rsidR="00307AEC" w:rsidRPr="000340E9">
        <w:rPr>
          <w:rFonts w:ascii="Arial" w:hAnsi="Arial" w:cs="Arial"/>
        </w:rPr>
        <w:t>consistently</w:t>
      </w:r>
      <w:r w:rsidRPr="000340E9">
        <w:rPr>
          <w:rFonts w:ascii="Arial" w:hAnsi="Arial" w:cs="Arial"/>
        </w:rPr>
        <w:t xml:space="preserve"> poor </w:t>
      </w:r>
      <w:r w:rsidR="00307AEC" w:rsidRPr="000340E9">
        <w:rPr>
          <w:rFonts w:ascii="Arial" w:hAnsi="Arial" w:cs="Arial"/>
        </w:rPr>
        <w:t>performing</w:t>
      </w:r>
      <w:r w:rsidRPr="000340E9">
        <w:rPr>
          <w:rFonts w:ascii="Arial" w:hAnsi="Arial" w:cs="Arial"/>
        </w:rPr>
        <w:t xml:space="preserve">. These practices are potential areas for </w:t>
      </w:r>
      <w:r w:rsidR="00307AEC" w:rsidRPr="000340E9">
        <w:rPr>
          <w:rFonts w:ascii="Arial" w:hAnsi="Arial" w:cs="Arial"/>
        </w:rPr>
        <w:t>concern</w:t>
      </w:r>
      <w:r w:rsidRPr="000340E9">
        <w:rPr>
          <w:rFonts w:ascii="Arial" w:hAnsi="Arial" w:cs="Arial"/>
        </w:rPr>
        <w:t xml:space="preserve">, and </w:t>
      </w:r>
      <w:r w:rsidR="00307AEC" w:rsidRPr="000340E9">
        <w:rPr>
          <w:rFonts w:ascii="Arial" w:hAnsi="Arial" w:cs="Arial"/>
        </w:rPr>
        <w:t>might benefit</w:t>
      </w:r>
      <w:r w:rsidRPr="000340E9">
        <w:rPr>
          <w:rFonts w:ascii="Arial" w:hAnsi="Arial" w:cs="Arial"/>
        </w:rPr>
        <w:t xml:space="preserve"> from target education or audit, to better understand their current </w:t>
      </w:r>
      <w:r w:rsidR="00307AEC" w:rsidRPr="000340E9">
        <w:rPr>
          <w:rFonts w:ascii="Arial" w:hAnsi="Arial" w:cs="Arial"/>
        </w:rPr>
        <w:t>practices</w:t>
      </w:r>
      <w:r w:rsidRPr="000340E9">
        <w:rPr>
          <w:rFonts w:ascii="Arial" w:hAnsi="Arial" w:cs="Arial"/>
        </w:rPr>
        <w:t xml:space="preserve">, and </w:t>
      </w:r>
      <w:r w:rsidR="00307AEC" w:rsidRPr="000340E9">
        <w:rPr>
          <w:rFonts w:ascii="Arial" w:hAnsi="Arial" w:cs="Arial"/>
        </w:rPr>
        <w:t>improve</w:t>
      </w:r>
      <w:r w:rsidRPr="000340E9">
        <w:rPr>
          <w:rFonts w:ascii="Arial" w:hAnsi="Arial" w:cs="Arial"/>
        </w:rPr>
        <w:t xml:space="preserve"> the quality of care they provide.</w:t>
      </w:r>
    </w:p>
    <w:p w:rsidR="00F1325F" w:rsidRDefault="00F1325F">
      <w:pPr>
        <w:rPr>
          <w:rFonts w:ascii="Arial" w:eastAsiaTheme="majorEastAsia" w:hAnsi="Arial" w:cs="Arial"/>
          <w:bCs/>
          <w:color w:val="4F81BD" w:themeColor="accent1"/>
          <w:sz w:val="24"/>
          <w:szCs w:val="24"/>
        </w:rPr>
      </w:pPr>
      <w:bookmarkStart w:id="31" w:name="_Toc256345742"/>
      <w:r>
        <w:br w:type="page"/>
      </w:r>
    </w:p>
    <w:p w:rsidR="00B813FA" w:rsidRDefault="00820579" w:rsidP="00770E50">
      <w:pPr>
        <w:pStyle w:val="Heading3"/>
      </w:pPr>
      <w:r w:rsidRPr="00B813FA">
        <w:lastRenderedPageBreak/>
        <w:t>Key Performance Measure</w:t>
      </w:r>
      <w:r>
        <w:t xml:space="preserve">: </w:t>
      </w:r>
      <w:r w:rsidR="00B813FA">
        <w:t xml:space="preserve">Post </w:t>
      </w:r>
      <w:r w:rsidR="00A82EAC">
        <w:t>Bronchodilator</w:t>
      </w:r>
      <w:r w:rsidR="00B813FA">
        <w:t xml:space="preserve"> </w:t>
      </w:r>
      <w:r w:rsidR="004471D6">
        <w:t>spirometry</w:t>
      </w:r>
      <w:bookmarkEnd w:id="31"/>
    </w:p>
    <w:p w:rsidR="00B813FA" w:rsidRPr="008A0365" w:rsidRDefault="00B813FA" w:rsidP="00B813FA">
      <w:pPr>
        <w:rPr>
          <w:rFonts w:ascii="Arial" w:hAnsi="Arial" w:cs="Arial"/>
        </w:rPr>
      </w:pPr>
      <w:r w:rsidRPr="008A0365">
        <w:rPr>
          <w:rFonts w:ascii="Arial" w:hAnsi="Arial" w:cs="Arial"/>
        </w:rPr>
        <w:t xml:space="preserve">NICE </w:t>
      </w:r>
      <w:r w:rsidR="004471D6" w:rsidRPr="008A0365">
        <w:rPr>
          <w:rFonts w:ascii="Arial" w:hAnsi="Arial" w:cs="Arial"/>
        </w:rPr>
        <w:t>guidance</w:t>
      </w:r>
      <w:r w:rsidRPr="008A0365">
        <w:rPr>
          <w:rFonts w:ascii="Arial" w:hAnsi="Arial" w:cs="Arial"/>
        </w:rPr>
        <w:t xml:space="preserve"> suggests that a diagnosis of COPD </w:t>
      </w:r>
      <w:r w:rsidR="004471D6" w:rsidRPr="008A0365">
        <w:rPr>
          <w:rFonts w:ascii="Arial" w:hAnsi="Arial" w:cs="Arial"/>
        </w:rPr>
        <w:t>would</w:t>
      </w:r>
      <w:r w:rsidRPr="008A0365">
        <w:rPr>
          <w:rFonts w:ascii="Arial" w:hAnsi="Arial" w:cs="Arial"/>
        </w:rPr>
        <w:t xml:space="preserve"> be confirmed by the used off post bronchodilator spirometry, which acts to differentiate reversible from irreversible airway obstruction.</w:t>
      </w:r>
    </w:p>
    <w:p w:rsidR="000E72DA" w:rsidRPr="008A0365" w:rsidRDefault="00D93C19" w:rsidP="00B813FA">
      <w:pPr>
        <w:rPr>
          <w:rFonts w:ascii="Arial" w:hAnsi="Arial" w:cs="Arial"/>
        </w:rPr>
      </w:pPr>
      <w:r>
        <w:rPr>
          <w:rFonts w:ascii="Arial" w:hAnsi="Arial" w:cs="Arial"/>
        </w:rPr>
        <w:t>Figure</w:t>
      </w:r>
      <w:r w:rsidR="000E72DA" w:rsidRPr="008A0365">
        <w:rPr>
          <w:rFonts w:ascii="Arial" w:hAnsi="Arial" w:cs="Arial"/>
        </w:rPr>
        <w:t xml:space="preserve"> </w:t>
      </w:r>
      <w:r w:rsidR="00622BED" w:rsidRPr="008A0365">
        <w:rPr>
          <w:rFonts w:ascii="Arial" w:hAnsi="Arial" w:cs="Arial"/>
        </w:rPr>
        <w:t>20</w:t>
      </w:r>
      <w:r w:rsidR="000E72DA" w:rsidRPr="008A0365">
        <w:rPr>
          <w:rFonts w:ascii="Arial" w:hAnsi="Arial" w:cs="Arial"/>
        </w:rPr>
        <w:t xml:space="preserve"> shows </w:t>
      </w:r>
      <w:r w:rsidR="00F1325F" w:rsidRPr="008A0365">
        <w:rPr>
          <w:rFonts w:ascii="Arial" w:hAnsi="Arial" w:cs="Arial"/>
        </w:rPr>
        <w:t>the</w:t>
      </w:r>
      <w:r w:rsidR="000E72DA" w:rsidRPr="008A0365">
        <w:rPr>
          <w:rFonts w:ascii="Arial" w:hAnsi="Arial" w:cs="Arial"/>
        </w:rPr>
        <w:t xml:space="preserve"> variation in QOF achievement in this area. It is noticeable </w:t>
      </w:r>
      <w:r w:rsidR="000340E9" w:rsidRPr="008A0365">
        <w:rPr>
          <w:rFonts w:ascii="Arial" w:hAnsi="Arial" w:cs="Arial"/>
        </w:rPr>
        <w:t>that in</w:t>
      </w:r>
      <w:r w:rsidR="000E72DA" w:rsidRPr="008A0365">
        <w:rPr>
          <w:rFonts w:ascii="Arial" w:hAnsi="Arial" w:cs="Arial"/>
        </w:rPr>
        <w:t xml:space="preserve"> </w:t>
      </w:r>
      <w:r w:rsidR="00A82EAC" w:rsidRPr="008A0365">
        <w:rPr>
          <w:rFonts w:ascii="Arial" w:hAnsi="Arial" w:cs="Arial"/>
        </w:rPr>
        <w:t>these clinical criteria</w:t>
      </w:r>
      <w:r w:rsidR="000E72DA" w:rsidRPr="008A0365">
        <w:rPr>
          <w:rFonts w:ascii="Arial" w:hAnsi="Arial" w:cs="Arial"/>
        </w:rPr>
        <w:t xml:space="preserve"> many practices score 100%, wh</w:t>
      </w:r>
      <w:r w:rsidR="00A82EAC">
        <w:rPr>
          <w:rFonts w:ascii="Arial" w:hAnsi="Arial" w:cs="Arial"/>
        </w:rPr>
        <w:t>ile</w:t>
      </w:r>
      <w:r w:rsidR="000E72DA" w:rsidRPr="008A0365">
        <w:rPr>
          <w:rFonts w:ascii="Arial" w:hAnsi="Arial" w:cs="Arial"/>
        </w:rPr>
        <w:t xml:space="preserve"> a number of practices (8) </w:t>
      </w:r>
      <w:r w:rsidR="00A82EAC" w:rsidRPr="008A0365">
        <w:rPr>
          <w:rFonts w:ascii="Arial" w:hAnsi="Arial" w:cs="Arial"/>
        </w:rPr>
        <w:t>score 0</w:t>
      </w:r>
      <w:r w:rsidR="000E72DA" w:rsidRPr="008A0365">
        <w:rPr>
          <w:rFonts w:ascii="Arial" w:hAnsi="Arial" w:cs="Arial"/>
        </w:rPr>
        <w:t xml:space="preserve">%. It would be useful to investigate </w:t>
      </w:r>
      <w:r w:rsidR="00A82EAC" w:rsidRPr="008A0365">
        <w:rPr>
          <w:rFonts w:ascii="Arial" w:hAnsi="Arial" w:cs="Arial"/>
        </w:rPr>
        <w:t>this phenomenon</w:t>
      </w:r>
      <w:r w:rsidR="000E72DA" w:rsidRPr="008A0365">
        <w:rPr>
          <w:rFonts w:ascii="Arial" w:hAnsi="Arial" w:cs="Arial"/>
        </w:rPr>
        <w:t xml:space="preserve">, and see if these </w:t>
      </w:r>
      <w:r w:rsidR="000340E9" w:rsidRPr="008A0365">
        <w:rPr>
          <w:rFonts w:ascii="Arial" w:hAnsi="Arial" w:cs="Arial"/>
        </w:rPr>
        <w:t>practices</w:t>
      </w:r>
      <w:r w:rsidR="000E72DA" w:rsidRPr="008A0365">
        <w:rPr>
          <w:rFonts w:ascii="Arial" w:hAnsi="Arial" w:cs="Arial"/>
        </w:rPr>
        <w:t xml:space="preserve"> </w:t>
      </w:r>
      <w:r w:rsidR="000340E9" w:rsidRPr="008A0365">
        <w:rPr>
          <w:rFonts w:ascii="Arial" w:hAnsi="Arial" w:cs="Arial"/>
        </w:rPr>
        <w:t>truly</w:t>
      </w:r>
      <w:r w:rsidR="000E72DA" w:rsidRPr="008A0365">
        <w:rPr>
          <w:rFonts w:ascii="Arial" w:hAnsi="Arial" w:cs="Arial"/>
        </w:rPr>
        <w:t xml:space="preserve"> are not providing this service, or the service is being provided elsewhere, or the practices are recording what they have done incorrectly.</w:t>
      </w:r>
    </w:p>
    <w:p w:rsidR="00820579" w:rsidRDefault="00820579" w:rsidP="00820579">
      <w:pPr>
        <w:pStyle w:val="Caption"/>
      </w:pPr>
      <w:r>
        <w:t xml:space="preserve">Figure </w:t>
      </w:r>
      <w:fldSimple w:instr=" SEQ Figure \* ARABIC ">
        <w:r w:rsidR="00652BDF">
          <w:rPr>
            <w:noProof/>
          </w:rPr>
          <w:t>20</w:t>
        </w:r>
      </w:fldSimple>
    </w:p>
    <w:p w:rsidR="00B813FA" w:rsidRDefault="0029057E" w:rsidP="000340E9">
      <w:pPr>
        <w:spacing w:after="0"/>
      </w:pPr>
      <w:r w:rsidRPr="0029057E">
        <w:rPr>
          <w:b/>
          <w:noProof/>
          <w:lang w:eastAsia="en-GB"/>
        </w:rPr>
        <w:drawing>
          <wp:inline distT="0" distB="0" distL="0" distR="0">
            <wp:extent cx="6267450" cy="4924425"/>
            <wp:effectExtent l="19050" t="0" r="19050" b="0"/>
            <wp:docPr id="4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A1DEF" w:rsidRPr="000340E9" w:rsidRDefault="000A1DEF" w:rsidP="000340E9">
      <w:pPr>
        <w:spacing w:after="0"/>
        <w:jc w:val="right"/>
        <w:rPr>
          <w:i/>
        </w:rPr>
      </w:pPr>
      <w:r w:rsidRPr="000340E9">
        <w:rPr>
          <w:i/>
        </w:rPr>
        <w:t>Source: Quality and Outcomes Framework, NHS information Centre, 2008-2009</w:t>
      </w:r>
    </w:p>
    <w:p w:rsidR="000340E9" w:rsidRDefault="000340E9" w:rsidP="00B813FA"/>
    <w:p w:rsidR="00B813FA" w:rsidRPr="008A0365" w:rsidRDefault="00B813FA" w:rsidP="00B813FA">
      <w:pPr>
        <w:rPr>
          <w:rFonts w:ascii="Arial" w:hAnsi="Arial" w:cs="Arial"/>
        </w:rPr>
      </w:pPr>
      <w:r w:rsidRPr="008A0365">
        <w:rPr>
          <w:rFonts w:ascii="Arial" w:hAnsi="Arial" w:cs="Arial"/>
        </w:rPr>
        <w:t>As these interventions are evidence based, it is likely that those scoring higher score on the QOF will provide higher quality care, and lead to better outcomes.</w:t>
      </w:r>
    </w:p>
    <w:p w:rsidR="00B813FA" w:rsidRDefault="00B813FA" w:rsidP="00575DB3"/>
    <w:p w:rsidR="00B813FA" w:rsidRDefault="00B813FA" w:rsidP="00575DB3"/>
    <w:p w:rsidR="00B813FA" w:rsidRDefault="00770E50" w:rsidP="00770E50">
      <w:pPr>
        <w:pStyle w:val="Heading2"/>
      </w:pPr>
      <w:bookmarkStart w:id="32" w:name="_Toc256345743"/>
      <w:r>
        <w:lastRenderedPageBreak/>
        <w:t>Chronic</w:t>
      </w:r>
      <w:r w:rsidR="00B813FA">
        <w:t xml:space="preserve"> Disease </w:t>
      </w:r>
      <w:r>
        <w:t>Management</w:t>
      </w:r>
      <w:bookmarkEnd w:id="32"/>
    </w:p>
    <w:p w:rsidR="00C2321D" w:rsidRPr="000340E9" w:rsidRDefault="00C2321D" w:rsidP="00C2321D">
      <w:pPr>
        <w:rPr>
          <w:rFonts w:ascii="Arial" w:hAnsi="Arial" w:cs="Arial"/>
        </w:rPr>
      </w:pPr>
      <w:r w:rsidRPr="000340E9">
        <w:rPr>
          <w:rFonts w:ascii="Arial" w:hAnsi="Arial" w:cs="Arial"/>
        </w:rPr>
        <w:t xml:space="preserve">Data on chronic disease management would ideally look at the proportion of patients diagnosed with COPD who are prescribed the </w:t>
      </w:r>
      <w:r w:rsidR="00E4446C" w:rsidRPr="000340E9">
        <w:rPr>
          <w:rFonts w:ascii="Arial" w:hAnsi="Arial" w:cs="Arial"/>
        </w:rPr>
        <w:t>appropriate</w:t>
      </w:r>
      <w:r w:rsidRPr="000340E9">
        <w:rPr>
          <w:rFonts w:ascii="Arial" w:hAnsi="Arial" w:cs="Arial"/>
        </w:rPr>
        <w:t xml:space="preserve"> medications.</w:t>
      </w:r>
      <w:r w:rsidR="00E4446C" w:rsidRPr="000340E9">
        <w:rPr>
          <w:rFonts w:ascii="Arial" w:hAnsi="Arial" w:cs="Arial"/>
        </w:rPr>
        <w:t xml:space="preserve"> The current </w:t>
      </w:r>
      <w:r w:rsidR="00224E45" w:rsidRPr="000340E9">
        <w:rPr>
          <w:rFonts w:ascii="Arial" w:hAnsi="Arial" w:cs="Arial"/>
        </w:rPr>
        <w:t>data</w:t>
      </w:r>
      <w:r w:rsidR="00E4446C" w:rsidRPr="000340E9">
        <w:rPr>
          <w:rFonts w:ascii="Arial" w:hAnsi="Arial" w:cs="Arial"/>
        </w:rPr>
        <w:t xml:space="preserve"> collected by QOF does not measure this, although a useful proxy is STAR-PU (</w:t>
      </w:r>
      <w:r w:rsidR="00E4446C" w:rsidRPr="000340E9">
        <w:rPr>
          <w:rFonts w:ascii="Arial" w:hAnsi="Arial" w:cs="Arial"/>
          <w:color w:val="000000"/>
        </w:rPr>
        <w:t>specific therapeutic group age-sex related prescribing units, a standardized</w:t>
      </w:r>
      <w:r w:rsidR="00224E45" w:rsidRPr="000340E9">
        <w:rPr>
          <w:rFonts w:ascii="Arial" w:hAnsi="Arial" w:cs="Arial"/>
          <w:color w:val="000000"/>
        </w:rPr>
        <w:t xml:space="preserve"> measure of prescribing for COPD</w:t>
      </w:r>
      <w:r w:rsidR="00E4446C" w:rsidRPr="000340E9">
        <w:rPr>
          <w:rFonts w:ascii="Arial" w:hAnsi="Arial" w:cs="Arial"/>
          <w:color w:val="000000"/>
        </w:rPr>
        <w:t xml:space="preserve">. An </w:t>
      </w:r>
      <w:r w:rsidR="00224E45" w:rsidRPr="000340E9">
        <w:rPr>
          <w:rFonts w:ascii="Arial" w:hAnsi="Arial" w:cs="Arial"/>
          <w:color w:val="000000"/>
        </w:rPr>
        <w:t>analysis</w:t>
      </w:r>
      <w:r w:rsidR="00E4446C" w:rsidRPr="000340E9">
        <w:rPr>
          <w:rFonts w:ascii="Arial" w:hAnsi="Arial" w:cs="Arial"/>
          <w:color w:val="000000"/>
        </w:rPr>
        <w:t xml:space="preserve"> at the practice level </w:t>
      </w:r>
      <w:r w:rsidR="00224E45" w:rsidRPr="000340E9">
        <w:rPr>
          <w:rFonts w:ascii="Arial" w:hAnsi="Arial" w:cs="Arial"/>
          <w:color w:val="000000"/>
        </w:rPr>
        <w:t>shows</w:t>
      </w:r>
      <w:r w:rsidR="00E4446C" w:rsidRPr="000340E9">
        <w:rPr>
          <w:rFonts w:ascii="Arial" w:hAnsi="Arial" w:cs="Arial"/>
          <w:color w:val="000000"/>
        </w:rPr>
        <w:t xml:space="preserve"> that there is a correlation between increasing prevalence of disease and </w:t>
      </w:r>
      <w:r w:rsidR="00224E45" w:rsidRPr="000340E9">
        <w:rPr>
          <w:rFonts w:ascii="Arial" w:hAnsi="Arial" w:cs="Arial"/>
          <w:color w:val="000000"/>
        </w:rPr>
        <w:t>increasing</w:t>
      </w:r>
      <w:r w:rsidR="00E4446C" w:rsidRPr="000340E9">
        <w:rPr>
          <w:rFonts w:ascii="Arial" w:hAnsi="Arial" w:cs="Arial"/>
          <w:color w:val="000000"/>
        </w:rPr>
        <w:t xml:space="preserve"> use of </w:t>
      </w:r>
      <w:r w:rsidR="00224E45" w:rsidRPr="000340E9">
        <w:rPr>
          <w:rFonts w:ascii="Arial" w:hAnsi="Arial" w:cs="Arial"/>
          <w:color w:val="000000"/>
        </w:rPr>
        <w:t>appropriate</w:t>
      </w:r>
      <w:r w:rsidR="00E4446C" w:rsidRPr="000340E9">
        <w:rPr>
          <w:rFonts w:ascii="Arial" w:hAnsi="Arial" w:cs="Arial"/>
          <w:color w:val="000000"/>
        </w:rPr>
        <w:t xml:space="preserve"> medications. There are however some </w:t>
      </w:r>
      <w:r w:rsidR="00224E45" w:rsidRPr="000340E9">
        <w:rPr>
          <w:rFonts w:ascii="Arial" w:hAnsi="Arial" w:cs="Arial"/>
          <w:color w:val="000000"/>
        </w:rPr>
        <w:t>outliers</w:t>
      </w:r>
      <w:r w:rsidR="00E4446C" w:rsidRPr="000340E9">
        <w:rPr>
          <w:rFonts w:ascii="Arial" w:hAnsi="Arial" w:cs="Arial"/>
          <w:color w:val="000000"/>
        </w:rPr>
        <w:t xml:space="preserve">, including one practice </w:t>
      </w:r>
      <w:r w:rsidR="00224E45" w:rsidRPr="000340E9">
        <w:rPr>
          <w:rFonts w:ascii="Arial" w:hAnsi="Arial" w:cs="Arial"/>
          <w:color w:val="000000"/>
        </w:rPr>
        <w:t>which</w:t>
      </w:r>
      <w:r w:rsidR="00E4446C" w:rsidRPr="000340E9">
        <w:rPr>
          <w:rFonts w:ascii="Arial" w:hAnsi="Arial" w:cs="Arial"/>
          <w:color w:val="000000"/>
        </w:rPr>
        <w:t xml:space="preserve"> prescribes higher than average amounts of the drug, despite a lower than average prevalence, and two </w:t>
      </w:r>
      <w:r w:rsidR="00224E45" w:rsidRPr="000340E9">
        <w:rPr>
          <w:rFonts w:ascii="Arial" w:hAnsi="Arial" w:cs="Arial"/>
          <w:color w:val="000000"/>
        </w:rPr>
        <w:t>practices</w:t>
      </w:r>
      <w:r w:rsidR="00E4446C" w:rsidRPr="000340E9">
        <w:rPr>
          <w:rFonts w:ascii="Arial" w:hAnsi="Arial" w:cs="Arial"/>
          <w:color w:val="000000"/>
        </w:rPr>
        <w:t xml:space="preserve"> which prescribe relatively low levels of the </w:t>
      </w:r>
      <w:r w:rsidR="00224E45" w:rsidRPr="000340E9">
        <w:rPr>
          <w:rFonts w:ascii="Arial" w:hAnsi="Arial" w:cs="Arial"/>
          <w:color w:val="000000"/>
        </w:rPr>
        <w:t>appropriate</w:t>
      </w:r>
      <w:r w:rsidR="00E4446C" w:rsidRPr="000340E9">
        <w:rPr>
          <w:rFonts w:ascii="Arial" w:hAnsi="Arial" w:cs="Arial"/>
          <w:color w:val="000000"/>
        </w:rPr>
        <w:t xml:space="preserve"> drugs, despite higher </w:t>
      </w:r>
      <w:r w:rsidR="00224E45" w:rsidRPr="000340E9">
        <w:rPr>
          <w:rFonts w:ascii="Arial" w:hAnsi="Arial" w:cs="Arial"/>
          <w:color w:val="000000"/>
        </w:rPr>
        <w:t>prevalence</w:t>
      </w:r>
      <w:r w:rsidR="00E4446C" w:rsidRPr="000340E9">
        <w:rPr>
          <w:rFonts w:ascii="Arial" w:hAnsi="Arial" w:cs="Arial"/>
          <w:color w:val="000000"/>
        </w:rPr>
        <w:t xml:space="preserve"> levels.</w:t>
      </w:r>
    </w:p>
    <w:p w:rsidR="00677CE5" w:rsidRDefault="00677CE5" w:rsidP="00677CE5">
      <w:pPr>
        <w:pStyle w:val="Caption"/>
      </w:pPr>
      <w:r>
        <w:t xml:space="preserve">Figure </w:t>
      </w:r>
      <w:fldSimple w:instr=" SEQ Figure \* ARABIC ">
        <w:r w:rsidR="00652BDF">
          <w:rPr>
            <w:noProof/>
          </w:rPr>
          <w:t>21</w:t>
        </w:r>
      </w:fldSimple>
      <w:bookmarkStart w:id="33" w:name="_Toc256345744"/>
      <w:r w:rsidRPr="00677CE5">
        <w:t xml:space="preserve"> </w:t>
      </w:r>
      <w:r>
        <w:t>Key measure: Prescribing data</w:t>
      </w:r>
      <w:bookmarkEnd w:id="33"/>
      <w:r w:rsidR="00F14ACF" w:rsidRPr="00F14ACF">
        <w:rPr>
          <w:noProof/>
          <w:lang w:eastAsia="en-GB"/>
        </w:rPr>
        <w:drawing>
          <wp:inline distT="0" distB="0" distL="0" distR="0">
            <wp:extent cx="5730432" cy="3838755"/>
            <wp:effectExtent l="19050" t="0" r="22668" b="934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77CE5" w:rsidRDefault="00677CE5" w:rsidP="00677CE5">
      <w:pPr>
        <w:pStyle w:val="Caption"/>
      </w:pPr>
    </w:p>
    <w:p w:rsidR="00B813FA" w:rsidRDefault="00820579" w:rsidP="000D2D08">
      <w:pPr>
        <w:jc w:val="right"/>
      </w:pPr>
      <w:r>
        <w:t>Source: NHS Comparators 2008-9</w:t>
      </w:r>
      <w:r w:rsidR="000D2D08">
        <w:t xml:space="preserve"> and QOF 2008-9</w:t>
      </w:r>
    </w:p>
    <w:p w:rsidR="00820579" w:rsidRDefault="00820579">
      <w:pPr>
        <w:rPr>
          <w:rFonts w:ascii="Arial" w:eastAsiaTheme="majorEastAsia" w:hAnsi="Arial" w:cs="Arial"/>
          <w:bCs/>
          <w:color w:val="4F81BD" w:themeColor="accent1"/>
          <w:sz w:val="24"/>
          <w:szCs w:val="24"/>
        </w:rPr>
      </w:pPr>
      <w:r>
        <w:br w:type="page"/>
      </w:r>
    </w:p>
    <w:p w:rsidR="00B813FA" w:rsidRDefault="00B813FA" w:rsidP="00770E50">
      <w:pPr>
        <w:pStyle w:val="Heading3"/>
      </w:pPr>
      <w:bookmarkStart w:id="34" w:name="_Toc256345745"/>
      <w:r>
        <w:lastRenderedPageBreak/>
        <w:t>Key Measure: Inhaler Technique</w:t>
      </w:r>
      <w:bookmarkEnd w:id="34"/>
    </w:p>
    <w:p w:rsidR="00E4446C" w:rsidRPr="000340E9" w:rsidRDefault="00E4446C" w:rsidP="00E4446C">
      <w:pPr>
        <w:rPr>
          <w:rFonts w:ascii="Arial" w:hAnsi="Arial" w:cs="Arial"/>
        </w:rPr>
      </w:pPr>
      <w:r w:rsidRPr="000340E9">
        <w:rPr>
          <w:rFonts w:ascii="Arial" w:hAnsi="Arial" w:cs="Arial"/>
        </w:rPr>
        <w:t xml:space="preserve">The QOF system </w:t>
      </w:r>
      <w:r w:rsidR="000340E9" w:rsidRPr="000340E9">
        <w:rPr>
          <w:rFonts w:ascii="Arial" w:hAnsi="Arial" w:cs="Arial"/>
        </w:rPr>
        <w:t>measures</w:t>
      </w:r>
      <w:r w:rsidRPr="000340E9">
        <w:rPr>
          <w:rFonts w:ascii="Arial" w:hAnsi="Arial" w:cs="Arial"/>
        </w:rPr>
        <w:t xml:space="preserve"> the </w:t>
      </w:r>
      <w:r w:rsidR="000340E9" w:rsidRPr="000340E9">
        <w:rPr>
          <w:rFonts w:ascii="Arial" w:hAnsi="Arial" w:cs="Arial"/>
        </w:rPr>
        <w:t>percentage</w:t>
      </w:r>
      <w:r w:rsidRPr="000340E9">
        <w:rPr>
          <w:rFonts w:ascii="Arial" w:hAnsi="Arial" w:cs="Arial"/>
        </w:rPr>
        <w:t xml:space="preserve"> of </w:t>
      </w:r>
      <w:r w:rsidR="000340E9" w:rsidRPr="000340E9">
        <w:rPr>
          <w:rFonts w:ascii="Arial" w:hAnsi="Arial" w:cs="Arial"/>
        </w:rPr>
        <w:t>patients</w:t>
      </w:r>
      <w:r w:rsidRPr="000340E9">
        <w:rPr>
          <w:rFonts w:ascii="Arial" w:hAnsi="Arial" w:cs="Arial"/>
        </w:rPr>
        <w:t xml:space="preserve"> in each </w:t>
      </w:r>
      <w:r w:rsidR="000340E9" w:rsidRPr="000340E9">
        <w:rPr>
          <w:rFonts w:ascii="Arial" w:hAnsi="Arial" w:cs="Arial"/>
        </w:rPr>
        <w:t>practice</w:t>
      </w:r>
      <w:r w:rsidRPr="000340E9">
        <w:rPr>
          <w:rFonts w:ascii="Arial" w:hAnsi="Arial" w:cs="Arial"/>
        </w:rPr>
        <w:t xml:space="preserve"> who have their inhaler </w:t>
      </w:r>
      <w:r w:rsidR="000340E9" w:rsidRPr="000340E9">
        <w:rPr>
          <w:rFonts w:ascii="Arial" w:hAnsi="Arial" w:cs="Arial"/>
        </w:rPr>
        <w:t>technique</w:t>
      </w:r>
      <w:r w:rsidRPr="000340E9">
        <w:rPr>
          <w:rFonts w:ascii="Arial" w:hAnsi="Arial" w:cs="Arial"/>
        </w:rPr>
        <w:t xml:space="preserve"> </w:t>
      </w:r>
      <w:r w:rsidR="000340E9" w:rsidRPr="000340E9">
        <w:rPr>
          <w:rFonts w:ascii="Arial" w:hAnsi="Arial" w:cs="Arial"/>
        </w:rPr>
        <w:t>assessed</w:t>
      </w:r>
      <w:r w:rsidRPr="000340E9">
        <w:rPr>
          <w:rFonts w:ascii="Arial" w:hAnsi="Arial" w:cs="Arial"/>
        </w:rPr>
        <w:t>. Figure</w:t>
      </w:r>
      <w:r w:rsidR="000340E9" w:rsidRPr="000340E9">
        <w:rPr>
          <w:rFonts w:ascii="Arial" w:hAnsi="Arial" w:cs="Arial"/>
        </w:rPr>
        <w:t xml:space="preserve"> 22</w:t>
      </w:r>
      <w:r w:rsidRPr="000340E9">
        <w:rPr>
          <w:rFonts w:ascii="Arial" w:hAnsi="Arial" w:cs="Arial"/>
        </w:rPr>
        <w:t xml:space="preserve"> demonstrates that levels are high in most </w:t>
      </w:r>
      <w:r w:rsidR="000340E9" w:rsidRPr="000340E9">
        <w:rPr>
          <w:rFonts w:ascii="Arial" w:hAnsi="Arial" w:cs="Arial"/>
        </w:rPr>
        <w:t>practices</w:t>
      </w:r>
      <w:r w:rsidRPr="000340E9">
        <w:rPr>
          <w:rFonts w:ascii="Arial" w:hAnsi="Arial" w:cs="Arial"/>
        </w:rPr>
        <w:t xml:space="preserve">, but does </w:t>
      </w:r>
      <w:r w:rsidR="000340E9" w:rsidRPr="000340E9">
        <w:rPr>
          <w:rFonts w:ascii="Arial" w:hAnsi="Arial" w:cs="Arial"/>
        </w:rPr>
        <w:t>identify</w:t>
      </w:r>
      <w:r w:rsidRPr="000340E9">
        <w:rPr>
          <w:rFonts w:ascii="Arial" w:hAnsi="Arial" w:cs="Arial"/>
        </w:rPr>
        <w:t xml:space="preserve"> 6 </w:t>
      </w:r>
      <w:r w:rsidR="000340E9" w:rsidRPr="000340E9">
        <w:rPr>
          <w:rFonts w:ascii="Arial" w:hAnsi="Arial" w:cs="Arial"/>
        </w:rPr>
        <w:t>practices</w:t>
      </w:r>
      <w:r w:rsidRPr="000340E9">
        <w:rPr>
          <w:rFonts w:ascii="Arial" w:hAnsi="Arial" w:cs="Arial"/>
        </w:rPr>
        <w:t xml:space="preserve"> with levels less than 80%.</w:t>
      </w:r>
    </w:p>
    <w:p w:rsidR="00820579" w:rsidRDefault="00820579" w:rsidP="00820579">
      <w:pPr>
        <w:pStyle w:val="Caption"/>
      </w:pPr>
      <w:r>
        <w:t xml:space="preserve">Figure </w:t>
      </w:r>
      <w:fldSimple w:instr=" SEQ Figure \* ARABIC ">
        <w:r w:rsidR="00652BDF">
          <w:rPr>
            <w:noProof/>
          </w:rPr>
          <w:t>22</w:t>
        </w:r>
      </w:fldSimple>
    </w:p>
    <w:p w:rsidR="000A1DEF" w:rsidRDefault="0029057E" w:rsidP="000A1DEF">
      <w:pPr>
        <w:jc w:val="right"/>
      </w:pPr>
      <w:r w:rsidRPr="0029057E">
        <w:rPr>
          <w:b/>
          <w:noProof/>
          <w:lang w:eastAsia="en-GB"/>
        </w:rPr>
        <w:drawing>
          <wp:inline distT="0" distB="0" distL="0" distR="0">
            <wp:extent cx="6105525" cy="4257675"/>
            <wp:effectExtent l="19050" t="0" r="9525" b="0"/>
            <wp:docPr id="3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0A1DEF" w:rsidRPr="000A1DEF">
        <w:t xml:space="preserve"> </w:t>
      </w:r>
      <w:r w:rsidR="000A1DEF" w:rsidRPr="00F1325F">
        <w:rPr>
          <w:i/>
        </w:rPr>
        <w:t>Source: Quality and Outcomes Framework, NHS Information Centre, 2008-2009</w:t>
      </w:r>
    </w:p>
    <w:p w:rsidR="00B813FA" w:rsidRDefault="00B813FA" w:rsidP="00B813FA">
      <w:r>
        <w:br w:type="page"/>
      </w:r>
    </w:p>
    <w:p w:rsidR="00B813FA" w:rsidRDefault="00B813FA" w:rsidP="00770E50">
      <w:pPr>
        <w:pStyle w:val="Heading3"/>
      </w:pPr>
      <w:bookmarkStart w:id="35" w:name="_Toc256345746"/>
      <w:r>
        <w:lastRenderedPageBreak/>
        <w:t>Key Measure: Influenza immunization rates</w:t>
      </w:r>
      <w:bookmarkEnd w:id="35"/>
    </w:p>
    <w:p w:rsidR="00B813FA" w:rsidRPr="000340E9" w:rsidRDefault="004471D6" w:rsidP="00B813FA">
      <w:pPr>
        <w:rPr>
          <w:rFonts w:ascii="Arial" w:hAnsi="Arial" w:cs="Arial"/>
        </w:rPr>
      </w:pPr>
      <w:r w:rsidRPr="000340E9">
        <w:rPr>
          <w:rFonts w:ascii="Arial" w:hAnsi="Arial" w:cs="Arial"/>
        </w:rPr>
        <w:t>Patients</w:t>
      </w:r>
      <w:r w:rsidR="00B813FA" w:rsidRPr="000340E9">
        <w:rPr>
          <w:rFonts w:ascii="Arial" w:hAnsi="Arial" w:cs="Arial"/>
        </w:rPr>
        <w:t xml:space="preserve"> with </w:t>
      </w:r>
      <w:r w:rsidRPr="000340E9">
        <w:rPr>
          <w:rFonts w:ascii="Arial" w:hAnsi="Arial" w:cs="Arial"/>
        </w:rPr>
        <w:t>COPD</w:t>
      </w:r>
      <w:r w:rsidR="00B813FA" w:rsidRPr="000340E9">
        <w:rPr>
          <w:rFonts w:ascii="Arial" w:hAnsi="Arial" w:cs="Arial"/>
        </w:rPr>
        <w:t xml:space="preserve"> are in a higher risk group for </w:t>
      </w:r>
      <w:r w:rsidRPr="000340E9">
        <w:rPr>
          <w:rFonts w:ascii="Arial" w:hAnsi="Arial" w:cs="Arial"/>
        </w:rPr>
        <w:t>influenza</w:t>
      </w:r>
      <w:r w:rsidR="00B813FA" w:rsidRPr="000340E9">
        <w:rPr>
          <w:rFonts w:ascii="Arial" w:hAnsi="Arial" w:cs="Arial"/>
        </w:rPr>
        <w:t xml:space="preserve"> and other </w:t>
      </w:r>
      <w:r w:rsidRPr="000340E9">
        <w:rPr>
          <w:rFonts w:ascii="Arial" w:hAnsi="Arial" w:cs="Arial"/>
        </w:rPr>
        <w:t>communicable</w:t>
      </w:r>
      <w:r w:rsidR="00B813FA" w:rsidRPr="000340E9">
        <w:rPr>
          <w:rFonts w:ascii="Arial" w:hAnsi="Arial" w:cs="Arial"/>
        </w:rPr>
        <w:t xml:space="preserve"> disease. Evidence based guidance suggests that patients with </w:t>
      </w:r>
      <w:r w:rsidRPr="000340E9">
        <w:rPr>
          <w:rFonts w:ascii="Arial" w:hAnsi="Arial" w:cs="Arial"/>
        </w:rPr>
        <w:t>COPD</w:t>
      </w:r>
      <w:r w:rsidR="00B813FA" w:rsidRPr="000340E9">
        <w:rPr>
          <w:rFonts w:ascii="Arial" w:hAnsi="Arial" w:cs="Arial"/>
        </w:rPr>
        <w:t xml:space="preserve"> should be offered the influenza vaccine. </w:t>
      </w:r>
      <w:r w:rsidRPr="000340E9">
        <w:rPr>
          <w:rFonts w:ascii="Arial" w:hAnsi="Arial" w:cs="Arial"/>
        </w:rPr>
        <w:t>Mortality</w:t>
      </w:r>
      <w:r w:rsidR="00B813FA" w:rsidRPr="000340E9">
        <w:rPr>
          <w:rFonts w:ascii="Arial" w:hAnsi="Arial" w:cs="Arial"/>
        </w:rPr>
        <w:t xml:space="preserve"> rates for those with COPD from </w:t>
      </w:r>
      <w:r w:rsidRPr="000340E9">
        <w:rPr>
          <w:rFonts w:ascii="Arial" w:hAnsi="Arial" w:cs="Arial"/>
        </w:rPr>
        <w:t>influenza</w:t>
      </w:r>
      <w:r w:rsidR="00B813FA" w:rsidRPr="000340E9">
        <w:rPr>
          <w:rFonts w:ascii="Arial" w:hAnsi="Arial" w:cs="Arial"/>
        </w:rPr>
        <w:t xml:space="preserve"> are higher than those who do not have COPD.</w:t>
      </w:r>
      <w:r w:rsidR="00677CE5">
        <w:rPr>
          <w:rFonts w:ascii="Arial" w:hAnsi="Arial" w:cs="Arial"/>
        </w:rPr>
        <w:t xml:space="preserve"> Figure 23</w:t>
      </w:r>
      <w:r w:rsidR="000340E9" w:rsidRPr="000340E9">
        <w:rPr>
          <w:rFonts w:ascii="Arial" w:hAnsi="Arial" w:cs="Arial"/>
        </w:rPr>
        <w:t xml:space="preserve"> demonstrates variation between practices, of which 8 score less than </w:t>
      </w:r>
      <w:r w:rsidR="008A0365" w:rsidRPr="000340E9">
        <w:rPr>
          <w:rFonts w:ascii="Arial" w:hAnsi="Arial" w:cs="Arial"/>
        </w:rPr>
        <w:t>80%</w:t>
      </w:r>
      <w:r w:rsidR="000340E9" w:rsidRPr="000340E9">
        <w:rPr>
          <w:rFonts w:ascii="Arial" w:hAnsi="Arial" w:cs="Arial"/>
        </w:rPr>
        <w:t xml:space="preserve"> and 3 less than 70%.</w:t>
      </w:r>
    </w:p>
    <w:p w:rsidR="000340E9" w:rsidRPr="00B813FA" w:rsidRDefault="000340E9" w:rsidP="00B813FA"/>
    <w:p w:rsidR="000340E9" w:rsidRDefault="000340E9" w:rsidP="000340E9">
      <w:pPr>
        <w:pStyle w:val="Caption"/>
      </w:pPr>
      <w:r>
        <w:t xml:space="preserve">Figure </w:t>
      </w:r>
      <w:fldSimple w:instr=" SEQ Figure \* ARABIC ">
        <w:r w:rsidR="00652BDF">
          <w:rPr>
            <w:noProof/>
          </w:rPr>
          <w:t>23</w:t>
        </w:r>
      </w:fldSimple>
    </w:p>
    <w:p w:rsidR="000A1DEF" w:rsidRDefault="005C56F3" w:rsidP="000A1DEF">
      <w:pPr>
        <w:jc w:val="right"/>
      </w:pPr>
      <w:r w:rsidRPr="005C56F3">
        <w:rPr>
          <w:b/>
          <w:noProof/>
          <w:lang w:eastAsia="en-GB"/>
        </w:rPr>
        <w:drawing>
          <wp:inline distT="0" distB="0" distL="0" distR="0">
            <wp:extent cx="6191250" cy="4657725"/>
            <wp:effectExtent l="19050" t="0" r="19050" b="0"/>
            <wp:docPr id="3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0A1DEF" w:rsidRPr="000A1DEF">
        <w:t xml:space="preserve"> </w:t>
      </w:r>
      <w:r w:rsidR="000A1DEF" w:rsidRPr="00F1325F">
        <w:rPr>
          <w:i/>
        </w:rPr>
        <w:t>Source: Quality and Outcomes Framework, NHS Information Centre, 2008-2009</w:t>
      </w:r>
    </w:p>
    <w:p w:rsidR="00E4446C" w:rsidRPr="00365FCB" w:rsidRDefault="00E4446C" w:rsidP="00365FCB">
      <w:pPr>
        <w:jc w:val="right"/>
        <w:rPr>
          <w:rFonts w:ascii="Arial" w:eastAsia="Times New Roman" w:hAnsi="Arial" w:cs="Arial"/>
          <w:bCs/>
          <w:i/>
          <w:color w:val="1F497D" w:themeColor="text2"/>
          <w:sz w:val="26"/>
          <w:szCs w:val="24"/>
          <w:lang w:eastAsia="en-GB"/>
        </w:rPr>
      </w:pPr>
      <w:r>
        <w:br w:type="page"/>
      </w:r>
    </w:p>
    <w:p w:rsidR="00601D31" w:rsidRDefault="004471D6" w:rsidP="00770E50">
      <w:pPr>
        <w:pStyle w:val="Heading2"/>
      </w:pPr>
      <w:bookmarkStart w:id="36" w:name="_Toc256345747"/>
      <w:r>
        <w:lastRenderedPageBreak/>
        <w:t>Aggregated</w:t>
      </w:r>
      <w:r w:rsidR="00B813FA">
        <w:t xml:space="preserve"> measures</w:t>
      </w:r>
      <w:bookmarkEnd w:id="36"/>
    </w:p>
    <w:p w:rsidR="00E4446C" w:rsidRPr="000340E9" w:rsidRDefault="00B813FA" w:rsidP="00B813FA">
      <w:pPr>
        <w:rPr>
          <w:rFonts w:ascii="Arial" w:hAnsi="Arial" w:cs="Arial"/>
        </w:rPr>
      </w:pPr>
      <w:r w:rsidRPr="000340E9">
        <w:rPr>
          <w:rFonts w:ascii="Arial" w:hAnsi="Arial" w:cs="Arial"/>
        </w:rPr>
        <w:t xml:space="preserve">A </w:t>
      </w:r>
      <w:r w:rsidR="004471D6" w:rsidRPr="000340E9">
        <w:rPr>
          <w:rFonts w:ascii="Arial" w:hAnsi="Arial" w:cs="Arial"/>
        </w:rPr>
        <w:t>number of</w:t>
      </w:r>
      <w:r w:rsidRPr="000340E9">
        <w:rPr>
          <w:rFonts w:ascii="Arial" w:hAnsi="Arial" w:cs="Arial"/>
        </w:rPr>
        <w:t xml:space="preserve"> </w:t>
      </w:r>
      <w:r w:rsidR="004471D6" w:rsidRPr="000340E9">
        <w:rPr>
          <w:rFonts w:ascii="Arial" w:hAnsi="Arial" w:cs="Arial"/>
        </w:rPr>
        <w:t>different</w:t>
      </w:r>
      <w:r w:rsidRPr="000340E9">
        <w:rPr>
          <w:rFonts w:ascii="Arial" w:hAnsi="Arial" w:cs="Arial"/>
        </w:rPr>
        <w:t xml:space="preserve"> measures can be </w:t>
      </w:r>
      <w:r w:rsidR="004471D6" w:rsidRPr="000340E9">
        <w:rPr>
          <w:rFonts w:ascii="Arial" w:hAnsi="Arial" w:cs="Arial"/>
        </w:rPr>
        <w:t>aggregated</w:t>
      </w:r>
      <w:r w:rsidRPr="000340E9">
        <w:rPr>
          <w:rFonts w:ascii="Arial" w:hAnsi="Arial" w:cs="Arial"/>
        </w:rPr>
        <w:t xml:space="preserve"> </w:t>
      </w:r>
      <w:r w:rsidR="004471D6" w:rsidRPr="000340E9">
        <w:rPr>
          <w:rFonts w:ascii="Arial" w:hAnsi="Arial" w:cs="Arial"/>
        </w:rPr>
        <w:t>together,</w:t>
      </w:r>
      <w:r w:rsidR="00997069" w:rsidRPr="000340E9">
        <w:rPr>
          <w:rFonts w:ascii="Arial" w:hAnsi="Arial" w:cs="Arial"/>
        </w:rPr>
        <w:t xml:space="preserve"> to provide a snapshot of overall performance at the general </w:t>
      </w:r>
      <w:r w:rsidR="004471D6" w:rsidRPr="000340E9">
        <w:rPr>
          <w:rFonts w:ascii="Arial" w:hAnsi="Arial" w:cs="Arial"/>
        </w:rPr>
        <w:t>practice</w:t>
      </w:r>
      <w:r w:rsidR="00997069" w:rsidRPr="000340E9">
        <w:rPr>
          <w:rFonts w:ascii="Arial" w:hAnsi="Arial" w:cs="Arial"/>
        </w:rPr>
        <w:t xml:space="preserve"> level. It is noticeable that there are a number of PCTs that perform </w:t>
      </w:r>
      <w:r w:rsidR="004471D6" w:rsidRPr="000340E9">
        <w:rPr>
          <w:rFonts w:ascii="Arial" w:hAnsi="Arial" w:cs="Arial"/>
        </w:rPr>
        <w:t>poorly</w:t>
      </w:r>
      <w:r w:rsidR="00997069" w:rsidRPr="000340E9">
        <w:rPr>
          <w:rFonts w:ascii="Arial" w:hAnsi="Arial" w:cs="Arial"/>
        </w:rPr>
        <w:t xml:space="preserve"> across a number of indicators. These are practices that might </w:t>
      </w:r>
      <w:r w:rsidR="004471D6" w:rsidRPr="000340E9">
        <w:rPr>
          <w:rFonts w:ascii="Arial" w:hAnsi="Arial" w:cs="Arial"/>
        </w:rPr>
        <w:t>benefit</w:t>
      </w:r>
      <w:r w:rsidR="00997069" w:rsidRPr="000340E9">
        <w:rPr>
          <w:rFonts w:ascii="Arial" w:hAnsi="Arial" w:cs="Arial"/>
        </w:rPr>
        <w:t xml:space="preserve"> from targeted education around TB diagnosis and </w:t>
      </w:r>
      <w:r w:rsidR="004471D6" w:rsidRPr="000340E9">
        <w:rPr>
          <w:rFonts w:ascii="Arial" w:hAnsi="Arial" w:cs="Arial"/>
        </w:rPr>
        <w:t>management</w:t>
      </w:r>
      <w:r w:rsidR="00997069" w:rsidRPr="000340E9">
        <w:rPr>
          <w:rFonts w:ascii="Arial" w:hAnsi="Arial" w:cs="Arial"/>
        </w:rPr>
        <w:t>.</w:t>
      </w:r>
      <w:r w:rsidR="00E4446C" w:rsidRPr="000340E9">
        <w:rPr>
          <w:rFonts w:ascii="Arial" w:hAnsi="Arial" w:cs="Arial"/>
        </w:rPr>
        <w:t xml:space="preserve"> </w:t>
      </w:r>
    </w:p>
    <w:p w:rsidR="00E4446C" w:rsidRDefault="00675637" w:rsidP="00F43EB7">
      <w:pPr>
        <w:ind w:left="-1134"/>
      </w:pPr>
      <w:r w:rsidRPr="00675637">
        <w:rPr>
          <w:noProof/>
          <w:lang w:eastAsia="en-GB"/>
        </w:rPr>
        <w:drawing>
          <wp:inline distT="0" distB="0" distL="0" distR="0">
            <wp:extent cx="7183262" cy="6333067"/>
            <wp:effectExtent l="19050" t="0" r="17638" b="0"/>
            <wp:docPr id="4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F5AF4" w:rsidRDefault="00365FCB" w:rsidP="000A1DEF">
      <w:pPr>
        <w:jc w:val="right"/>
        <w:rPr>
          <w:rFonts w:ascii="Arial" w:eastAsia="Times New Roman" w:hAnsi="Arial" w:cstheme="majorBidi"/>
          <w:bCs/>
          <w:color w:val="1F497D" w:themeColor="text2"/>
          <w:sz w:val="26"/>
          <w:lang w:eastAsia="en-GB"/>
        </w:rPr>
      </w:pPr>
      <w:r w:rsidRPr="00365FCB">
        <w:rPr>
          <w:i/>
        </w:rPr>
        <w:t>Source: QOF data, NHS Information Centre, 2008-9</w:t>
      </w:r>
    </w:p>
    <w:p w:rsidR="000D2D08" w:rsidRDefault="000D2D08">
      <w:pPr>
        <w:rPr>
          <w:rFonts w:ascii="Arial" w:eastAsia="Times New Roman" w:hAnsi="Arial" w:cs="Arial"/>
          <w:bCs/>
          <w:color w:val="1F497D" w:themeColor="text2"/>
          <w:sz w:val="26"/>
          <w:szCs w:val="24"/>
          <w:lang w:eastAsia="en-GB"/>
        </w:rPr>
      </w:pPr>
      <w:r>
        <w:br w:type="page"/>
      </w:r>
    </w:p>
    <w:p w:rsidR="003B7C9C" w:rsidRDefault="002A2292" w:rsidP="00770E50">
      <w:pPr>
        <w:pStyle w:val="Heading2"/>
      </w:pPr>
      <w:bookmarkStart w:id="37" w:name="_Toc256345748"/>
      <w:r>
        <w:lastRenderedPageBreak/>
        <w:t>Management of Acute Exacerbations</w:t>
      </w:r>
      <w:bookmarkEnd w:id="37"/>
    </w:p>
    <w:p w:rsidR="00F63160" w:rsidRDefault="002A2292" w:rsidP="00770E50">
      <w:pPr>
        <w:pStyle w:val="Heading3"/>
      </w:pPr>
      <w:bookmarkStart w:id="38" w:name="_Toc256345749"/>
      <w:r>
        <w:t xml:space="preserve">Key measure: </w:t>
      </w:r>
      <w:r w:rsidR="003B7C9C">
        <w:t>Emergency Admissions</w:t>
      </w:r>
      <w:bookmarkEnd w:id="38"/>
      <w:r w:rsidR="00F63160" w:rsidRPr="00643BBA">
        <w:t xml:space="preserve"> </w:t>
      </w:r>
    </w:p>
    <w:p w:rsidR="00B813FA" w:rsidRDefault="00B813FA" w:rsidP="00575DB3">
      <w:pPr>
        <w:spacing w:after="0"/>
        <w:rPr>
          <w:rFonts w:ascii="Arial" w:eastAsia="Times New Roman" w:hAnsi="Arial" w:cs="Arial"/>
          <w:lang w:eastAsia="en-GB"/>
        </w:rPr>
      </w:pPr>
      <w:r>
        <w:rPr>
          <w:rFonts w:ascii="Arial" w:eastAsia="Times New Roman" w:hAnsi="Arial" w:cs="Arial"/>
          <w:lang w:eastAsia="en-GB"/>
        </w:rPr>
        <w:t xml:space="preserve">Emergency admission </w:t>
      </w:r>
      <w:r w:rsidR="004471D6">
        <w:rPr>
          <w:rFonts w:ascii="Arial" w:eastAsia="Times New Roman" w:hAnsi="Arial" w:cs="Arial"/>
          <w:lang w:eastAsia="en-GB"/>
        </w:rPr>
        <w:t xml:space="preserve">rates </w:t>
      </w:r>
      <w:r>
        <w:rPr>
          <w:rFonts w:ascii="Arial" w:eastAsia="Times New Roman" w:hAnsi="Arial" w:cs="Arial"/>
          <w:lang w:eastAsia="en-GB"/>
        </w:rPr>
        <w:t xml:space="preserve">are </w:t>
      </w:r>
      <w:r w:rsidR="004471D6">
        <w:rPr>
          <w:rFonts w:ascii="Arial" w:eastAsia="Times New Roman" w:hAnsi="Arial" w:cs="Arial"/>
          <w:lang w:eastAsia="en-GB"/>
        </w:rPr>
        <w:t>a useful process measure that reflects</w:t>
      </w:r>
      <w:r>
        <w:rPr>
          <w:rFonts w:ascii="Arial" w:eastAsia="Times New Roman" w:hAnsi="Arial" w:cs="Arial"/>
          <w:lang w:eastAsia="en-GB"/>
        </w:rPr>
        <w:t xml:space="preserve"> the quality of </w:t>
      </w:r>
      <w:r w:rsidR="004471D6">
        <w:rPr>
          <w:rFonts w:ascii="Arial" w:eastAsia="Times New Roman" w:hAnsi="Arial" w:cs="Arial"/>
          <w:lang w:eastAsia="en-GB"/>
        </w:rPr>
        <w:t>chronic</w:t>
      </w:r>
      <w:r>
        <w:rPr>
          <w:rFonts w:ascii="Arial" w:eastAsia="Times New Roman" w:hAnsi="Arial" w:cs="Arial"/>
          <w:lang w:eastAsia="en-GB"/>
        </w:rPr>
        <w:t xml:space="preserve"> disease </w:t>
      </w:r>
      <w:r w:rsidR="004471D6">
        <w:rPr>
          <w:rFonts w:ascii="Arial" w:eastAsia="Times New Roman" w:hAnsi="Arial" w:cs="Arial"/>
          <w:lang w:eastAsia="en-GB"/>
        </w:rPr>
        <w:t>management</w:t>
      </w:r>
      <w:r>
        <w:rPr>
          <w:rFonts w:ascii="Arial" w:eastAsia="Times New Roman" w:hAnsi="Arial" w:cs="Arial"/>
          <w:lang w:eastAsia="en-GB"/>
        </w:rPr>
        <w:t xml:space="preserve"> in the community. </w:t>
      </w:r>
      <w:r w:rsidR="004471D6">
        <w:rPr>
          <w:rFonts w:ascii="Arial" w:eastAsia="Times New Roman" w:hAnsi="Arial" w:cs="Arial"/>
          <w:lang w:eastAsia="en-GB"/>
        </w:rPr>
        <w:t xml:space="preserve">All patients with COPD are exposed to risk of acute exacerbations, requiring hospital admission, but ideally there should be developed plans in place in the community for when exacerbations takes place, so that patients either have pre-prescribed medication available, or have rapid access to primary care including the support of respiratory specialist nurses. </w:t>
      </w:r>
      <w:r>
        <w:rPr>
          <w:rFonts w:ascii="Arial" w:eastAsia="Times New Roman" w:hAnsi="Arial" w:cs="Arial"/>
          <w:lang w:eastAsia="en-GB"/>
        </w:rPr>
        <w:t>Higher rates of emergency admission suggest poorer management of the disease in the community.</w:t>
      </w:r>
    </w:p>
    <w:p w:rsidR="00B813FA" w:rsidRDefault="00B813FA" w:rsidP="00575DB3">
      <w:pPr>
        <w:spacing w:after="0"/>
        <w:rPr>
          <w:rFonts w:ascii="Arial" w:eastAsia="Times New Roman" w:hAnsi="Arial" w:cs="Arial"/>
          <w:lang w:eastAsia="en-GB"/>
        </w:rPr>
      </w:pPr>
    </w:p>
    <w:p w:rsidR="00DF56AE" w:rsidRDefault="00B813FA" w:rsidP="00575DB3">
      <w:pPr>
        <w:spacing w:after="0"/>
        <w:rPr>
          <w:rFonts w:ascii="Arial" w:eastAsia="Times New Roman" w:hAnsi="Arial" w:cs="Arial"/>
          <w:lang w:eastAsia="en-GB"/>
        </w:rPr>
      </w:pPr>
      <w:r>
        <w:rPr>
          <w:rFonts w:ascii="Arial" w:eastAsia="Times New Roman" w:hAnsi="Arial" w:cs="Arial"/>
          <w:lang w:eastAsia="en-GB"/>
        </w:rPr>
        <w:t>An</w:t>
      </w:r>
      <w:r w:rsidR="00DF56AE">
        <w:rPr>
          <w:rFonts w:ascii="Arial" w:eastAsia="Times New Roman" w:hAnsi="Arial" w:cs="Arial"/>
          <w:lang w:eastAsia="en-GB"/>
        </w:rPr>
        <w:t xml:space="preserve"> </w:t>
      </w:r>
      <w:r w:rsidR="00307AEC">
        <w:rPr>
          <w:rFonts w:ascii="Arial" w:eastAsia="Times New Roman" w:hAnsi="Arial" w:cs="Arial"/>
          <w:lang w:eastAsia="en-GB"/>
        </w:rPr>
        <w:t>analysis</w:t>
      </w:r>
      <w:r w:rsidR="00DF56AE">
        <w:rPr>
          <w:rFonts w:ascii="Arial" w:eastAsia="Times New Roman" w:hAnsi="Arial" w:cs="Arial"/>
          <w:lang w:eastAsia="en-GB"/>
        </w:rPr>
        <w:t xml:space="preserve"> </w:t>
      </w:r>
      <w:r w:rsidR="00307AEC">
        <w:rPr>
          <w:rFonts w:ascii="Arial" w:eastAsia="Times New Roman" w:hAnsi="Arial" w:cs="Arial"/>
          <w:lang w:eastAsia="en-GB"/>
        </w:rPr>
        <w:t>of</w:t>
      </w:r>
      <w:r w:rsidR="00DF56AE">
        <w:rPr>
          <w:rFonts w:ascii="Arial" w:eastAsia="Times New Roman" w:hAnsi="Arial" w:cs="Arial"/>
          <w:lang w:eastAsia="en-GB"/>
        </w:rPr>
        <w:t xml:space="preserve"> emergency </w:t>
      </w:r>
      <w:r w:rsidR="00307AEC">
        <w:rPr>
          <w:rFonts w:ascii="Arial" w:eastAsia="Times New Roman" w:hAnsi="Arial" w:cs="Arial"/>
          <w:lang w:eastAsia="en-GB"/>
        </w:rPr>
        <w:t>admission</w:t>
      </w:r>
      <w:r w:rsidR="00DF56AE">
        <w:rPr>
          <w:rFonts w:ascii="Arial" w:eastAsia="Times New Roman" w:hAnsi="Arial" w:cs="Arial"/>
          <w:lang w:eastAsia="en-GB"/>
        </w:rPr>
        <w:t xml:space="preserve"> rates reveals that admissions per 1000 people are higher in </w:t>
      </w:r>
      <w:r w:rsidR="00307AEC">
        <w:rPr>
          <w:rFonts w:ascii="Arial" w:eastAsia="Times New Roman" w:hAnsi="Arial" w:cs="Arial"/>
          <w:lang w:eastAsia="en-GB"/>
        </w:rPr>
        <w:t>Wandsworth</w:t>
      </w:r>
      <w:r w:rsidR="005D3019">
        <w:rPr>
          <w:rFonts w:ascii="Arial" w:eastAsia="Times New Roman" w:hAnsi="Arial" w:cs="Arial"/>
          <w:lang w:eastAsia="en-GB"/>
        </w:rPr>
        <w:t xml:space="preserve"> (2.3 per 1,000) than the national average (2.0 per 1,000), but lower than the cluster average (2.7 per 1,000).</w:t>
      </w:r>
    </w:p>
    <w:p w:rsidR="005D3019" w:rsidRDefault="005D3019" w:rsidP="00575DB3">
      <w:pPr>
        <w:spacing w:after="0"/>
        <w:rPr>
          <w:rFonts w:ascii="Arial" w:eastAsia="Times New Roman" w:hAnsi="Arial" w:cs="Arial"/>
          <w:lang w:eastAsia="en-GB"/>
        </w:rPr>
      </w:pPr>
    </w:p>
    <w:p w:rsidR="00677CE5" w:rsidRDefault="00677CE5" w:rsidP="00677CE5">
      <w:pPr>
        <w:pStyle w:val="Caption"/>
      </w:pPr>
      <w:r>
        <w:t xml:space="preserve">Figure </w:t>
      </w:r>
      <w:fldSimple w:instr=" SEQ Figure \* ARABIC ">
        <w:r w:rsidR="00652BDF">
          <w:rPr>
            <w:noProof/>
          </w:rPr>
          <w:t>24</w:t>
        </w:r>
      </w:fldSimple>
    </w:p>
    <w:p w:rsidR="005D3019" w:rsidRDefault="005D3019" w:rsidP="00575DB3">
      <w:pPr>
        <w:spacing w:after="0"/>
        <w:rPr>
          <w:rFonts w:ascii="Arial" w:eastAsia="Times New Roman" w:hAnsi="Arial" w:cs="Arial"/>
          <w:lang w:eastAsia="en-GB"/>
        </w:rPr>
      </w:pPr>
      <w:r w:rsidRPr="005D3019">
        <w:rPr>
          <w:rFonts w:ascii="Arial" w:eastAsia="Times New Roman" w:hAnsi="Arial" w:cs="Arial"/>
          <w:noProof/>
          <w:lang w:eastAsia="en-GB"/>
        </w:rPr>
        <w:drawing>
          <wp:inline distT="0" distB="0" distL="0" distR="0">
            <wp:extent cx="6229350" cy="4191000"/>
            <wp:effectExtent l="19050" t="0" r="19050" b="0"/>
            <wp:docPr id="3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F56AE" w:rsidRPr="000A1DEF" w:rsidRDefault="000A1DEF" w:rsidP="000A1DEF">
      <w:pPr>
        <w:spacing w:after="0"/>
        <w:jc w:val="right"/>
        <w:rPr>
          <w:rFonts w:ascii="Arial" w:eastAsia="Times New Roman" w:hAnsi="Arial" w:cs="Arial"/>
          <w:i/>
          <w:lang w:eastAsia="en-GB"/>
        </w:rPr>
      </w:pPr>
      <w:r w:rsidRPr="000A1DEF">
        <w:rPr>
          <w:rFonts w:ascii="Arial" w:eastAsia="Times New Roman" w:hAnsi="Arial" w:cs="Arial"/>
          <w:i/>
          <w:lang w:eastAsia="en-GB"/>
        </w:rPr>
        <w:t>Source: NHS comparators, NHS Information Centre, 2008-9</w:t>
      </w:r>
    </w:p>
    <w:p w:rsidR="000A1DEF" w:rsidRDefault="000A1DEF" w:rsidP="00575DB3">
      <w:pPr>
        <w:spacing w:after="0"/>
        <w:rPr>
          <w:rFonts w:ascii="Arial" w:eastAsia="Times New Roman" w:hAnsi="Arial" w:cs="Arial"/>
          <w:lang w:eastAsia="en-GB"/>
        </w:rPr>
      </w:pPr>
    </w:p>
    <w:p w:rsidR="00DF56AE" w:rsidRDefault="00DF56AE" w:rsidP="00575DB3">
      <w:pPr>
        <w:spacing w:after="0"/>
        <w:rPr>
          <w:rFonts w:ascii="Arial" w:eastAsia="Times New Roman" w:hAnsi="Arial" w:cs="Arial"/>
          <w:lang w:eastAsia="en-GB"/>
        </w:rPr>
      </w:pPr>
      <w:r>
        <w:rPr>
          <w:rFonts w:ascii="Arial" w:eastAsia="Times New Roman" w:hAnsi="Arial" w:cs="Arial"/>
          <w:lang w:eastAsia="en-GB"/>
        </w:rPr>
        <w:t xml:space="preserve">Again, there is also a pattern of variation </w:t>
      </w:r>
      <w:r w:rsidR="00307AEC">
        <w:rPr>
          <w:rFonts w:ascii="Arial" w:eastAsia="Times New Roman" w:hAnsi="Arial" w:cs="Arial"/>
          <w:lang w:eastAsia="en-GB"/>
        </w:rPr>
        <w:t>between</w:t>
      </w:r>
      <w:r>
        <w:rPr>
          <w:rFonts w:ascii="Arial" w:eastAsia="Times New Roman" w:hAnsi="Arial" w:cs="Arial"/>
          <w:lang w:eastAsia="en-GB"/>
        </w:rPr>
        <w:t xml:space="preserve"> </w:t>
      </w:r>
      <w:r w:rsidR="00307AEC">
        <w:rPr>
          <w:rFonts w:ascii="Arial" w:eastAsia="Times New Roman" w:hAnsi="Arial" w:cs="Arial"/>
          <w:lang w:eastAsia="en-GB"/>
        </w:rPr>
        <w:t>individual</w:t>
      </w:r>
      <w:r>
        <w:rPr>
          <w:rFonts w:ascii="Arial" w:eastAsia="Times New Roman" w:hAnsi="Arial" w:cs="Arial"/>
          <w:lang w:eastAsia="en-GB"/>
        </w:rPr>
        <w:t xml:space="preserve"> practices. Using data from NHS </w:t>
      </w:r>
      <w:r w:rsidR="00307AEC">
        <w:rPr>
          <w:rFonts w:ascii="Arial" w:eastAsia="Times New Roman" w:hAnsi="Arial" w:cs="Arial"/>
          <w:lang w:eastAsia="en-GB"/>
        </w:rPr>
        <w:t>comparators</w:t>
      </w:r>
      <w:r>
        <w:rPr>
          <w:rFonts w:ascii="Arial" w:eastAsia="Times New Roman" w:hAnsi="Arial" w:cs="Arial"/>
          <w:lang w:eastAsia="en-GB"/>
        </w:rPr>
        <w:t xml:space="preserve">, </w:t>
      </w:r>
      <w:r w:rsidR="00307AEC">
        <w:rPr>
          <w:rFonts w:ascii="Arial" w:eastAsia="Times New Roman" w:hAnsi="Arial" w:cs="Arial"/>
          <w:lang w:eastAsia="en-GB"/>
        </w:rPr>
        <w:t>six</w:t>
      </w:r>
      <w:r>
        <w:rPr>
          <w:rFonts w:ascii="Arial" w:eastAsia="Times New Roman" w:hAnsi="Arial" w:cs="Arial"/>
          <w:lang w:eastAsia="en-GB"/>
        </w:rPr>
        <w:t xml:space="preserve"> practices can be identified as having emergency admission rates for patients with </w:t>
      </w:r>
      <w:r w:rsidR="00307AEC">
        <w:rPr>
          <w:rFonts w:ascii="Arial" w:eastAsia="Times New Roman" w:hAnsi="Arial" w:cs="Arial"/>
          <w:lang w:eastAsia="en-GB"/>
        </w:rPr>
        <w:t>COPD</w:t>
      </w:r>
      <w:r>
        <w:rPr>
          <w:rFonts w:ascii="Arial" w:eastAsia="Times New Roman" w:hAnsi="Arial" w:cs="Arial"/>
          <w:lang w:eastAsia="en-GB"/>
        </w:rPr>
        <w:t xml:space="preserve"> that are </w:t>
      </w:r>
      <w:r w:rsidR="00307AEC">
        <w:rPr>
          <w:rFonts w:ascii="Arial" w:eastAsia="Times New Roman" w:hAnsi="Arial" w:cs="Arial"/>
          <w:lang w:eastAsia="en-GB"/>
        </w:rPr>
        <w:t>significantly</w:t>
      </w:r>
      <w:r>
        <w:rPr>
          <w:rFonts w:ascii="Arial" w:eastAsia="Times New Roman" w:hAnsi="Arial" w:cs="Arial"/>
          <w:lang w:eastAsia="en-GB"/>
        </w:rPr>
        <w:t xml:space="preserve"> higher than both the Wandsworth and the national average.</w:t>
      </w:r>
    </w:p>
    <w:p w:rsidR="00F63160" w:rsidRPr="00433711" w:rsidRDefault="00F63160" w:rsidP="00575DB3">
      <w:pPr>
        <w:spacing w:after="0"/>
        <w:rPr>
          <w:rFonts w:ascii="Arial" w:eastAsia="Times New Roman" w:hAnsi="Arial" w:cs="Arial"/>
          <w:b/>
          <w:bCs/>
          <w:lang w:eastAsia="en-GB"/>
        </w:rPr>
      </w:pPr>
    </w:p>
    <w:p w:rsidR="00124AF4" w:rsidRPr="00751528" w:rsidRDefault="00124AF4" w:rsidP="00751528">
      <w:pPr>
        <w:pStyle w:val="Caption"/>
      </w:pPr>
      <w:r w:rsidRPr="00751528">
        <w:lastRenderedPageBreak/>
        <w:t xml:space="preserve">Figure </w:t>
      </w:r>
      <w:fldSimple w:instr=" SEQ Figure \* ARABIC ">
        <w:r w:rsidR="00652BDF">
          <w:rPr>
            <w:noProof/>
          </w:rPr>
          <w:t>25</w:t>
        </w:r>
      </w:fldSimple>
    </w:p>
    <w:p w:rsidR="00B03835" w:rsidRDefault="00E35598" w:rsidP="000A1DEF">
      <w:pPr>
        <w:spacing w:after="0"/>
        <w:ind w:left="-1134"/>
        <w:jc w:val="right"/>
        <w:rPr>
          <w:rFonts w:ascii="Arial" w:eastAsia="Times New Roman" w:hAnsi="Arial" w:cs="Arial"/>
          <w:bCs/>
          <w:lang w:eastAsia="en-GB"/>
        </w:rPr>
      </w:pPr>
      <w:r w:rsidRPr="00433711">
        <w:rPr>
          <w:rFonts w:ascii="Arial" w:eastAsia="Times New Roman" w:hAnsi="Arial" w:cs="Arial"/>
          <w:b/>
          <w:bCs/>
          <w:noProof/>
          <w:lang w:eastAsia="en-GB"/>
        </w:rPr>
        <w:drawing>
          <wp:inline distT="0" distB="0" distL="0" distR="0">
            <wp:extent cx="6862445" cy="4905375"/>
            <wp:effectExtent l="1905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0A1DEF" w:rsidRPr="000A1DEF">
        <w:rPr>
          <w:rFonts w:ascii="Arial" w:eastAsia="Times New Roman" w:hAnsi="Arial" w:cs="Arial"/>
          <w:i/>
          <w:lang w:eastAsia="en-GB"/>
        </w:rPr>
        <w:t xml:space="preserve"> Source: NHS comparators, NHS Information Centre, 2008-9</w:t>
      </w:r>
    </w:p>
    <w:p w:rsidR="00B03835" w:rsidRDefault="00B03835" w:rsidP="00575DB3">
      <w:pPr>
        <w:spacing w:after="0"/>
        <w:rPr>
          <w:rFonts w:ascii="Arial" w:eastAsia="Times New Roman" w:hAnsi="Arial" w:cs="Arial"/>
          <w:bCs/>
          <w:lang w:eastAsia="en-GB"/>
        </w:rPr>
      </w:pPr>
    </w:p>
    <w:p w:rsidR="001500C6" w:rsidRDefault="001500C6" w:rsidP="00575DB3">
      <w:pPr>
        <w:spacing w:after="0"/>
        <w:rPr>
          <w:rFonts w:ascii="Arial" w:eastAsia="Times New Roman" w:hAnsi="Arial" w:cs="Arial"/>
          <w:bCs/>
          <w:lang w:eastAsia="en-GB"/>
        </w:rPr>
      </w:pPr>
      <w:r w:rsidRPr="0091615F">
        <w:rPr>
          <w:rFonts w:ascii="Arial" w:eastAsia="Times New Roman" w:hAnsi="Arial" w:cs="Arial"/>
          <w:bCs/>
          <w:lang w:eastAsia="en-GB"/>
        </w:rPr>
        <w:t>There is considerable variation in emergency admission rates between practices across the borough, suggesting that some GPs are managing their patients in the community better that others. It is noticeable that six practices have an admission rate</w:t>
      </w:r>
      <w:r w:rsidR="0091615F">
        <w:rPr>
          <w:rFonts w:ascii="Arial" w:eastAsia="Times New Roman" w:hAnsi="Arial" w:cs="Arial"/>
          <w:bCs/>
          <w:lang w:eastAsia="en-GB"/>
        </w:rPr>
        <w:t xml:space="preserve"> that is significantly higher than</w:t>
      </w:r>
      <w:r w:rsidRPr="0091615F">
        <w:rPr>
          <w:rFonts w:ascii="Arial" w:eastAsia="Times New Roman" w:hAnsi="Arial" w:cs="Arial"/>
          <w:bCs/>
          <w:lang w:eastAsia="en-GB"/>
        </w:rPr>
        <w:t xml:space="preserve"> the Wandswo</w:t>
      </w:r>
      <w:r w:rsidR="0091615F">
        <w:rPr>
          <w:rFonts w:ascii="Arial" w:eastAsia="Times New Roman" w:hAnsi="Arial" w:cs="Arial"/>
          <w:bCs/>
          <w:lang w:eastAsia="en-GB"/>
        </w:rPr>
        <w:t>r</w:t>
      </w:r>
      <w:r w:rsidRPr="0091615F">
        <w:rPr>
          <w:rFonts w:ascii="Arial" w:eastAsia="Times New Roman" w:hAnsi="Arial" w:cs="Arial"/>
          <w:bCs/>
          <w:lang w:eastAsia="en-GB"/>
        </w:rPr>
        <w:t>th average</w:t>
      </w:r>
      <w:r w:rsidR="00214915">
        <w:rPr>
          <w:rFonts w:ascii="Arial" w:eastAsia="Times New Roman" w:hAnsi="Arial" w:cs="Arial"/>
          <w:bCs/>
          <w:lang w:eastAsia="en-GB"/>
        </w:rPr>
        <w:t>.</w:t>
      </w:r>
    </w:p>
    <w:p w:rsidR="00214915" w:rsidRDefault="00214915" w:rsidP="00575DB3">
      <w:pPr>
        <w:spacing w:after="0"/>
        <w:rPr>
          <w:rFonts w:ascii="Arial" w:eastAsia="Times New Roman" w:hAnsi="Arial" w:cs="Arial"/>
          <w:bCs/>
          <w:lang w:eastAsia="en-GB"/>
        </w:rPr>
      </w:pPr>
    </w:p>
    <w:p w:rsidR="002D12AB" w:rsidRDefault="002D12AB" w:rsidP="002D12AB">
      <w:pPr>
        <w:pStyle w:val="Caption"/>
      </w:pPr>
      <w:r>
        <w:lastRenderedPageBreak/>
        <w:t xml:space="preserve">Figure </w:t>
      </w:r>
      <w:fldSimple w:instr=" SEQ Figure \* ARABIC ">
        <w:r w:rsidR="00652BDF">
          <w:rPr>
            <w:noProof/>
          </w:rPr>
          <w:t>26</w:t>
        </w:r>
      </w:fldSimple>
    </w:p>
    <w:p w:rsidR="00214915" w:rsidRDefault="00214915" w:rsidP="00575DB3">
      <w:pPr>
        <w:spacing w:after="0"/>
        <w:rPr>
          <w:rFonts w:ascii="Arial" w:eastAsia="Times New Roman" w:hAnsi="Arial" w:cs="Arial"/>
          <w:bCs/>
          <w:lang w:eastAsia="en-GB"/>
        </w:rPr>
      </w:pPr>
      <w:r>
        <w:rPr>
          <w:rFonts w:ascii="Arial" w:eastAsia="Times New Roman" w:hAnsi="Arial" w:cs="Arial"/>
          <w:bCs/>
          <w:noProof/>
          <w:lang w:eastAsia="en-GB"/>
        </w:rPr>
        <w:drawing>
          <wp:inline distT="0" distB="0" distL="0" distR="0">
            <wp:extent cx="5727624" cy="4088921"/>
            <wp:effectExtent l="19050" t="0" r="6426"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5727700" cy="4088975"/>
                    </a:xfrm>
                    <a:prstGeom prst="rect">
                      <a:avLst/>
                    </a:prstGeom>
                    <a:noFill/>
                    <a:ln w="9525">
                      <a:noFill/>
                      <a:miter lim="800000"/>
                      <a:headEnd/>
                      <a:tailEnd/>
                    </a:ln>
                  </pic:spPr>
                </pic:pic>
              </a:graphicData>
            </a:graphic>
          </wp:inline>
        </w:drawing>
      </w:r>
    </w:p>
    <w:p w:rsidR="00365FCB" w:rsidRDefault="00365FCB" w:rsidP="00365FCB">
      <w:pPr>
        <w:spacing w:after="0"/>
        <w:jc w:val="right"/>
        <w:rPr>
          <w:rFonts w:ascii="Arial" w:eastAsia="Times New Roman" w:hAnsi="Arial" w:cs="Arial"/>
          <w:bCs/>
          <w:lang w:eastAsia="en-GB"/>
        </w:rPr>
      </w:pPr>
      <w:r>
        <w:rPr>
          <w:rFonts w:ascii="Arial" w:eastAsia="Times New Roman" w:hAnsi="Arial" w:cs="Arial"/>
          <w:bCs/>
          <w:lang w:eastAsia="en-GB"/>
        </w:rPr>
        <w:t>Source: NHS Comparators, NHS Information Centre, 2008-9</w:t>
      </w:r>
    </w:p>
    <w:p w:rsidR="00907ECA" w:rsidRPr="0091615F" w:rsidRDefault="00907ECA" w:rsidP="00575DB3">
      <w:pPr>
        <w:spacing w:after="0"/>
        <w:rPr>
          <w:rFonts w:ascii="Arial" w:eastAsia="Times New Roman" w:hAnsi="Arial" w:cs="Arial"/>
          <w:bCs/>
          <w:lang w:eastAsia="en-GB"/>
        </w:rPr>
      </w:pPr>
    </w:p>
    <w:p w:rsidR="00124AF4" w:rsidRPr="00751528" w:rsidRDefault="00124AF4" w:rsidP="00751528">
      <w:pPr>
        <w:pStyle w:val="Caption"/>
      </w:pPr>
      <w:r w:rsidRPr="00751528">
        <w:t xml:space="preserve">Figure </w:t>
      </w:r>
      <w:fldSimple w:instr=" SEQ Figure \* ARABIC ">
        <w:r w:rsidR="00652BDF">
          <w:rPr>
            <w:noProof/>
          </w:rPr>
          <w:t>27</w:t>
        </w:r>
      </w:fldSimple>
    </w:p>
    <w:p w:rsidR="00E35598" w:rsidRPr="00433711" w:rsidRDefault="00E35598" w:rsidP="00575DB3">
      <w:pPr>
        <w:spacing w:after="0"/>
        <w:rPr>
          <w:rFonts w:ascii="Arial" w:eastAsia="Times New Roman" w:hAnsi="Arial" w:cs="Arial"/>
          <w:b/>
          <w:bCs/>
          <w:lang w:eastAsia="en-GB"/>
        </w:rPr>
      </w:pPr>
      <w:r w:rsidRPr="00433711">
        <w:rPr>
          <w:rFonts w:ascii="Arial" w:eastAsia="Times New Roman" w:hAnsi="Arial" w:cs="Arial"/>
          <w:b/>
          <w:bCs/>
          <w:noProof/>
          <w:lang w:eastAsia="en-GB"/>
        </w:rPr>
        <w:drawing>
          <wp:inline distT="0" distB="0" distL="0" distR="0">
            <wp:extent cx="5731510" cy="3540555"/>
            <wp:effectExtent l="19050" t="0" r="21590" b="27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35598" w:rsidRPr="00433711" w:rsidRDefault="00E35598" w:rsidP="00575DB3">
      <w:pPr>
        <w:spacing w:after="0"/>
        <w:ind w:left="-1134"/>
        <w:rPr>
          <w:rFonts w:ascii="Arial" w:eastAsia="Times New Roman" w:hAnsi="Arial" w:cs="Arial"/>
          <w:b/>
          <w:bCs/>
          <w:lang w:eastAsia="en-GB"/>
        </w:rPr>
      </w:pPr>
    </w:p>
    <w:p w:rsidR="001500C6" w:rsidRPr="0091615F" w:rsidRDefault="00677CE5" w:rsidP="00575DB3">
      <w:pPr>
        <w:spacing w:after="0"/>
        <w:rPr>
          <w:rFonts w:ascii="Arial" w:eastAsia="Times New Roman" w:hAnsi="Arial" w:cs="Arial"/>
          <w:bCs/>
          <w:lang w:eastAsia="en-GB"/>
        </w:rPr>
      </w:pPr>
      <w:r>
        <w:rPr>
          <w:rFonts w:ascii="Arial" w:eastAsia="Times New Roman" w:hAnsi="Arial" w:cs="Arial"/>
          <w:bCs/>
          <w:lang w:eastAsia="en-GB"/>
        </w:rPr>
        <w:lastRenderedPageBreak/>
        <w:t>Figure 27</w:t>
      </w:r>
      <w:r w:rsidR="001500C6" w:rsidRPr="0091615F">
        <w:rPr>
          <w:rFonts w:ascii="Arial" w:eastAsia="Times New Roman" w:hAnsi="Arial" w:cs="Arial"/>
          <w:bCs/>
          <w:lang w:eastAsia="en-GB"/>
        </w:rPr>
        <w:t xml:space="preserve"> indicates that some of t</w:t>
      </w:r>
      <w:r w:rsidR="0091615F">
        <w:rPr>
          <w:rFonts w:ascii="Arial" w:eastAsia="Times New Roman" w:hAnsi="Arial" w:cs="Arial"/>
          <w:bCs/>
          <w:lang w:eastAsia="en-GB"/>
        </w:rPr>
        <w:t>hose practices with high emerge</w:t>
      </w:r>
      <w:r w:rsidR="0091615F" w:rsidRPr="0091615F">
        <w:rPr>
          <w:rFonts w:ascii="Arial" w:eastAsia="Times New Roman" w:hAnsi="Arial" w:cs="Arial"/>
          <w:bCs/>
          <w:lang w:eastAsia="en-GB"/>
        </w:rPr>
        <w:t>ncy</w:t>
      </w:r>
      <w:r w:rsidR="001500C6" w:rsidRPr="0091615F">
        <w:rPr>
          <w:rFonts w:ascii="Arial" w:eastAsia="Times New Roman" w:hAnsi="Arial" w:cs="Arial"/>
          <w:bCs/>
          <w:lang w:eastAsia="en-GB"/>
        </w:rPr>
        <w:t xml:space="preserve"> admission rates are also those with poor achievement on the QOF score</w:t>
      </w:r>
      <w:r w:rsidR="008A0365">
        <w:rPr>
          <w:rFonts w:ascii="Arial" w:eastAsia="Times New Roman" w:hAnsi="Arial" w:cs="Arial"/>
          <w:bCs/>
          <w:lang w:eastAsia="en-GB"/>
        </w:rPr>
        <w:t>.</w:t>
      </w:r>
      <w:r w:rsidR="001500C6" w:rsidRPr="0091615F">
        <w:rPr>
          <w:rFonts w:ascii="Arial" w:eastAsia="Times New Roman" w:hAnsi="Arial" w:cs="Arial"/>
          <w:bCs/>
          <w:lang w:eastAsia="en-GB"/>
        </w:rPr>
        <w:t xml:space="preserve"> </w:t>
      </w:r>
      <w:r w:rsidR="0091615F" w:rsidRPr="0091615F">
        <w:rPr>
          <w:rFonts w:ascii="Arial" w:eastAsia="Times New Roman" w:hAnsi="Arial" w:cs="Arial"/>
          <w:bCs/>
          <w:lang w:eastAsia="en-GB"/>
        </w:rPr>
        <w:t>Conversely</w:t>
      </w:r>
      <w:r w:rsidR="001500C6" w:rsidRPr="0091615F">
        <w:rPr>
          <w:rFonts w:ascii="Arial" w:eastAsia="Times New Roman" w:hAnsi="Arial" w:cs="Arial"/>
          <w:bCs/>
          <w:lang w:eastAsia="en-GB"/>
        </w:rPr>
        <w:t>, some practice</w:t>
      </w:r>
      <w:r>
        <w:rPr>
          <w:rFonts w:ascii="Arial" w:eastAsia="Times New Roman" w:hAnsi="Arial" w:cs="Arial"/>
          <w:bCs/>
          <w:lang w:eastAsia="en-GB"/>
        </w:rPr>
        <w:t>s</w:t>
      </w:r>
      <w:r w:rsidR="001500C6" w:rsidRPr="0091615F">
        <w:rPr>
          <w:rFonts w:ascii="Arial" w:eastAsia="Times New Roman" w:hAnsi="Arial" w:cs="Arial"/>
          <w:bCs/>
          <w:lang w:eastAsia="en-GB"/>
        </w:rPr>
        <w:t xml:space="preserve"> with low admission rates also have low </w:t>
      </w:r>
      <w:r w:rsidR="0091615F">
        <w:rPr>
          <w:rFonts w:ascii="Arial" w:eastAsia="Times New Roman" w:hAnsi="Arial" w:cs="Arial"/>
          <w:bCs/>
          <w:lang w:eastAsia="en-GB"/>
        </w:rPr>
        <w:t>QOF</w:t>
      </w:r>
      <w:r w:rsidR="000A1DEF">
        <w:rPr>
          <w:rFonts w:ascii="Arial" w:eastAsia="Times New Roman" w:hAnsi="Arial" w:cs="Arial"/>
          <w:bCs/>
          <w:lang w:eastAsia="en-GB"/>
        </w:rPr>
        <w:t xml:space="preserve"> scores</w:t>
      </w:r>
      <w:r>
        <w:rPr>
          <w:rFonts w:ascii="Arial" w:eastAsia="Times New Roman" w:hAnsi="Arial" w:cs="Arial"/>
          <w:bCs/>
          <w:lang w:eastAsia="en-GB"/>
        </w:rPr>
        <w:t>, so it is hard to make an association between the two variables.</w:t>
      </w:r>
    </w:p>
    <w:p w:rsidR="001500C6" w:rsidRPr="00433711" w:rsidRDefault="001500C6" w:rsidP="00575DB3">
      <w:pPr>
        <w:spacing w:after="0"/>
        <w:ind w:left="-1134"/>
        <w:rPr>
          <w:rFonts w:ascii="Arial" w:eastAsia="Times New Roman" w:hAnsi="Arial" w:cs="Arial"/>
          <w:b/>
          <w:bCs/>
          <w:lang w:eastAsia="en-GB"/>
        </w:rPr>
      </w:pPr>
    </w:p>
    <w:p w:rsidR="00677CE5" w:rsidRPr="0091615F" w:rsidRDefault="00677CE5" w:rsidP="00677CE5">
      <w:pPr>
        <w:spacing w:after="0"/>
        <w:rPr>
          <w:rFonts w:ascii="Arial" w:eastAsia="Times New Roman" w:hAnsi="Arial" w:cs="Arial"/>
          <w:bCs/>
          <w:lang w:eastAsia="en-GB"/>
        </w:rPr>
      </w:pPr>
      <w:r w:rsidRPr="0091615F">
        <w:rPr>
          <w:rFonts w:ascii="Arial" w:eastAsia="Times New Roman" w:hAnsi="Arial" w:cs="Arial"/>
          <w:bCs/>
          <w:lang w:eastAsia="en-GB"/>
        </w:rPr>
        <w:t xml:space="preserve">Those practices with the highest admission rates are </w:t>
      </w:r>
      <w:r>
        <w:rPr>
          <w:rFonts w:ascii="Arial" w:eastAsia="Times New Roman" w:hAnsi="Arial" w:cs="Arial"/>
          <w:bCs/>
          <w:lang w:eastAsia="en-GB"/>
        </w:rPr>
        <w:t xml:space="preserve">also </w:t>
      </w:r>
      <w:r w:rsidRPr="0091615F">
        <w:rPr>
          <w:rFonts w:ascii="Arial" w:eastAsia="Times New Roman" w:hAnsi="Arial" w:cs="Arial"/>
          <w:bCs/>
          <w:lang w:eastAsia="en-GB"/>
        </w:rPr>
        <w:t>not necessarily</w:t>
      </w:r>
      <w:r>
        <w:rPr>
          <w:rFonts w:ascii="Arial" w:eastAsia="Times New Roman" w:hAnsi="Arial" w:cs="Arial"/>
          <w:bCs/>
          <w:lang w:eastAsia="en-GB"/>
        </w:rPr>
        <w:t xml:space="preserve"> the most deprived (as demonstrated in Figure 28).</w:t>
      </w:r>
      <w:r w:rsidRPr="0091615F">
        <w:rPr>
          <w:rFonts w:ascii="Arial" w:eastAsia="Times New Roman" w:hAnsi="Arial" w:cs="Arial"/>
          <w:bCs/>
          <w:lang w:eastAsia="en-GB"/>
        </w:rPr>
        <w:t xml:space="preserve"> </w:t>
      </w:r>
      <w:r>
        <w:rPr>
          <w:rFonts w:ascii="Arial" w:eastAsia="Times New Roman" w:hAnsi="Arial" w:cs="Arial"/>
          <w:bCs/>
          <w:lang w:eastAsia="en-GB"/>
        </w:rPr>
        <w:t xml:space="preserve">It </w:t>
      </w:r>
      <w:r w:rsidRPr="0091615F">
        <w:rPr>
          <w:rFonts w:ascii="Arial" w:eastAsia="Times New Roman" w:hAnsi="Arial" w:cs="Arial"/>
          <w:bCs/>
          <w:lang w:eastAsia="en-GB"/>
        </w:rPr>
        <w:t>is hard to see a positive correlation between deprivation and emergency admission.</w:t>
      </w:r>
    </w:p>
    <w:p w:rsidR="00677CE5" w:rsidRDefault="00677CE5" w:rsidP="00751528">
      <w:pPr>
        <w:pStyle w:val="Caption"/>
      </w:pPr>
    </w:p>
    <w:p w:rsidR="00124AF4" w:rsidRDefault="00124AF4" w:rsidP="00751528">
      <w:pPr>
        <w:pStyle w:val="Caption"/>
      </w:pPr>
      <w:r w:rsidRPr="00751528">
        <w:t xml:space="preserve">Figure </w:t>
      </w:r>
      <w:fldSimple w:instr=" SEQ Figure \* ARABIC ">
        <w:r w:rsidR="00652BDF">
          <w:rPr>
            <w:noProof/>
          </w:rPr>
          <w:t>28</w:t>
        </w:r>
      </w:fldSimple>
    </w:p>
    <w:p w:rsidR="00A82EAC" w:rsidRPr="00A82EAC" w:rsidRDefault="00A82EAC" w:rsidP="00A82EAC">
      <w:r w:rsidRPr="00A82EAC">
        <w:rPr>
          <w:noProof/>
          <w:lang w:eastAsia="en-GB"/>
        </w:rPr>
        <w:drawing>
          <wp:inline distT="0" distB="0" distL="0" distR="0">
            <wp:extent cx="5725244" cy="4597879"/>
            <wp:effectExtent l="19050" t="0" r="27856"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A0365" w:rsidRPr="008A0365" w:rsidRDefault="008A0365" w:rsidP="008A0365">
      <w:pPr>
        <w:spacing w:after="0"/>
        <w:jc w:val="right"/>
        <w:rPr>
          <w:rFonts w:ascii="Arial" w:eastAsia="Times New Roman" w:hAnsi="Arial" w:cs="Arial"/>
          <w:bCs/>
          <w:i/>
          <w:lang w:eastAsia="en-GB"/>
        </w:rPr>
      </w:pPr>
      <w:r w:rsidRPr="008A0365">
        <w:rPr>
          <w:rFonts w:ascii="Arial" w:eastAsia="Times New Roman" w:hAnsi="Arial" w:cs="Arial"/>
          <w:bCs/>
          <w:i/>
          <w:lang w:eastAsia="en-GB"/>
        </w:rPr>
        <w:t>Source: NHS Comparators 2008-2009, LHO 2009</w:t>
      </w:r>
    </w:p>
    <w:p w:rsidR="008A0365" w:rsidRDefault="008A0365" w:rsidP="00575DB3">
      <w:pPr>
        <w:spacing w:after="0"/>
        <w:rPr>
          <w:rFonts w:ascii="Arial" w:eastAsia="Times New Roman" w:hAnsi="Arial" w:cs="Arial"/>
          <w:bCs/>
          <w:lang w:eastAsia="en-GB"/>
        </w:rPr>
      </w:pPr>
    </w:p>
    <w:p w:rsidR="0088180A" w:rsidRDefault="0088180A" w:rsidP="00770E50">
      <w:pPr>
        <w:pStyle w:val="Heading2"/>
      </w:pPr>
    </w:p>
    <w:p w:rsidR="002D12AB" w:rsidRDefault="002D12AB">
      <w:pPr>
        <w:rPr>
          <w:rFonts w:ascii="Arial" w:eastAsia="Times New Roman" w:hAnsi="Arial" w:cs="Arial"/>
          <w:bCs/>
          <w:color w:val="1F497D" w:themeColor="text2"/>
          <w:sz w:val="26"/>
          <w:szCs w:val="24"/>
          <w:lang w:eastAsia="en-GB"/>
        </w:rPr>
      </w:pPr>
      <w:r>
        <w:br w:type="page"/>
      </w:r>
    </w:p>
    <w:p w:rsidR="002A2292" w:rsidRDefault="002A2292" w:rsidP="00770E50">
      <w:pPr>
        <w:pStyle w:val="Heading2"/>
      </w:pPr>
      <w:bookmarkStart w:id="39" w:name="_Toc256345750"/>
      <w:r>
        <w:lastRenderedPageBreak/>
        <w:t>Discharge services</w:t>
      </w:r>
      <w:bookmarkEnd w:id="39"/>
    </w:p>
    <w:p w:rsidR="0088180A" w:rsidRPr="00770E50" w:rsidRDefault="002A2292" w:rsidP="00770E50">
      <w:pPr>
        <w:pStyle w:val="Heading3"/>
      </w:pPr>
      <w:bookmarkStart w:id="40" w:name="_Toc256345751"/>
      <w:r w:rsidRPr="00770E50">
        <w:t xml:space="preserve">Key measure: </w:t>
      </w:r>
      <w:r w:rsidR="0088180A" w:rsidRPr="00770E50">
        <w:t>Length of Stay</w:t>
      </w:r>
      <w:bookmarkEnd w:id="40"/>
    </w:p>
    <w:p w:rsidR="002A2292" w:rsidRDefault="002A2292" w:rsidP="00575DB3">
      <w:pPr>
        <w:spacing w:after="0"/>
        <w:rPr>
          <w:rFonts w:ascii="Arial" w:eastAsia="Times New Roman" w:hAnsi="Arial" w:cs="Arial"/>
          <w:bCs/>
          <w:lang w:eastAsia="en-GB"/>
        </w:rPr>
      </w:pPr>
    </w:p>
    <w:p w:rsidR="00B813FA" w:rsidRDefault="00B813FA" w:rsidP="00575DB3">
      <w:pPr>
        <w:spacing w:after="0"/>
        <w:rPr>
          <w:rFonts w:ascii="Arial" w:eastAsia="Times New Roman" w:hAnsi="Arial" w:cs="Arial"/>
          <w:bCs/>
          <w:lang w:eastAsia="en-GB"/>
        </w:rPr>
      </w:pPr>
      <w:r>
        <w:rPr>
          <w:rFonts w:ascii="Arial" w:eastAsia="Times New Roman" w:hAnsi="Arial" w:cs="Arial"/>
          <w:bCs/>
          <w:lang w:eastAsia="en-GB"/>
        </w:rPr>
        <w:t>Length of stay in hospital for acute admission</w:t>
      </w:r>
      <w:r w:rsidR="008A0365">
        <w:rPr>
          <w:rFonts w:ascii="Arial" w:eastAsia="Times New Roman" w:hAnsi="Arial" w:cs="Arial"/>
          <w:bCs/>
          <w:lang w:eastAsia="en-GB"/>
        </w:rPr>
        <w:t>s</w:t>
      </w:r>
      <w:r>
        <w:rPr>
          <w:rFonts w:ascii="Arial" w:eastAsia="Times New Roman" w:hAnsi="Arial" w:cs="Arial"/>
          <w:bCs/>
          <w:lang w:eastAsia="en-GB"/>
        </w:rPr>
        <w:t xml:space="preserve"> is a </w:t>
      </w:r>
      <w:r w:rsidR="004471D6">
        <w:rPr>
          <w:rFonts w:ascii="Arial" w:eastAsia="Times New Roman" w:hAnsi="Arial" w:cs="Arial"/>
          <w:bCs/>
          <w:lang w:eastAsia="en-GB"/>
        </w:rPr>
        <w:t>useful</w:t>
      </w:r>
      <w:r>
        <w:rPr>
          <w:rFonts w:ascii="Arial" w:eastAsia="Times New Roman" w:hAnsi="Arial" w:cs="Arial"/>
          <w:bCs/>
          <w:lang w:eastAsia="en-GB"/>
        </w:rPr>
        <w:t xml:space="preserve"> process </w:t>
      </w:r>
      <w:r w:rsidR="004471D6">
        <w:rPr>
          <w:rFonts w:ascii="Arial" w:eastAsia="Times New Roman" w:hAnsi="Arial" w:cs="Arial"/>
          <w:bCs/>
          <w:lang w:eastAsia="en-GB"/>
        </w:rPr>
        <w:t>measure</w:t>
      </w:r>
      <w:r w:rsidR="00224E45">
        <w:rPr>
          <w:rFonts w:ascii="Arial" w:eastAsia="Times New Roman" w:hAnsi="Arial" w:cs="Arial"/>
          <w:bCs/>
          <w:lang w:eastAsia="en-GB"/>
        </w:rPr>
        <w:t xml:space="preserve"> that</w:t>
      </w:r>
      <w:r>
        <w:rPr>
          <w:rFonts w:ascii="Arial" w:eastAsia="Times New Roman" w:hAnsi="Arial" w:cs="Arial"/>
          <w:bCs/>
          <w:lang w:eastAsia="en-GB"/>
        </w:rPr>
        <w:t xml:space="preserve"> reflects on the quality of </w:t>
      </w:r>
      <w:r w:rsidR="004471D6">
        <w:rPr>
          <w:rFonts w:ascii="Arial" w:eastAsia="Times New Roman" w:hAnsi="Arial" w:cs="Arial"/>
          <w:bCs/>
          <w:lang w:eastAsia="en-GB"/>
        </w:rPr>
        <w:t>discharge</w:t>
      </w:r>
      <w:r>
        <w:rPr>
          <w:rFonts w:ascii="Arial" w:eastAsia="Times New Roman" w:hAnsi="Arial" w:cs="Arial"/>
          <w:bCs/>
          <w:lang w:eastAsia="en-GB"/>
        </w:rPr>
        <w:t xml:space="preserve"> </w:t>
      </w:r>
      <w:r w:rsidR="004471D6">
        <w:rPr>
          <w:rFonts w:ascii="Arial" w:eastAsia="Times New Roman" w:hAnsi="Arial" w:cs="Arial"/>
          <w:bCs/>
          <w:lang w:eastAsia="en-GB"/>
        </w:rPr>
        <w:t>management</w:t>
      </w:r>
      <w:r>
        <w:rPr>
          <w:rFonts w:ascii="Arial" w:eastAsia="Times New Roman" w:hAnsi="Arial" w:cs="Arial"/>
          <w:bCs/>
          <w:lang w:eastAsia="en-GB"/>
        </w:rPr>
        <w:t xml:space="preserve"> in the hospital. Ideally patients </w:t>
      </w:r>
      <w:r w:rsidR="004471D6">
        <w:rPr>
          <w:rFonts w:ascii="Arial" w:eastAsia="Times New Roman" w:hAnsi="Arial" w:cs="Arial"/>
          <w:bCs/>
          <w:lang w:eastAsia="en-GB"/>
        </w:rPr>
        <w:t>would</w:t>
      </w:r>
      <w:r>
        <w:rPr>
          <w:rFonts w:ascii="Arial" w:eastAsia="Times New Roman" w:hAnsi="Arial" w:cs="Arial"/>
          <w:bCs/>
          <w:lang w:eastAsia="en-GB"/>
        </w:rPr>
        <w:t xml:space="preserve"> be diagnosed from hospital as soon as possible, but only once the current episode has been adequately treated, and when a robust discharge plan is in place, including </w:t>
      </w:r>
      <w:r w:rsidR="004471D6">
        <w:rPr>
          <w:rFonts w:ascii="Arial" w:eastAsia="Times New Roman" w:hAnsi="Arial" w:cs="Arial"/>
          <w:bCs/>
          <w:lang w:eastAsia="en-GB"/>
        </w:rPr>
        <w:t>appropriate</w:t>
      </w:r>
      <w:r>
        <w:rPr>
          <w:rFonts w:ascii="Arial" w:eastAsia="Times New Roman" w:hAnsi="Arial" w:cs="Arial"/>
          <w:bCs/>
          <w:lang w:eastAsia="en-GB"/>
        </w:rPr>
        <w:t xml:space="preserve"> </w:t>
      </w:r>
      <w:r w:rsidR="004471D6">
        <w:rPr>
          <w:rFonts w:ascii="Arial" w:eastAsia="Times New Roman" w:hAnsi="Arial" w:cs="Arial"/>
          <w:bCs/>
          <w:lang w:eastAsia="en-GB"/>
        </w:rPr>
        <w:t>levels</w:t>
      </w:r>
      <w:r>
        <w:rPr>
          <w:rFonts w:ascii="Arial" w:eastAsia="Times New Roman" w:hAnsi="Arial" w:cs="Arial"/>
          <w:bCs/>
          <w:lang w:eastAsia="en-GB"/>
        </w:rPr>
        <w:t xml:space="preserve"> of support in the community</w:t>
      </w:r>
      <w:r w:rsidR="004471D6">
        <w:rPr>
          <w:rFonts w:ascii="Arial" w:eastAsia="Times New Roman" w:hAnsi="Arial" w:cs="Arial"/>
          <w:bCs/>
          <w:lang w:eastAsia="en-GB"/>
        </w:rPr>
        <w:t>.</w:t>
      </w:r>
    </w:p>
    <w:p w:rsidR="00B813FA" w:rsidRDefault="00B813FA" w:rsidP="00575DB3">
      <w:pPr>
        <w:spacing w:after="0"/>
        <w:rPr>
          <w:rFonts w:ascii="Arial" w:eastAsia="Times New Roman" w:hAnsi="Arial" w:cs="Arial"/>
          <w:bCs/>
          <w:lang w:eastAsia="en-GB"/>
        </w:rPr>
      </w:pPr>
    </w:p>
    <w:p w:rsidR="001500C6" w:rsidRDefault="001500C6" w:rsidP="00575DB3">
      <w:pPr>
        <w:spacing w:after="0"/>
        <w:rPr>
          <w:rFonts w:ascii="Arial" w:eastAsia="Times New Roman" w:hAnsi="Arial" w:cs="Arial"/>
          <w:bCs/>
          <w:lang w:eastAsia="en-GB"/>
        </w:rPr>
      </w:pPr>
      <w:r w:rsidRPr="0091615F">
        <w:rPr>
          <w:rFonts w:ascii="Arial" w:eastAsia="Times New Roman" w:hAnsi="Arial" w:cs="Arial"/>
          <w:bCs/>
          <w:lang w:eastAsia="en-GB"/>
        </w:rPr>
        <w:t>Length of stay in hospital with COPD in Wandswor</w:t>
      </w:r>
      <w:r w:rsidR="002329C5" w:rsidRPr="0091615F">
        <w:rPr>
          <w:rFonts w:ascii="Arial" w:eastAsia="Times New Roman" w:hAnsi="Arial" w:cs="Arial"/>
          <w:bCs/>
          <w:lang w:eastAsia="en-GB"/>
        </w:rPr>
        <w:t>t</w:t>
      </w:r>
      <w:r w:rsidRPr="0091615F">
        <w:rPr>
          <w:rFonts w:ascii="Arial" w:eastAsia="Times New Roman" w:hAnsi="Arial" w:cs="Arial"/>
          <w:bCs/>
          <w:lang w:eastAsia="en-GB"/>
        </w:rPr>
        <w:t xml:space="preserve">h does appear to be higher than the </w:t>
      </w:r>
      <w:r w:rsidR="002329C5" w:rsidRPr="0091615F">
        <w:rPr>
          <w:rFonts w:ascii="Arial" w:eastAsia="Times New Roman" w:hAnsi="Arial" w:cs="Arial"/>
          <w:bCs/>
          <w:lang w:eastAsia="en-GB"/>
        </w:rPr>
        <w:t>London</w:t>
      </w:r>
      <w:r w:rsidRPr="0091615F">
        <w:rPr>
          <w:rFonts w:ascii="Arial" w:eastAsia="Times New Roman" w:hAnsi="Arial" w:cs="Arial"/>
          <w:bCs/>
          <w:lang w:eastAsia="en-GB"/>
        </w:rPr>
        <w:t xml:space="preserve"> average.</w:t>
      </w:r>
      <w:r w:rsidR="00BF5AF4">
        <w:rPr>
          <w:rFonts w:ascii="Arial" w:eastAsia="Times New Roman" w:hAnsi="Arial" w:cs="Arial"/>
          <w:bCs/>
          <w:lang w:eastAsia="en-GB"/>
        </w:rPr>
        <w:t xml:space="preserve"> The cluster average length of stay is higher than both London and national averages, perhaps reflecting the higher proportion of complex cases and deprivation in the central London cluster, but the Wandsworth average is still just statistically significantly above this.</w:t>
      </w:r>
    </w:p>
    <w:p w:rsidR="00FE2D0E" w:rsidRDefault="00FE2D0E" w:rsidP="00575DB3">
      <w:pPr>
        <w:spacing w:after="0"/>
        <w:rPr>
          <w:rFonts w:ascii="Arial" w:eastAsia="Times New Roman" w:hAnsi="Arial" w:cs="Arial"/>
          <w:bCs/>
          <w:lang w:eastAsia="en-GB"/>
        </w:rPr>
      </w:pPr>
    </w:p>
    <w:p w:rsidR="00FE2D0E" w:rsidRDefault="00FE2D0E" w:rsidP="00575DB3">
      <w:pPr>
        <w:spacing w:after="0"/>
        <w:rPr>
          <w:rFonts w:ascii="Arial" w:eastAsia="Times New Roman" w:hAnsi="Arial" w:cs="Arial"/>
          <w:bCs/>
          <w:lang w:eastAsia="en-GB"/>
        </w:rPr>
      </w:pPr>
      <w:r w:rsidRPr="00FE2D0E">
        <w:rPr>
          <w:rFonts w:ascii="Arial" w:eastAsia="Times New Roman" w:hAnsi="Arial" w:cs="Arial"/>
          <w:bCs/>
          <w:noProof/>
          <w:lang w:eastAsia="en-GB"/>
        </w:rPr>
        <w:drawing>
          <wp:inline distT="0" distB="0" distL="0" distR="0">
            <wp:extent cx="6312081" cy="4724400"/>
            <wp:effectExtent l="19050" t="0" r="12519"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65FCB" w:rsidRDefault="00365FCB" w:rsidP="00365FCB">
      <w:pPr>
        <w:spacing w:after="0"/>
        <w:jc w:val="right"/>
        <w:rPr>
          <w:rFonts w:ascii="Arial" w:eastAsia="Times New Roman" w:hAnsi="Arial" w:cs="Arial"/>
          <w:bCs/>
          <w:lang w:eastAsia="en-GB"/>
        </w:rPr>
      </w:pPr>
      <w:r>
        <w:rPr>
          <w:rFonts w:ascii="Arial" w:eastAsia="Times New Roman" w:hAnsi="Arial" w:cs="Arial"/>
          <w:bCs/>
          <w:lang w:eastAsia="en-GB"/>
        </w:rPr>
        <w:t>Source: NHS Comparators, NHS Information Centre, 2008-9</w:t>
      </w:r>
    </w:p>
    <w:p w:rsidR="00FE2D0E" w:rsidRDefault="00FE2D0E" w:rsidP="00575DB3">
      <w:pPr>
        <w:spacing w:after="0"/>
        <w:rPr>
          <w:rFonts w:ascii="Arial" w:eastAsia="Times New Roman" w:hAnsi="Arial" w:cs="Arial"/>
          <w:bCs/>
          <w:lang w:eastAsia="en-GB"/>
        </w:rPr>
      </w:pPr>
    </w:p>
    <w:p w:rsidR="00BF5AF4" w:rsidRDefault="00BF5AF4" w:rsidP="00575DB3">
      <w:pPr>
        <w:spacing w:after="0"/>
        <w:rPr>
          <w:rFonts w:ascii="Arial" w:eastAsia="Times New Roman" w:hAnsi="Arial" w:cs="Arial"/>
          <w:bCs/>
          <w:lang w:eastAsia="en-GB"/>
        </w:rPr>
      </w:pPr>
      <w:proofErr w:type="gramStart"/>
      <w:r>
        <w:rPr>
          <w:rFonts w:ascii="Arial" w:eastAsia="Times New Roman" w:hAnsi="Arial" w:cs="Arial"/>
          <w:bCs/>
          <w:lang w:eastAsia="en-GB"/>
        </w:rPr>
        <w:t xml:space="preserve">Looking at data at the practice level, it possible to see that there are a small number of practices that have a much higher length of stay than the others, including </w:t>
      </w:r>
      <w:r w:rsidR="002D12AB">
        <w:rPr>
          <w:rFonts w:ascii="Arial" w:eastAsia="Times New Roman" w:hAnsi="Arial" w:cs="Arial"/>
          <w:bCs/>
          <w:lang w:eastAsia="en-GB"/>
        </w:rPr>
        <w:t>one significant outlier (</w:t>
      </w:r>
      <w:proofErr w:type="spellStart"/>
      <w:r w:rsidR="002D12AB">
        <w:rPr>
          <w:rFonts w:ascii="Arial" w:eastAsia="Times New Roman" w:hAnsi="Arial" w:cs="Arial"/>
          <w:bCs/>
          <w:lang w:eastAsia="en-GB"/>
        </w:rPr>
        <w:t>Northcote</w:t>
      </w:r>
      <w:proofErr w:type="spellEnd"/>
      <w:r>
        <w:rPr>
          <w:rFonts w:ascii="Arial" w:eastAsia="Times New Roman" w:hAnsi="Arial" w:cs="Arial"/>
          <w:bCs/>
          <w:lang w:eastAsia="en-GB"/>
        </w:rPr>
        <w:t xml:space="preserve"> Road Surgery).</w:t>
      </w:r>
      <w:proofErr w:type="gramEnd"/>
      <w:r>
        <w:rPr>
          <w:rFonts w:ascii="Arial" w:eastAsia="Times New Roman" w:hAnsi="Arial" w:cs="Arial"/>
          <w:bCs/>
          <w:lang w:eastAsia="en-GB"/>
        </w:rPr>
        <w:t xml:space="preserve">  In part this is a reflection of very small numbers of cases, or even individuals, in some places that have spent a prolonged period in hospital. However, </w:t>
      </w:r>
      <w:r>
        <w:rPr>
          <w:rFonts w:ascii="Arial" w:eastAsia="Times New Roman" w:hAnsi="Arial" w:cs="Arial"/>
          <w:bCs/>
          <w:lang w:eastAsia="en-GB"/>
        </w:rPr>
        <w:lastRenderedPageBreak/>
        <w:t>in some other practices with long stays there have been a number of different admission, perhaps reflecting a systematic difficulty in arranging discharge to certain locations.</w:t>
      </w:r>
    </w:p>
    <w:p w:rsidR="00BF5AF4" w:rsidRPr="0091615F" w:rsidRDefault="00BF5AF4" w:rsidP="00575DB3">
      <w:pPr>
        <w:spacing w:after="0"/>
        <w:rPr>
          <w:rFonts w:ascii="Arial" w:eastAsia="Times New Roman" w:hAnsi="Arial" w:cs="Arial"/>
          <w:bCs/>
          <w:lang w:eastAsia="en-GB"/>
        </w:rPr>
      </w:pPr>
    </w:p>
    <w:p w:rsidR="001500C6" w:rsidRDefault="00FE2D0E" w:rsidP="00575DB3">
      <w:pPr>
        <w:spacing w:after="0"/>
        <w:rPr>
          <w:rFonts w:ascii="Arial" w:eastAsia="Times New Roman" w:hAnsi="Arial" w:cs="Arial"/>
          <w:b/>
          <w:bCs/>
          <w:lang w:eastAsia="en-GB"/>
        </w:rPr>
      </w:pPr>
      <w:r w:rsidRPr="00FE2D0E">
        <w:rPr>
          <w:rFonts w:ascii="Arial" w:eastAsia="Times New Roman" w:hAnsi="Arial" w:cs="Arial"/>
          <w:b/>
          <w:bCs/>
          <w:noProof/>
          <w:lang w:eastAsia="en-GB"/>
        </w:rPr>
        <w:drawing>
          <wp:inline distT="0" distB="0" distL="0" distR="0">
            <wp:extent cx="6274294" cy="5689600"/>
            <wp:effectExtent l="19050" t="0" r="12206" b="635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65FCB" w:rsidRPr="008A0365" w:rsidRDefault="00C07B07" w:rsidP="00365FCB">
      <w:pPr>
        <w:spacing w:after="0"/>
        <w:jc w:val="right"/>
        <w:rPr>
          <w:rFonts w:ascii="Arial" w:eastAsia="Times New Roman" w:hAnsi="Arial" w:cs="Arial"/>
          <w:bCs/>
          <w:i/>
          <w:lang w:eastAsia="en-GB"/>
        </w:rPr>
      </w:pPr>
      <w:r w:rsidRPr="008A0365">
        <w:rPr>
          <w:rFonts w:ascii="Arial" w:eastAsia="Times New Roman" w:hAnsi="Arial" w:cs="Arial"/>
          <w:b/>
          <w:bCs/>
          <w:i/>
          <w:lang w:eastAsia="en-GB"/>
        </w:rPr>
        <w:tab/>
      </w:r>
      <w:r w:rsidR="00365FCB" w:rsidRPr="008A0365">
        <w:rPr>
          <w:rFonts w:ascii="Arial" w:eastAsia="Times New Roman" w:hAnsi="Arial" w:cs="Arial"/>
          <w:bCs/>
          <w:i/>
          <w:lang w:eastAsia="en-GB"/>
        </w:rPr>
        <w:t>Source: NHS Comparators, NHS Information Centre, 2008-9</w:t>
      </w:r>
    </w:p>
    <w:p w:rsidR="00B813FA" w:rsidRDefault="00B813FA" w:rsidP="00C07B07">
      <w:pPr>
        <w:tabs>
          <w:tab w:val="left" w:pos="1354"/>
        </w:tabs>
        <w:spacing w:after="0"/>
        <w:ind w:left="-1134"/>
        <w:rPr>
          <w:rFonts w:ascii="Arial" w:eastAsia="Times New Roman" w:hAnsi="Arial" w:cs="Arial"/>
          <w:b/>
          <w:bCs/>
          <w:lang w:eastAsia="en-GB"/>
        </w:rPr>
      </w:pPr>
    </w:p>
    <w:p w:rsidR="00B813FA" w:rsidRDefault="00B813FA">
      <w:pPr>
        <w:rPr>
          <w:rFonts w:ascii="Arial" w:eastAsia="Times New Roman" w:hAnsi="Arial" w:cs="Arial"/>
          <w:b/>
          <w:bCs/>
          <w:lang w:eastAsia="en-GB"/>
        </w:rPr>
      </w:pPr>
      <w:r>
        <w:rPr>
          <w:rFonts w:ascii="Arial" w:eastAsia="Times New Roman" w:hAnsi="Arial" w:cs="Arial"/>
          <w:b/>
          <w:bCs/>
          <w:lang w:eastAsia="en-GB"/>
        </w:rPr>
        <w:br w:type="page"/>
      </w:r>
    </w:p>
    <w:p w:rsidR="0091615F" w:rsidRDefault="00B813FA" w:rsidP="00770E50">
      <w:pPr>
        <w:pStyle w:val="Heading2"/>
      </w:pPr>
      <w:bookmarkStart w:id="41" w:name="_Toc256345752"/>
      <w:r>
        <w:lastRenderedPageBreak/>
        <w:t>Key Measure: Readmission rates</w:t>
      </w:r>
      <w:bookmarkEnd w:id="41"/>
    </w:p>
    <w:p w:rsidR="00B813FA" w:rsidRDefault="00B813FA" w:rsidP="00C07B07">
      <w:pPr>
        <w:tabs>
          <w:tab w:val="left" w:pos="1354"/>
        </w:tabs>
        <w:spacing w:after="0"/>
        <w:ind w:left="-1134"/>
        <w:rPr>
          <w:rFonts w:ascii="Arial" w:eastAsia="Times New Roman" w:hAnsi="Arial" w:cs="Arial"/>
          <w:b/>
          <w:bCs/>
          <w:lang w:eastAsia="en-GB"/>
        </w:rPr>
      </w:pPr>
    </w:p>
    <w:p w:rsidR="00B813FA" w:rsidRPr="00B813FA" w:rsidRDefault="004471D6" w:rsidP="00B813FA">
      <w:pPr>
        <w:tabs>
          <w:tab w:val="left" w:pos="1354"/>
        </w:tabs>
        <w:spacing w:after="0"/>
        <w:rPr>
          <w:rFonts w:ascii="Arial" w:eastAsia="Times New Roman" w:hAnsi="Arial" w:cs="Arial"/>
          <w:bCs/>
          <w:lang w:eastAsia="en-GB"/>
        </w:rPr>
      </w:pPr>
      <w:r w:rsidRPr="00B813FA">
        <w:rPr>
          <w:rFonts w:ascii="Arial" w:eastAsia="Times New Roman" w:hAnsi="Arial" w:cs="Arial"/>
          <w:bCs/>
          <w:lang w:eastAsia="en-GB"/>
        </w:rPr>
        <w:t>Readmission</w:t>
      </w:r>
      <w:r w:rsidR="00B813FA" w:rsidRPr="00B813FA">
        <w:rPr>
          <w:rFonts w:ascii="Arial" w:eastAsia="Times New Roman" w:hAnsi="Arial" w:cs="Arial"/>
          <w:bCs/>
          <w:lang w:eastAsia="en-GB"/>
        </w:rPr>
        <w:t xml:space="preserve"> rates for patients with COPD are a useful process measure of the quality of discharge coordination services, and support in the community. </w:t>
      </w:r>
      <w:r w:rsidRPr="00B813FA">
        <w:rPr>
          <w:rFonts w:ascii="Arial" w:eastAsia="Times New Roman" w:hAnsi="Arial" w:cs="Arial"/>
          <w:bCs/>
          <w:lang w:eastAsia="en-GB"/>
        </w:rPr>
        <w:t>A well coordinated service would aim to keep readmission to a low level,</w:t>
      </w:r>
      <w:r>
        <w:rPr>
          <w:rFonts w:ascii="Arial" w:eastAsia="Times New Roman" w:hAnsi="Arial" w:cs="Arial"/>
          <w:bCs/>
          <w:lang w:eastAsia="en-GB"/>
        </w:rPr>
        <w:t xml:space="preserve"> as patients are only diagnosed</w:t>
      </w:r>
      <w:r w:rsidRPr="00B813FA">
        <w:rPr>
          <w:rFonts w:ascii="Arial" w:eastAsia="Times New Roman" w:hAnsi="Arial" w:cs="Arial"/>
          <w:bCs/>
          <w:lang w:eastAsia="en-GB"/>
        </w:rPr>
        <w:t xml:space="preserve"> when their initial symptoms are adequately treated, and they are discharged into a secure community environment, where appropriate levels of care are available.</w:t>
      </w:r>
    </w:p>
    <w:p w:rsidR="00B813FA" w:rsidRPr="00B813FA" w:rsidRDefault="00B813FA" w:rsidP="00B813FA">
      <w:pPr>
        <w:tabs>
          <w:tab w:val="left" w:pos="1354"/>
        </w:tabs>
        <w:spacing w:after="0"/>
        <w:rPr>
          <w:rFonts w:ascii="Arial" w:eastAsia="Times New Roman" w:hAnsi="Arial" w:cs="Arial"/>
          <w:bCs/>
          <w:lang w:eastAsia="en-GB"/>
        </w:rPr>
      </w:pPr>
    </w:p>
    <w:p w:rsidR="00B813FA" w:rsidRDefault="000340E9" w:rsidP="00B813FA">
      <w:pPr>
        <w:tabs>
          <w:tab w:val="left" w:pos="1354"/>
        </w:tabs>
        <w:spacing w:after="0"/>
        <w:rPr>
          <w:rFonts w:ascii="Arial" w:eastAsia="Times New Roman" w:hAnsi="Arial" w:cs="Arial"/>
          <w:bCs/>
          <w:lang w:eastAsia="en-GB"/>
        </w:rPr>
      </w:pPr>
      <w:r>
        <w:rPr>
          <w:rFonts w:ascii="Arial" w:eastAsia="Times New Roman" w:hAnsi="Arial" w:cs="Arial"/>
          <w:bCs/>
          <w:lang w:eastAsia="en-GB"/>
        </w:rPr>
        <w:t>Figure 27</w:t>
      </w:r>
      <w:r w:rsidR="00365FCB">
        <w:rPr>
          <w:rFonts w:ascii="Arial" w:eastAsia="Times New Roman" w:hAnsi="Arial" w:cs="Arial"/>
          <w:bCs/>
          <w:lang w:eastAsia="en-GB"/>
        </w:rPr>
        <w:t xml:space="preserve"> shows that</w:t>
      </w:r>
      <w:r w:rsidR="00B813FA" w:rsidRPr="00B813FA">
        <w:rPr>
          <w:rFonts w:ascii="Arial" w:eastAsia="Times New Roman" w:hAnsi="Arial" w:cs="Arial"/>
          <w:bCs/>
          <w:lang w:eastAsia="en-GB"/>
        </w:rPr>
        <w:t xml:space="preserve"> Wandsworth does well, with </w:t>
      </w:r>
      <w:r w:rsidR="004471D6" w:rsidRPr="00B813FA">
        <w:rPr>
          <w:rFonts w:ascii="Arial" w:eastAsia="Times New Roman" w:hAnsi="Arial" w:cs="Arial"/>
          <w:bCs/>
          <w:lang w:eastAsia="en-GB"/>
        </w:rPr>
        <w:t>readmission rates</w:t>
      </w:r>
      <w:r w:rsidR="00B813FA" w:rsidRPr="00B813FA">
        <w:rPr>
          <w:rFonts w:ascii="Arial" w:eastAsia="Times New Roman" w:hAnsi="Arial" w:cs="Arial"/>
          <w:bCs/>
          <w:lang w:eastAsia="en-GB"/>
        </w:rPr>
        <w:t xml:space="preserve"> lower than the London and </w:t>
      </w:r>
      <w:r w:rsidR="004471D6" w:rsidRPr="00B813FA">
        <w:rPr>
          <w:rFonts w:ascii="Arial" w:eastAsia="Times New Roman" w:hAnsi="Arial" w:cs="Arial"/>
          <w:bCs/>
          <w:lang w:eastAsia="en-GB"/>
        </w:rPr>
        <w:t>England</w:t>
      </w:r>
      <w:r w:rsidR="00B813FA" w:rsidRPr="00B813FA">
        <w:rPr>
          <w:rFonts w:ascii="Arial" w:eastAsia="Times New Roman" w:hAnsi="Arial" w:cs="Arial"/>
          <w:bCs/>
          <w:lang w:eastAsia="en-GB"/>
        </w:rPr>
        <w:t xml:space="preserve"> Average. This suggests that although our patients are </w:t>
      </w:r>
      <w:r w:rsidR="004471D6" w:rsidRPr="00B813FA">
        <w:rPr>
          <w:rFonts w:ascii="Arial" w:eastAsia="Times New Roman" w:hAnsi="Arial" w:cs="Arial"/>
          <w:bCs/>
          <w:lang w:eastAsia="en-GB"/>
        </w:rPr>
        <w:t>ad</w:t>
      </w:r>
      <w:r w:rsidR="004471D6">
        <w:rPr>
          <w:rFonts w:ascii="Arial" w:eastAsia="Times New Roman" w:hAnsi="Arial" w:cs="Arial"/>
          <w:bCs/>
          <w:lang w:eastAsia="en-GB"/>
        </w:rPr>
        <w:t>mit</w:t>
      </w:r>
      <w:r w:rsidR="004471D6" w:rsidRPr="00B813FA">
        <w:rPr>
          <w:rFonts w:ascii="Arial" w:eastAsia="Times New Roman" w:hAnsi="Arial" w:cs="Arial"/>
          <w:bCs/>
          <w:lang w:eastAsia="en-GB"/>
        </w:rPr>
        <w:t>ted</w:t>
      </w:r>
      <w:r w:rsidR="00B813FA" w:rsidRPr="00B813FA">
        <w:rPr>
          <w:rFonts w:ascii="Arial" w:eastAsia="Times New Roman" w:hAnsi="Arial" w:cs="Arial"/>
          <w:bCs/>
          <w:lang w:eastAsia="en-GB"/>
        </w:rPr>
        <w:t xml:space="preserve"> for slightly longer than average, the extra time is hospital is put to good use, as our discharges are better planned and supported, and less </w:t>
      </w:r>
      <w:r w:rsidR="00F43EB7">
        <w:rPr>
          <w:rFonts w:ascii="Arial" w:eastAsia="Times New Roman" w:hAnsi="Arial" w:cs="Arial"/>
          <w:bCs/>
          <w:lang w:eastAsia="en-GB"/>
        </w:rPr>
        <w:t xml:space="preserve">discharges </w:t>
      </w:r>
      <w:r w:rsidR="00B813FA" w:rsidRPr="00B813FA">
        <w:rPr>
          <w:rFonts w:ascii="Arial" w:eastAsia="Times New Roman" w:hAnsi="Arial" w:cs="Arial"/>
          <w:bCs/>
          <w:lang w:eastAsia="en-GB"/>
        </w:rPr>
        <w:t>fail</w:t>
      </w:r>
      <w:r w:rsidR="00F43EB7">
        <w:rPr>
          <w:rFonts w:ascii="Arial" w:eastAsia="Times New Roman" w:hAnsi="Arial" w:cs="Arial"/>
          <w:bCs/>
          <w:lang w:eastAsia="en-GB"/>
        </w:rPr>
        <w:t xml:space="preserve"> and require</w:t>
      </w:r>
      <w:r w:rsidR="00B813FA" w:rsidRPr="00B813FA">
        <w:rPr>
          <w:rFonts w:ascii="Arial" w:eastAsia="Times New Roman" w:hAnsi="Arial" w:cs="Arial"/>
          <w:bCs/>
          <w:lang w:eastAsia="en-GB"/>
        </w:rPr>
        <w:t xml:space="preserve"> readmission </w:t>
      </w:r>
      <w:r w:rsidR="004471D6" w:rsidRPr="00B813FA">
        <w:rPr>
          <w:rFonts w:ascii="Arial" w:eastAsia="Times New Roman" w:hAnsi="Arial" w:cs="Arial"/>
          <w:bCs/>
          <w:lang w:eastAsia="en-GB"/>
        </w:rPr>
        <w:t>to</w:t>
      </w:r>
      <w:r w:rsidR="00B813FA" w:rsidRPr="00B813FA">
        <w:rPr>
          <w:rFonts w:ascii="Arial" w:eastAsia="Times New Roman" w:hAnsi="Arial" w:cs="Arial"/>
          <w:bCs/>
          <w:lang w:eastAsia="en-GB"/>
        </w:rPr>
        <w:t xml:space="preserve"> hospital.</w:t>
      </w:r>
    </w:p>
    <w:p w:rsidR="00365FCB" w:rsidRPr="00B813FA" w:rsidRDefault="00365FCB" w:rsidP="00B813FA">
      <w:pPr>
        <w:tabs>
          <w:tab w:val="left" w:pos="1354"/>
        </w:tabs>
        <w:spacing w:after="0"/>
        <w:rPr>
          <w:rFonts w:ascii="Arial" w:eastAsia="Times New Roman" w:hAnsi="Arial" w:cs="Arial"/>
          <w:bCs/>
          <w:lang w:eastAsia="en-GB"/>
        </w:rPr>
      </w:pPr>
    </w:p>
    <w:p w:rsidR="00365FCB" w:rsidRPr="00751528" w:rsidRDefault="00365FCB" w:rsidP="00751528">
      <w:pPr>
        <w:pStyle w:val="Caption"/>
      </w:pPr>
      <w:r w:rsidRPr="00751528">
        <w:t xml:space="preserve">Figure </w:t>
      </w:r>
      <w:fldSimple w:instr=" SEQ Figure \* ARABIC ">
        <w:r w:rsidR="00652BDF">
          <w:rPr>
            <w:noProof/>
          </w:rPr>
          <w:t>29</w:t>
        </w:r>
      </w:fldSimple>
    </w:p>
    <w:p w:rsidR="00DB5373" w:rsidRDefault="00B45706" w:rsidP="00575DB3">
      <w:r w:rsidRPr="00B45706">
        <w:rPr>
          <w:noProof/>
          <w:lang w:eastAsia="en-GB"/>
        </w:rPr>
        <w:drawing>
          <wp:inline distT="0" distB="0" distL="0" distR="0">
            <wp:extent cx="6261554" cy="3979727"/>
            <wp:effectExtent l="19050" t="0" r="24946" b="1723"/>
            <wp:docPr id="4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65FCB" w:rsidRPr="008A0365" w:rsidRDefault="00365FCB" w:rsidP="00365FCB">
      <w:pPr>
        <w:spacing w:after="0"/>
        <w:jc w:val="right"/>
        <w:rPr>
          <w:rFonts w:ascii="Arial" w:eastAsia="Times New Roman" w:hAnsi="Arial" w:cs="Arial"/>
          <w:bCs/>
          <w:i/>
          <w:lang w:eastAsia="en-GB"/>
        </w:rPr>
      </w:pPr>
      <w:r w:rsidRPr="008A0365">
        <w:rPr>
          <w:rFonts w:ascii="Arial" w:eastAsia="Times New Roman" w:hAnsi="Arial" w:cs="Arial"/>
          <w:bCs/>
          <w:i/>
          <w:lang w:eastAsia="en-GB"/>
        </w:rPr>
        <w:t>Source: NHS Comparators, NHS Information Centre, 2008-9</w:t>
      </w:r>
    </w:p>
    <w:p w:rsidR="00365FCB" w:rsidRDefault="00365FCB" w:rsidP="00DB5373">
      <w:pPr>
        <w:autoSpaceDE w:val="0"/>
        <w:autoSpaceDN w:val="0"/>
        <w:adjustRightInd w:val="0"/>
        <w:spacing w:after="0" w:line="240" w:lineRule="auto"/>
      </w:pPr>
    </w:p>
    <w:p w:rsidR="00F77C47" w:rsidRDefault="00F77C47" w:rsidP="00575DB3"/>
    <w:p w:rsidR="00F77C47" w:rsidRDefault="00F77C47" w:rsidP="00575DB3"/>
    <w:p w:rsidR="00F77C47" w:rsidRDefault="00F77C47" w:rsidP="00575DB3"/>
    <w:p w:rsidR="00F77C47" w:rsidRDefault="00F77C47" w:rsidP="00575DB3"/>
    <w:p w:rsidR="00F77C47" w:rsidRDefault="00F77C47" w:rsidP="00575DB3"/>
    <w:p w:rsidR="00F77C47" w:rsidRDefault="00F77C47" w:rsidP="00F77C47">
      <w:pPr>
        <w:pStyle w:val="Heading1"/>
      </w:pPr>
      <w:r>
        <w:lastRenderedPageBreak/>
        <w:t>Pulmonary Rehabilitation</w:t>
      </w:r>
    </w:p>
    <w:p w:rsidR="00F77C47" w:rsidRPr="00F77C47" w:rsidRDefault="00F77C47" w:rsidP="00575DB3">
      <w:pPr>
        <w:rPr>
          <w:rFonts w:ascii="Arial" w:hAnsi="Arial" w:cs="Arial"/>
        </w:rPr>
      </w:pPr>
      <w:r w:rsidRPr="00F77C47">
        <w:rPr>
          <w:rFonts w:ascii="Arial" w:hAnsi="Arial" w:cs="Arial"/>
        </w:rPr>
        <w:t xml:space="preserve">It is thought that it the new national strategy for pulmonary rehabilitation will call for increased availability of pulmonary rehabilitation. A detailed </w:t>
      </w:r>
      <w:r w:rsidR="00867514">
        <w:rPr>
          <w:rFonts w:ascii="Arial" w:hAnsi="Arial" w:cs="Arial"/>
        </w:rPr>
        <w:t>report on this</w:t>
      </w:r>
      <w:r w:rsidRPr="00F77C47">
        <w:rPr>
          <w:rFonts w:ascii="Arial" w:hAnsi="Arial" w:cs="Arial"/>
        </w:rPr>
        <w:t xml:space="preserve"> has been done on this by Piers Simey, at St George’s Hospital. </w:t>
      </w:r>
    </w:p>
    <w:p w:rsidR="00867514" w:rsidRDefault="00F77C47" w:rsidP="00867514">
      <w:pPr>
        <w:rPr>
          <w:rFonts w:ascii="Arial" w:hAnsi="Arial" w:cs="Arial"/>
        </w:rPr>
      </w:pPr>
      <w:r w:rsidRPr="00C730CE">
        <w:rPr>
          <w:rFonts w:ascii="Arial" w:hAnsi="Arial" w:cs="Arial"/>
        </w:rPr>
        <w:t>The key findings of this report are that</w:t>
      </w:r>
      <w:r w:rsidR="00867514" w:rsidRPr="00C730CE">
        <w:rPr>
          <w:rFonts w:ascii="Arial" w:hAnsi="Arial" w:cs="Arial"/>
        </w:rPr>
        <w:t xml:space="preserve"> the total current estimated capacity of these services is 168</w:t>
      </w:r>
      <w:r w:rsidR="00EE5A34">
        <w:rPr>
          <w:rFonts w:ascii="Arial" w:hAnsi="Arial" w:cs="Arial"/>
        </w:rPr>
        <w:t xml:space="preserve"> (134 at St Georges and 34 at Queen Mary’s)</w:t>
      </w:r>
      <w:r w:rsidR="00867514" w:rsidRPr="00C730CE">
        <w:rPr>
          <w:rFonts w:ascii="Arial" w:hAnsi="Arial" w:cs="Arial"/>
          <w:i/>
        </w:rPr>
        <w:t xml:space="preserve"> </w:t>
      </w:r>
      <w:r w:rsidR="00867514" w:rsidRPr="00C730CE">
        <w:rPr>
          <w:rFonts w:ascii="Arial" w:hAnsi="Arial" w:cs="Arial"/>
        </w:rPr>
        <w:t>people per year, while the total estimated annual need for these services in Wandsworth is at least 666</w:t>
      </w:r>
      <w:r w:rsidR="00C11517">
        <w:rPr>
          <w:rFonts w:ascii="Arial" w:hAnsi="Arial" w:cs="Arial"/>
        </w:rPr>
        <w:t>, and possibly up to 1638,</w:t>
      </w:r>
      <w:r w:rsidR="00867514" w:rsidRPr="00C730CE">
        <w:rPr>
          <w:rFonts w:ascii="Arial" w:hAnsi="Arial" w:cs="Arial"/>
        </w:rPr>
        <w:t xml:space="preserve"> people with COPD.  </w:t>
      </w:r>
      <w:r w:rsidR="00C730CE" w:rsidRPr="00C730CE">
        <w:rPr>
          <w:rFonts w:ascii="Arial" w:hAnsi="Arial" w:cs="Arial"/>
        </w:rPr>
        <w:t xml:space="preserve">This means that there is at least a fourfold gap between service need and service capacity for Wandsworth residents.  </w:t>
      </w:r>
    </w:p>
    <w:p w:rsidR="00EE5A34" w:rsidRPr="00C730CE" w:rsidRDefault="00EE5A34" w:rsidP="00867514">
      <w:pPr>
        <w:rPr>
          <w:rFonts w:ascii="Arial" w:hAnsi="Arial" w:cs="Arial"/>
        </w:rPr>
      </w:pPr>
      <w:r>
        <w:rPr>
          <w:rFonts w:ascii="Arial" w:hAnsi="Arial" w:cs="Arial"/>
        </w:rPr>
        <w:t>This report also states that there is currently a 3 month average waiting list for pulmonary rehabilitation at St George’s (our largest provider), with a similar figure at Queen Mary’s.</w:t>
      </w:r>
    </w:p>
    <w:p w:rsidR="00C730CE" w:rsidRPr="00C730CE" w:rsidRDefault="00867514" w:rsidP="00867514">
      <w:pPr>
        <w:rPr>
          <w:rFonts w:ascii="Arial" w:hAnsi="Arial" w:cs="Arial"/>
        </w:rPr>
      </w:pPr>
      <w:r w:rsidRPr="00C730CE">
        <w:rPr>
          <w:rFonts w:ascii="Arial" w:hAnsi="Arial" w:cs="Arial"/>
        </w:rPr>
        <w:t xml:space="preserve">The report goes on to recommend that that extra pulmonary rehab capacity is commissioned in Wandsworth from 2010/11 with ongoing service evaluation.  </w:t>
      </w:r>
    </w:p>
    <w:p w:rsidR="00C730CE" w:rsidRPr="00C730CE" w:rsidRDefault="00C730CE" w:rsidP="00C730CE">
      <w:pPr>
        <w:spacing w:after="0" w:line="240" w:lineRule="auto"/>
        <w:rPr>
          <w:rFonts w:ascii="Arial" w:hAnsi="Arial" w:cs="Arial"/>
        </w:rPr>
      </w:pPr>
      <w:r w:rsidRPr="00C730CE">
        <w:rPr>
          <w:rFonts w:ascii="Arial" w:hAnsi="Arial" w:cs="Arial"/>
        </w:rPr>
        <w:t>It further states that:</w:t>
      </w:r>
    </w:p>
    <w:p w:rsidR="00C730CE" w:rsidRPr="00C730CE" w:rsidRDefault="00C730CE" w:rsidP="00C730CE">
      <w:pPr>
        <w:pStyle w:val="ListParagraph"/>
        <w:numPr>
          <w:ilvl w:val="0"/>
          <w:numId w:val="32"/>
        </w:numPr>
        <w:spacing w:after="0" w:line="240" w:lineRule="auto"/>
        <w:rPr>
          <w:rFonts w:ascii="Arial" w:hAnsi="Arial" w:cs="Arial"/>
        </w:rPr>
      </w:pPr>
      <w:r w:rsidRPr="00C730CE">
        <w:rPr>
          <w:rFonts w:ascii="Arial" w:hAnsi="Arial" w:cs="Arial"/>
        </w:rPr>
        <w:t>Capacity needs to increase during 2010/11 to meet the needs of those already identified with COPD.  Capacity will also need to increase in future years as the case finding interventions in the COP</w:t>
      </w:r>
      <w:r w:rsidR="00D34C34">
        <w:rPr>
          <w:rFonts w:ascii="Arial" w:hAnsi="Arial" w:cs="Arial"/>
        </w:rPr>
        <w:t>D National Strategy take effect</w:t>
      </w:r>
    </w:p>
    <w:p w:rsidR="00C730CE" w:rsidRPr="00C730CE" w:rsidRDefault="00C730CE" w:rsidP="00C730CE">
      <w:pPr>
        <w:numPr>
          <w:ilvl w:val="0"/>
          <w:numId w:val="32"/>
        </w:numPr>
        <w:spacing w:after="0" w:line="240" w:lineRule="auto"/>
        <w:rPr>
          <w:rFonts w:ascii="Arial" w:hAnsi="Arial" w:cs="Arial"/>
        </w:rPr>
      </w:pPr>
      <w:r w:rsidRPr="00C730CE">
        <w:rPr>
          <w:rFonts w:ascii="Arial" w:hAnsi="Arial" w:cs="Arial"/>
        </w:rPr>
        <w:t>Local rehabilitation services need to demonstrate that they are effective</w:t>
      </w:r>
    </w:p>
    <w:p w:rsidR="00C730CE" w:rsidRPr="00C730CE" w:rsidRDefault="00C730CE" w:rsidP="00867514">
      <w:pPr>
        <w:numPr>
          <w:ilvl w:val="0"/>
          <w:numId w:val="32"/>
        </w:numPr>
        <w:spacing w:after="0" w:line="240" w:lineRule="auto"/>
        <w:rPr>
          <w:rFonts w:ascii="Arial" w:hAnsi="Arial" w:cs="Arial"/>
        </w:rPr>
      </w:pPr>
      <w:r w:rsidRPr="00C730CE">
        <w:rPr>
          <w:rFonts w:ascii="Arial" w:hAnsi="Arial" w:cs="Arial"/>
        </w:rPr>
        <w:t xml:space="preserve">Services need to be geographically accessible and promoted in primary care </w:t>
      </w:r>
    </w:p>
    <w:p w:rsidR="00867514" w:rsidRDefault="00867514" w:rsidP="00867514">
      <w:pPr>
        <w:numPr>
          <w:ilvl w:val="0"/>
          <w:numId w:val="32"/>
        </w:numPr>
        <w:spacing w:after="0" w:line="240" w:lineRule="auto"/>
        <w:rPr>
          <w:rFonts w:ascii="Arial" w:hAnsi="Arial" w:cs="Arial"/>
        </w:rPr>
      </w:pPr>
      <w:r w:rsidRPr="00C730CE">
        <w:rPr>
          <w:rFonts w:ascii="Arial" w:hAnsi="Arial" w:cs="Arial"/>
        </w:rPr>
        <w:t xml:space="preserve">Extra capacity should include two new programmes in the community and an extra class at St George’s.  </w:t>
      </w:r>
    </w:p>
    <w:p w:rsidR="00EE5A34" w:rsidRPr="00EE5A34" w:rsidRDefault="00EE5A34" w:rsidP="00EE5A34">
      <w:pPr>
        <w:spacing w:after="0" w:line="240" w:lineRule="auto"/>
        <w:rPr>
          <w:rFonts w:ascii="Arial" w:hAnsi="Arial" w:cs="Arial"/>
        </w:rPr>
      </w:pPr>
    </w:p>
    <w:p w:rsidR="00EE5A34" w:rsidRPr="00EE5A34" w:rsidRDefault="00EE5A34" w:rsidP="00EE5A34">
      <w:pPr>
        <w:spacing w:after="0" w:line="240" w:lineRule="auto"/>
        <w:rPr>
          <w:rFonts w:ascii="Arial" w:hAnsi="Arial" w:cs="Arial"/>
        </w:rPr>
      </w:pPr>
      <w:r w:rsidRPr="00EE5A34">
        <w:rPr>
          <w:rFonts w:ascii="Arial" w:hAnsi="Arial" w:cs="Arial"/>
        </w:rPr>
        <w:t>For further details please refer to the report: Pulmonary Rehabilitation Needs Assessment in Wandsworth, by Piers Simey.</w:t>
      </w:r>
    </w:p>
    <w:p w:rsidR="0005165A" w:rsidRDefault="0005165A" w:rsidP="0005165A">
      <w:pPr>
        <w:pStyle w:val="Heading1"/>
      </w:pPr>
      <w:r>
        <w:t>Assisted discharge</w:t>
      </w:r>
    </w:p>
    <w:p w:rsidR="006651DF" w:rsidRPr="00865408" w:rsidRDefault="0005165A" w:rsidP="00760AAF">
      <w:pPr>
        <w:rPr>
          <w:rFonts w:ascii="Arial" w:hAnsi="Arial" w:cs="Arial"/>
        </w:rPr>
      </w:pPr>
      <w:r w:rsidRPr="00865408">
        <w:rPr>
          <w:rFonts w:ascii="Arial" w:hAnsi="Arial" w:cs="Arial"/>
        </w:rPr>
        <w:t xml:space="preserve">The respiratory team at St George’s </w:t>
      </w:r>
      <w:r w:rsidR="00760AAF" w:rsidRPr="00865408">
        <w:rPr>
          <w:rFonts w:ascii="Arial" w:hAnsi="Arial" w:cs="Arial"/>
        </w:rPr>
        <w:t>H</w:t>
      </w:r>
      <w:r w:rsidRPr="00865408">
        <w:rPr>
          <w:rFonts w:ascii="Arial" w:hAnsi="Arial" w:cs="Arial"/>
        </w:rPr>
        <w:t>ospita</w:t>
      </w:r>
      <w:r w:rsidR="00760AAF" w:rsidRPr="00865408">
        <w:rPr>
          <w:rFonts w:ascii="Arial" w:hAnsi="Arial" w:cs="Arial"/>
        </w:rPr>
        <w:t xml:space="preserve">l endeavour to provide a discharge service to those patients admitted to the hospital with a known diagnosis of COPD. However they are aware that they are not able to identify all such patients admitted. The team is in the process of working towards a structured assisted discharge service working to NICE standards. Further work will need to be undertaken to map the existing service to NICE </w:t>
      </w:r>
      <w:r w:rsidR="00865408">
        <w:rPr>
          <w:rFonts w:ascii="Arial" w:hAnsi="Arial" w:cs="Arial"/>
        </w:rPr>
        <w:t>guidance.</w:t>
      </w:r>
      <w:r w:rsidR="006651DF" w:rsidRPr="00865408">
        <w:rPr>
          <w:rFonts w:ascii="Arial" w:hAnsi="Arial" w:cs="Arial"/>
        </w:rPr>
        <w:br w:type="page"/>
      </w:r>
    </w:p>
    <w:p w:rsidR="00415759" w:rsidRPr="0088200E" w:rsidRDefault="00415759" w:rsidP="0088200E">
      <w:pPr>
        <w:pStyle w:val="Heading1"/>
        <w:rPr>
          <w:b w:val="0"/>
        </w:rPr>
      </w:pPr>
      <w:bookmarkStart w:id="42" w:name="_Toc256345753"/>
      <w:r w:rsidRPr="0088200E">
        <w:rPr>
          <w:b w:val="0"/>
        </w:rPr>
        <w:lastRenderedPageBreak/>
        <w:t>Service costs</w:t>
      </w:r>
      <w:bookmarkEnd w:id="42"/>
    </w:p>
    <w:p w:rsidR="00415759" w:rsidRPr="00697795" w:rsidRDefault="00415759" w:rsidP="00575DB3">
      <w:pPr>
        <w:rPr>
          <w:rFonts w:ascii="Arial" w:hAnsi="Arial" w:cs="Arial"/>
        </w:rPr>
      </w:pPr>
      <w:r w:rsidRPr="00697795">
        <w:rPr>
          <w:rFonts w:ascii="Arial" w:hAnsi="Arial" w:cs="Arial"/>
        </w:rPr>
        <w:t xml:space="preserve">Exact data on expenditure on </w:t>
      </w:r>
      <w:r w:rsidR="00307AEC" w:rsidRPr="00697795">
        <w:rPr>
          <w:rFonts w:ascii="Arial" w:hAnsi="Arial" w:cs="Arial"/>
        </w:rPr>
        <w:t>COPD</w:t>
      </w:r>
      <w:r w:rsidRPr="00697795">
        <w:rPr>
          <w:rFonts w:ascii="Arial" w:hAnsi="Arial" w:cs="Arial"/>
        </w:rPr>
        <w:t xml:space="preserve"> is difficult to </w:t>
      </w:r>
      <w:r w:rsidR="00307AEC" w:rsidRPr="00697795">
        <w:rPr>
          <w:rFonts w:ascii="Arial" w:hAnsi="Arial" w:cs="Arial"/>
        </w:rPr>
        <w:t>calculate</w:t>
      </w:r>
      <w:r w:rsidRPr="00697795">
        <w:rPr>
          <w:rFonts w:ascii="Arial" w:hAnsi="Arial" w:cs="Arial"/>
        </w:rPr>
        <w:t xml:space="preserve">. </w:t>
      </w:r>
      <w:r w:rsidR="00307AEC" w:rsidRPr="00697795">
        <w:rPr>
          <w:rFonts w:ascii="Arial" w:hAnsi="Arial" w:cs="Arial"/>
        </w:rPr>
        <w:t xml:space="preserve">It is possible to calculate costs in secondary care associated with COPD related admission from the payments by results tariff. </w:t>
      </w:r>
      <w:r w:rsidRPr="00697795">
        <w:rPr>
          <w:rFonts w:ascii="Arial" w:hAnsi="Arial" w:cs="Arial"/>
        </w:rPr>
        <w:t xml:space="preserve">One method which might also an estimation of costing is the use of programme budgets. </w:t>
      </w:r>
    </w:p>
    <w:p w:rsidR="00415759" w:rsidRPr="00697795" w:rsidRDefault="00307AEC" w:rsidP="00575DB3">
      <w:pPr>
        <w:rPr>
          <w:rFonts w:ascii="Arial" w:hAnsi="Arial" w:cs="Arial"/>
        </w:rPr>
      </w:pPr>
      <w:r w:rsidRPr="00697795">
        <w:rPr>
          <w:rFonts w:ascii="Arial" w:hAnsi="Arial" w:cs="Arial"/>
        </w:rPr>
        <w:t xml:space="preserve">Programme budgets are a retrospective analysis of expenditure, which can be used to compare relative expenditure and relative outcomes. </w:t>
      </w:r>
      <w:r w:rsidR="00415759" w:rsidRPr="00697795">
        <w:rPr>
          <w:rFonts w:ascii="Arial" w:hAnsi="Arial" w:cs="Arial"/>
        </w:rPr>
        <w:t xml:space="preserve">In this </w:t>
      </w:r>
      <w:r w:rsidRPr="00697795">
        <w:rPr>
          <w:rFonts w:ascii="Arial" w:hAnsi="Arial" w:cs="Arial"/>
        </w:rPr>
        <w:t>case, Wandsworth</w:t>
      </w:r>
      <w:r w:rsidR="00415759" w:rsidRPr="00697795">
        <w:rPr>
          <w:rFonts w:ascii="Arial" w:hAnsi="Arial" w:cs="Arial"/>
        </w:rPr>
        <w:t xml:space="preserve"> PCT has been </w:t>
      </w:r>
      <w:r w:rsidRPr="00697795">
        <w:rPr>
          <w:rFonts w:ascii="Arial" w:hAnsi="Arial" w:cs="Arial"/>
        </w:rPr>
        <w:t>compared</w:t>
      </w:r>
      <w:r w:rsidR="00415759" w:rsidRPr="00697795">
        <w:rPr>
          <w:rFonts w:ascii="Arial" w:hAnsi="Arial" w:cs="Arial"/>
        </w:rPr>
        <w:t xml:space="preserve"> with the six demographically similar P</w:t>
      </w:r>
      <w:r w:rsidR="008A0365">
        <w:rPr>
          <w:rFonts w:ascii="Arial" w:hAnsi="Arial" w:cs="Arial"/>
        </w:rPr>
        <w:t>CTs</w:t>
      </w:r>
      <w:r w:rsidR="00415759" w:rsidRPr="00697795">
        <w:rPr>
          <w:rFonts w:ascii="Arial" w:hAnsi="Arial" w:cs="Arial"/>
        </w:rPr>
        <w:t xml:space="preserve"> in its cluster. </w:t>
      </w:r>
      <w:r w:rsidR="00FA2AFF">
        <w:rPr>
          <w:rFonts w:ascii="Arial" w:hAnsi="Arial" w:cs="Arial"/>
        </w:rPr>
        <w:t>Using this methodology, it appears that NHS Wandsworth spends less than the national average per head on COPD, but more than the cluster average.</w:t>
      </w:r>
    </w:p>
    <w:p w:rsidR="00415759" w:rsidRPr="00751528" w:rsidRDefault="00415759" w:rsidP="00751528">
      <w:pPr>
        <w:pStyle w:val="Caption"/>
      </w:pPr>
      <w:r w:rsidRPr="00751528">
        <w:t xml:space="preserve">Table </w:t>
      </w:r>
      <w:fldSimple w:instr=" SEQ Table \* ARABIC ">
        <w:r w:rsidR="00652BDF">
          <w:rPr>
            <w:noProof/>
          </w:rPr>
          <w:t>3</w:t>
        </w:r>
      </w:fldSimple>
    </w:p>
    <w:tbl>
      <w:tblPr>
        <w:tblpPr w:leftFromText="180" w:rightFromText="180" w:vertAnchor="text" w:horzAnchor="margin" w:tblpY="90"/>
        <w:tblW w:w="10134" w:type="dxa"/>
        <w:tblLook w:val="04A0"/>
      </w:tblPr>
      <w:tblGrid>
        <w:gridCol w:w="1809"/>
        <w:gridCol w:w="2127"/>
        <w:gridCol w:w="1984"/>
        <w:gridCol w:w="1701"/>
        <w:gridCol w:w="2513"/>
      </w:tblGrid>
      <w:tr w:rsidR="00026759" w:rsidRPr="00643BBA" w:rsidTr="00000603">
        <w:trPr>
          <w:trHeight w:val="1676"/>
        </w:trPr>
        <w:tc>
          <w:tcPr>
            <w:tcW w:w="1809" w:type="dxa"/>
            <w:tcBorders>
              <w:top w:val="single" w:sz="4" w:space="0" w:color="95B3D7"/>
              <w:left w:val="single" w:sz="4" w:space="0" w:color="95B3D7"/>
              <w:bottom w:val="single" w:sz="4" w:space="0" w:color="95B3D7"/>
              <w:right w:val="nil"/>
            </w:tcBorders>
            <w:shd w:val="clear" w:color="4F81BD" w:fill="4F81BD"/>
            <w:vAlign w:val="center"/>
            <w:hideMark/>
          </w:tcPr>
          <w:p w:rsidR="00026759" w:rsidRPr="00643BBA" w:rsidRDefault="00026759" w:rsidP="00575DB3">
            <w:pPr>
              <w:spacing w:after="0"/>
              <w:jc w:val="center"/>
              <w:rPr>
                <w:rFonts w:ascii="Arial" w:eastAsia="Times New Roman" w:hAnsi="Arial" w:cs="Arial"/>
                <w:b/>
                <w:bCs/>
                <w:color w:val="FFFFFF"/>
                <w:sz w:val="24"/>
                <w:szCs w:val="24"/>
                <w:lang w:eastAsia="en-GB"/>
              </w:rPr>
            </w:pPr>
          </w:p>
        </w:tc>
        <w:tc>
          <w:tcPr>
            <w:tcW w:w="2127" w:type="dxa"/>
            <w:tcBorders>
              <w:top w:val="single" w:sz="4" w:space="0" w:color="95B3D7"/>
              <w:left w:val="nil"/>
              <w:bottom w:val="single" w:sz="4" w:space="0" w:color="95B3D7"/>
              <w:right w:val="nil"/>
            </w:tcBorders>
            <w:shd w:val="clear" w:color="4F81BD" w:fill="4F81BD"/>
            <w:vAlign w:val="center"/>
            <w:hideMark/>
          </w:tcPr>
          <w:p w:rsidR="00000603" w:rsidRDefault="00026759" w:rsidP="00575DB3">
            <w:pPr>
              <w:spacing w:after="0"/>
              <w:jc w:val="center"/>
              <w:rPr>
                <w:rFonts w:ascii="Arial" w:eastAsia="Times New Roman" w:hAnsi="Arial" w:cs="Arial"/>
                <w:b/>
                <w:bCs/>
                <w:color w:val="FFFFFF"/>
                <w:lang w:eastAsia="en-GB"/>
              </w:rPr>
            </w:pPr>
            <w:r w:rsidRPr="00433711">
              <w:rPr>
                <w:rFonts w:ascii="Arial" w:eastAsia="Times New Roman" w:hAnsi="Arial" w:cs="Arial"/>
                <w:b/>
                <w:bCs/>
                <w:color w:val="FFFFFF"/>
                <w:lang w:eastAsia="en-GB"/>
              </w:rPr>
              <w:t xml:space="preserve">Expenditure </w:t>
            </w:r>
          </w:p>
          <w:p w:rsidR="00000603" w:rsidRDefault="00026759" w:rsidP="00575DB3">
            <w:pPr>
              <w:spacing w:after="0"/>
              <w:jc w:val="center"/>
              <w:rPr>
                <w:rFonts w:ascii="Arial" w:eastAsia="Times New Roman" w:hAnsi="Arial" w:cs="Arial"/>
                <w:b/>
                <w:bCs/>
                <w:color w:val="FFFFFF"/>
                <w:lang w:eastAsia="en-GB"/>
              </w:rPr>
            </w:pPr>
            <w:r w:rsidRPr="00433711">
              <w:rPr>
                <w:rFonts w:ascii="Arial" w:eastAsia="Times New Roman" w:hAnsi="Arial" w:cs="Arial"/>
                <w:b/>
                <w:bCs/>
                <w:color w:val="FFFFFF"/>
                <w:lang w:eastAsia="en-GB"/>
              </w:rPr>
              <w:t xml:space="preserve">(£ per person) </w:t>
            </w:r>
          </w:p>
          <w:p w:rsidR="00026759" w:rsidRDefault="00026759" w:rsidP="00575DB3">
            <w:pPr>
              <w:spacing w:after="0"/>
              <w:jc w:val="center"/>
              <w:rPr>
                <w:rFonts w:ascii="Arial" w:eastAsia="Times New Roman" w:hAnsi="Arial" w:cs="Arial"/>
                <w:b/>
                <w:bCs/>
                <w:color w:val="FFFFFF"/>
                <w:lang w:eastAsia="en-GB"/>
              </w:rPr>
            </w:pPr>
            <w:r w:rsidRPr="00433711">
              <w:rPr>
                <w:rFonts w:ascii="Arial" w:eastAsia="Times New Roman" w:hAnsi="Arial" w:cs="Arial"/>
                <w:b/>
                <w:bCs/>
                <w:color w:val="FFFFFF"/>
                <w:lang w:eastAsia="en-GB"/>
              </w:rPr>
              <w:t>on respiratory disease</w:t>
            </w:r>
          </w:p>
          <w:p w:rsidR="00000603" w:rsidRPr="00433711" w:rsidRDefault="00000603" w:rsidP="00575DB3">
            <w:pPr>
              <w:spacing w:after="0"/>
              <w:jc w:val="center"/>
              <w:rPr>
                <w:rFonts w:ascii="Arial" w:eastAsia="Times New Roman" w:hAnsi="Arial" w:cs="Arial"/>
                <w:b/>
                <w:bCs/>
                <w:color w:val="FFFFFF"/>
                <w:lang w:eastAsia="en-GB"/>
              </w:rPr>
            </w:pPr>
            <w:r>
              <w:rPr>
                <w:rFonts w:ascii="Arial" w:eastAsia="Times New Roman" w:hAnsi="Arial" w:cs="Arial"/>
                <w:b/>
                <w:bCs/>
                <w:color w:val="FFFFFF"/>
                <w:lang w:eastAsia="en-GB"/>
              </w:rPr>
              <w:t>2008/9</w:t>
            </w:r>
          </w:p>
        </w:tc>
        <w:tc>
          <w:tcPr>
            <w:tcW w:w="1984" w:type="dxa"/>
            <w:tcBorders>
              <w:top w:val="single" w:sz="4" w:space="0" w:color="95B3D7"/>
              <w:left w:val="nil"/>
              <w:bottom w:val="single" w:sz="4" w:space="0" w:color="95B3D7"/>
              <w:right w:val="nil"/>
            </w:tcBorders>
            <w:shd w:val="clear" w:color="4F81BD" w:fill="4F81BD"/>
            <w:vAlign w:val="center"/>
            <w:hideMark/>
          </w:tcPr>
          <w:p w:rsidR="00000603" w:rsidRPr="00FA2AFF" w:rsidRDefault="00026759" w:rsidP="00575DB3">
            <w:pPr>
              <w:spacing w:after="0"/>
              <w:jc w:val="center"/>
              <w:rPr>
                <w:rFonts w:ascii="Arial" w:eastAsia="Times New Roman" w:hAnsi="Arial" w:cs="Arial"/>
                <w:b/>
                <w:bCs/>
                <w:color w:val="FFFFFF"/>
                <w:lang w:eastAsia="en-GB"/>
              </w:rPr>
            </w:pPr>
            <w:r w:rsidRPr="00FA2AFF">
              <w:rPr>
                <w:rFonts w:ascii="Arial" w:eastAsia="Times New Roman" w:hAnsi="Arial" w:cs="Arial"/>
                <w:b/>
                <w:bCs/>
                <w:color w:val="FFFFFF"/>
                <w:lang w:eastAsia="en-GB"/>
              </w:rPr>
              <w:t xml:space="preserve">Expenditure </w:t>
            </w:r>
          </w:p>
          <w:p w:rsidR="00000603" w:rsidRPr="00FA2AFF" w:rsidRDefault="00026759" w:rsidP="00575DB3">
            <w:pPr>
              <w:spacing w:after="0"/>
              <w:jc w:val="center"/>
              <w:rPr>
                <w:rFonts w:ascii="Arial" w:eastAsia="Times New Roman" w:hAnsi="Arial" w:cs="Arial"/>
                <w:b/>
                <w:bCs/>
                <w:color w:val="FFFFFF"/>
                <w:lang w:eastAsia="en-GB"/>
              </w:rPr>
            </w:pPr>
            <w:r w:rsidRPr="00FA2AFF">
              <w:rPr>
                <w:rFonts w:ascii="Arial" w:eastAsia="Times New Roman" w:hAnsi="Arial" w:cs="Arial"/>
                <w:b/>
                <w:bCs/>
                <w:color w:val="FFFFFF"/>
                <w:lang w:eastAsia="en-GB"/>
              </w:rPr>
              <w:t xml:space="preserve">(£ per person) </w:t>
            </w:r>
          </w:p>
          <w:p w:rsidR="00026759" w:rsidRPr="00FA2AFF" w:rsidRDefault="00026759" w:rsidP="00575DB3">
            <w:pPr>
              <w:spacing w:after="0"/>
              <w:jc w:val="center"/>
              <w:rPr>
                <w:rFonts w:ascii="Arial" w:eastAsia="Times New Roman" w:hAnsi="Arial" w:cs="Arial"/>
                <w:b/>
                <w:bCs/>
                <w:color w:val="FFFFFF"/>
                <w:lang w:eastAsia="en-GB"/>
              </w:rPr>
            </w:pPr>
            <w:r w:rsidRPr="00FA2AFF">
              <w:rPr>
                <w:rFonts w:ascii="Arial" w:eastAsia="Times New Roman" w:hAnsi="Arial" w:cs="Arial"/>
                <w:b/>
                <w:bCs/>
                <w:color w:val="FFFFFF"/>
                <w:lang w:eastAsia="en-GB"/>
              </w:rPr>
              <w:t>on COPD</w:t>
            </w:r>
          </w:p>
          <w:p w:rsidR="00000603" w:rsidRPr="00FA2AFF" w:rsidRDefault="00000603" w:rsidP="00575DB3">
            <w:pPr>
              <w:spacing w:after="0"/>
              <w:jc w:val="center"/>
              <w:rPr>
                <w:rFonts w:ascii="Arial" w:eastAsia="Times New Roman" w:hAnsi="Arial" w:cs="Arial"/>
                <w:b/>
                <w:bCs/>
                <w:color w:val="FFFFFF"/>
                <w:lang w:eastAsia="en-GB"/>
              </w:rPr>
            </w:pPr>
            <w:r w:rsidRPr="00FA2AFF">
              <w:rPr>
                <w:rFonts w:ascii="Arial" w:eastAsia="Times New Roman" w:hAnsi="Arial" w:cs="Arial"/>
                <w:b/>
                <w:bCs/>
                <w:color w:val="FFFFFF"/>
                <w:lang w:eastAsia="en-GB"/>
              </w:rPr>
              <w:t>2008/9</w:t>
            </w:r>
          </w:p>
        </w:tc>
        <w:tc>
          <w:tcPr>
            <w:tcW w:w="1701" w:type="dxa"/>
            <w:tcBorders>
              <w:top w:val="single" w:sz="4" w:space="0" w:color="95B3D7"/>
              <w:left w:val="nil"/>
              <w:bottom w:val="single" w:sz="4" w:space="0" w:color="95B3D7"/>
              <w:right w:val="nil"/>
            </w:tcBorders>
            <w:shd w:val="clear" w:color="4F81BD" w:fill="4F81BD"/>
            <w:vAlign w:val="center"/>
          </w:tcPr>
          <w:p w:rsidR="00026759" w:rsidRDefault="00026759" w:rsidP="00575DB3">
            <w:pPr>
              <w:spacing w:after="0"/>
              <w:jc w:val="center"/>
              <w:rPr>
                <w:rFonts w:ascii="Arial" w:eastAsia="Times New Roman" w:hAnsi="Arial" w:cs="Arial"/>
                <w:b/>
                <w:bCs/>
                <w:color w:val="FFFFFF"/>
                <w:lang w:eastAsia="en-GB"/>
              </w:rPr>
            </w:pPr>
            <w:r w:rsidRPr="00433711">
              <w:rPr>
                <w:rFonts w:ascii="Arial" w:eastAsia="Times New Roman" w:hAnsi="Arial" w:cs="Arial"/>
                <w:b/>
                <w:bCs/>
                <w:color w:val="FFFFFF"/>
                <w:lang w:eastAsia="en-GB"/>
              </w:rPr>
              <w:t>Prevalence of COPD</w:t>
            </w:r>
          </w:p>
          <w:p w:rsidR="00000603" w:rsidRPr="00433711" w:rsidRDefault="00000603" w:rsidP="00575DB3">
            <w:pPr>
              <w:spacing w:after="0"/>
              <w:jc w:val="center"/>
              <w:rPr>
                <w:rFonts w:ascii="Arial" w:eastAsia="Times New Roman" w:hAnsi="Arial" w:cs="Arial"/>
                <w:b/>
                <w:bCs/>
                <w:color w:val="FFFFFF"/>
                <w:lang w:eastAsia="en-GB"/>
              </w:rPr>
            </w:pPr>
            <w:r>
              <w:rPr>
                <w:rFonts w:ascii="Arial" w:eastAsia="Times New Roman" w:hAnsi="Arial" w:cs="Arial"/>
                <w:b/>
                <w:bCs/>
                <w:color w:val="FFFFFF"/>
                <w:lang w:eastAsia="en-GB"/>
              </w:rPr>
              <w:t>2008/9</w:t>
            </w:r>
          </w:p>
        </w:tc>
        <w:tc>
          <w:tcPr>
            <w:tcW w:w="2513" w:type="dxa"/>
            <w:tcBorders>
              <w:top w:val="single" w:sz="4" w:space="0" w:color="95B3D7"/>
              <w:left w:val="nil"/>
              <w:bottom w:val="single" w:sz="4" w:space="0" w:color="95B3D7"/>
              <w:right w:val="single" w:sz="4" w:space="0" w:color="95B3D7"/>
            </w:tcBorders>
            <w:shd w:val="clear" w:color="4F81BD" w:fill="4F81BD"/>
            <w:vAlign w:val="center"/>
            <w:hideMark/>
          </w:tcPr>
          <w:p w:rsidR="00000603" w:rsidRDefault="00026759" w:rsidP="00575DB3">
            <w:pPr>
              <w:spacing w:after="0"/>
              <w:jc w:val="center"/>
              <w:rPr>
                <w:rFonts w:ascii="Arial" w:eastAsia="Times New Roman" w:hAnsi="Arial" w:cs="Arial"/>
                <w:b/>
                <w:bCs/>
                <w:color w:val="FFFFFF"/>
                <w:lang w:eastAsia="en-GB"/>
              </w:rPr>
            </w:pPr>
            <w:r w:rsidRPr="00433711">
              <w:rPr>
                <w:rFonts w:ascii="Arial" w:eastAsia="Times New Roman" w:hAnsi="Arial" w:cs="Arial"/>
                <w:b/>
                <w:bCs/>
                <w:color w:val="FFFFFF"/>
                <w:lang w:eastAsia="en-GB"/>
              </w:rPr>
              <w:t>Mortality from bronchitis, emphysema and other COPD</w:t>
            </w:r>
          </w:p>
          <w:p w:rsidR="00026759" w:rsidRPr="00433711" w:rsidRDefault="00000603" w:rsidP="00575DB3">
            <w:pPr>
              <w:spacing w:after="0"/>
              <w:jc w:val="center"/>
              <w:rPr>
                <w:rFonts w:ascii="Arial" w:eastAsia="Times New Roman" w:hAnsi="Arial" w:cs="Arial"/>
                <w:b/>
                <w:bCs/>
                <w:color w:val="FFFFFF"/>
                <w:lang w:eastAsia="en-GB"/>
              </w:rPr>
            </w:pPr>
            <w:r>
              <w:rPr>
                <w:rFonts w:ascii="Arial" w:eastAsia="Times New Roman" w:hAnsi="Arial" w:cs="Arial"/>
                <w:b/>
                <w:bCs/>
                <w:color w:val="FFFFFF"/>
                <w:lang w:eastAsia="en-GB"/>
              </w:rPr>
              <w:t>2005/7</w:t>
            </w:r>
            <w:r w:rsidR="00026759" w:rsidRPr="00433711">
              <w:rPr>
                <w:rFonts w:ascii="Arial" w:eastAsia="Times New Roman" w:hAnsi="Arial" w:cs="Arial"/>
                <w:b/>
                <w:bCs/>
                <w:color w:val="FFFFFF"/>
                <w:lang w:eastAsia="en-GB"/>
              </w:rPr>
              <w:t xml:space="preserve"> </w:t>
            </w:r>
          </w:p>
        </w:tc>
      </w:tr>
      <w:tr w:rsidR="00026759" w:rsidRPr="00643BBA" w:rsidTr="00000603">
        <w:trPr>
          <w:trHeight w:val="381"/>
        </w:trPr>
        <w:tc>
          <w:tcPr>
            <w:tcW w:w="1809" w:type="dxa"/>
            <w:tcBorders>
              <w:top w:val="nil"/>
              <w:left w:val="single" w:sz="4" w:space="0" w:color="95B3D7"/>
              <w:bottom w:val="single" w:sz="4" w:space="0" w:color="95B3D7"/>
              <w:right w:val="nil"/>
            </w:tcBorders>
            <w:shd w:val="clear" w:color="DBE5F1" w:fill="DBE5F1"/>
            <w:vAlign w:val="bottom"/>
            <w:hideMark/>
          </w:tcPr>
          <w:p w:rsidR="00026759" w:rsidRPr="00433711" w:rsidRDefault="00026759" w:rsidP="00575DB3">
            <w:pPr>
              <w:spacing w:after="0"/>
              <w:rPr>
                <w:rFonts w:ascii="Arial" w:eastAsia="Times New Roman" w:hAnsi="Arial" w:cs="Arial"/>
                <w:b/>
                <w:bCs/>
                <w:color w:val="000000"/>
                <w:lang w:eastAsia="en-GB"/>
              </w:rPr>
            </w:pPr>
            <w:r w:rsidRPr="00433711">
              <w:rPr>
                <w:rFonts w:ascii="Arial" w:eastAsia="Times New Roman" w:hAnsi="Arial" w:cs="Arial"/>
                <w:b/>
                <w:bCs/>
                <w:color w:val="000000"/>
                <w:lang w:eastAsia="en-GB"/>
              </w:rPr>
              <w:t>E</w:t>
            </w:r>
            <w:r w:rsidR="00000603">
              <w:rPr>
                <w:rFonts w:ascii="Arial" w:eastAsia="Times New Roman" w:hAnsi="Arial" w:cs="Arial"/>
                <w:b/>
                <w:bCs/>
                <w:color w:val="000000"/>
                <w:lang w:eastAsia="en-GB"/>
              </w:rPr>
              <w:t>ngland</w:t>
            </w:r>
          </w:p>
        </w:tc>
        <w:tc>
          <w:tcPr>
            <w:tcW w:w="2127" w:type="dxa"/>
            <w:tcBorders>
              <w:top w:val="nil"/>
              <w:left w:val="nil"/>
              <w:bottom w:val="single" w:sz="4" w:space="0" w:color="95B3D7"/>
              <w:right w:val="nil"/>
            </w:tcBorders>
            <w:shd w:val="clear" w:color="DBE5F1" w:fill="DBE5F1"/>
            <w:noWrap/>
            <w:vAlign w:val="center"/>
            <w:hideMark/>
          </w:tcPr>
          <w:p w:rsidR="00026759" w:rsidRPr="00433711" w:rsidRDefault="00000603" w:rsidP="00575DB3">
            <w:pPr>
              <w:spacing w:after="0"/>
              <w:jc w:val="center"/>
              <w:rPr>
                <w:rFonts w:ascii="Arial" w:eastAsia="Times New Roman" w:hAnsi="Arial" w:cs="Arial"/>
                <w:color w:val="000000"/>
                <w:lang w:eastAsia="en-GB"/>
              </w:rPr>
            </w:pPr>
            <w:r>
              <w:rPr>
                <w:rFonts w:ascii="Arial" w:eastAsia="Times New Roman" w:hAnsi="Arial" w:cs="Arial"/>
                <w:color w:val="000000"/>
                <w:lang w:eastAsia="en-GB"/>
              </w:rPr>
              <w:t>77.97</w:t>
            </w:r>
          </w:p>
        </w:tc>
        <w:tc>
          <w:tcPr>
            <w:tcW w:w="1984" w:type="dxa"/>
            <w:tcBorders>
              <w:top w:val="nil"/>
              <w:left w:val="nil"/>
              <w:bottom w:val="single" w:sz="4" w:space="0" w:color="95B3D7"/>
              <w:right w:val="nil"/>
            </w:tcBorders>
            <w:shd w:val="clear" w:color="DBE5F1" w:fill="DBE5F1"/>
            <w:noWrap/>
            <w:vAlign w:val="center"/>
            <w:hideMark/>
          </w:tcPr>
          <w:p w:rsidR="00026759" w:rsidRPr="00FA2AFF" w:rsidRDefault="00000603" w:rsidP="00575DB3">
            <w:pPr>
              <w:spacing w:after="0"/>
              <w:jc w:val="center"/>
              <w:rPr>
                <w:rFonts w:ascii="Arial" w:eastAsia="Times New Roman" w:hAnsi="Arial" w:cs="Arial"/>
                <w:b/>
                <w:color w:val="000000"/>
                <w:lang w:eastAsia="en-GB"/>
              </w:rPr>
            </w:pPr>
            <w:r w:rsidRPr="00FA2AFF">
              <w:rPr>
                <w:rFonts w:ascii="Arial" w:eastAsia="Times New Roman" w:hAnsi="Arial" w:cs="Arial"/>
                <w:b/>
                <w:color w:val="000000"/>
                <w:lang w:eastAsia="en-GB"/>
              </w:rPr>
              <w:t>12.70</w:t>
            </w:r>
          </w:p>
        </w:tc>
        <w:tc>
          <w:tcPr>
            <w:tcW w:w="1701" w:type="dxa"/>
            <w:tcBorders>
              <w:top w:val="nil"/>
              <w:left w:val="nil"/>
              <w:bottom w:val="single" w:sz="4" w:space="0" w:color="95B3D7"/>
              <w:right w:val="nil"/>
            </w:tcBorders>
            <w:shd w:val="clear" w:color="DBE5F1" w:fill="DBE5F1"/>
            <w:vAlign w:val="center"/>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1.54</w:t>
            </w:r>
          </w:p>
        </w:tc>
        <w:tc>
          <w:tcPr>
            <w:tcW w:w="2513" w:type="dxa"/>
            <w:tcBorders>
              <w:top w:val="nil"/>
              <w:left w:val="nil"/>
              <w:bottom w:val="single" w:sz="4" w:space="0" w:color="95B3D7"/>
              <w:right w:val="single" w:sz="4" w:space="0" w:color="95B3D7"/>
            </w:tcBorders>
            <w:shd w:val="clear" w:color="DBE5F1" w:fill="DBE5F1"/>
            <w:noWrap/>
            <w:vAlign w:val="center"/>
            <w:hideMark/>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12.17</w:t>
            </w:r>
          </w:p>
        </w:tc>
      </w:tr>
      <w:tr w:rsidR="00026759" w:rsidRPr="00643BBA" w:rsidTr="00000603">
        <w:trPr>
          <w:trHeight w:val="381"/>
        </w:trPr>
        <w:tc>
          <w:tcPr>
            <w:tcW w:w="1809" w:type="dxa"/>
            <w:tcBorders>
              <w:top w:val="nil"/>
              <w:left w:val="single" w:sz="4" w:space="0" w:color="95B3D7"/>
              <w:bottom w:val="single" w:sz="4" w:space="0" w:color="95B3D7"/>
              <w:right w:val="nil"/>
            </w:tcBorders>
            <w:shd w:val="clear" w:color="auto" w:fill="auto"/>
            <w:vAlign w:val="bottom"/>
            <w:hideMark/>
          </w:tcPr>
          <w:p w:rsidR="00026759" w:rsidRPr="00433711" w:rsidRDefault="00026759" w:rsidP="00575DB3">
            <w:pPr>
              <w:spacing w:after="0"/>
              <w:rPr>
                <w:rFonts w:ascii="Arial" w:eastAsia="Times New Roman" w:hAnsi="Arial" w:cs="Arial"/>
                <w:b/>
                <w:bCs/>
                <w:color w:val="000000"/>
                <w:lang w:eastAsia="en-GB"/>
              </w:rPr>
            </w:pPr>
            <w:r w:rsidRPr="00433711">
              <w:rPr>
                <w:rFonts w:ascii="Arial" w:eastAsia="Times New Roman" w:hAnsi="Arial" w:cs="Arial"/>
                <w:b/>
                <w:bCs/>
                <w:color w:val="000000"/>
                <w:lang w:eastAsia="en-GB"/>
              </w:rPr>
              <w:t xml:space="preserve">London </w:t>
            </w:r>
          </w:p>
        </w:tc>
        <w:tc>
          <w:tcPr>
            <w:tcW w:w="2127" w:type="dxa"/>
            <w:tcBorders>
              <w:top w:val="nil"/>
              <w:left w:val="nil"/>
              <w:bottom w:val="single" w:sz="4" w:space="0" w:color="95B3D7"/>
              <w:right w:val="nil"/>
            </w:tcBorders>
            <w:shd w:val="clear" w:color="auto" w:fill="auto"/>
            <w:noWrap/>
            <w:vAlign w:val="center"/>
            <w:hideMark/>
          </w:tcPr>
          <w:p w:rsidR="00026759" w:rsidRPr="00433711" w:rsidRDefault="00000603" w:rsidP="00575DB3">
            <w:pPr>
              <w:spacing w:after="0"/>
              <w:jc w:val="center"/>
              <w:rPr>
                <w:rFonts w:ascii="Arial" w:eastAsia="Times New Roman" w:hAnsi="Arial" w:cs="Arial"/>
                <w:color w:val="000000"/>
                <w:lang w:eastAsia="en-GB"/>
              </w:rPr>
            </w:pPr>
            <w:r>
              <w:rPr>
                <w:rFonts w:ascii="Arial" w:eastAsia="Times New Roman" w:hAnsi="Arial" w:cs="Arial"/>
                <w:color w:val="000000"/>
                <w:lang w:eastAsia="en-GB"/>
              </w:rPr>
              <w:t>65.61</w:t>
            </w:r>
          </w:p>
        </w:tc>
        <w:tc>
          <w:tcPr>
            <w:tcW w:w="1984" w:type="dxa"/>
            <w:tcBorders>
              <w:top w:val="nil"/>
              <w:left w:val="nil"/>
              <w:bottom w:val="single" w:sz="4" w:space="0" w:color="95B3D7"/>
              <w:right w:val="nil"/>
            </w:tcBorders>
            <w:shd w:val="clear" w:color="auto" w:fill="auto"/>
            <w:noWrap/>
            <w:vAlign w:val="center"/>
            <w:hideMark/>
          </w:tcPr>
          <w:p w:rsidR="00026759" w:rsidRPr="00FA2AFF" w:rsidRDefault="00000603" w:rsidP="00575DB3">
            <w:pPr>
              <w:spacing w:after="0"/>
              <w:jc w:val="center"/>
              <w:rPr>
                <w:rFonts w:ascii="Arial" w:eastAsia="Times New Roman" w:hAnsi="Arial" w:cs="Arial"/>
                <w:b/>
                <w:color w:val="000000"/>
                <w:lang w:eastAsia="en-GB"/>
              </w:rPr>
            </w:pPr>
            <w:r w:rsidRPr="00FA2AFF">
              <w:rPr>
                <w:rFonts w:ascii="Arial" w:eastAsia="Times New Roman" w:hAnsi="Arial" w:cs="Arial"/>
                <w:b/>
                <w:color w:val="000000"/>
                <w:lang w:eastAsia="en-GB"/>
              </w:rPr>
              <w:t>9.92</w:t>
            </w:r>
          </w:p>
        </w:tc>
        <w:tc>
          <w:tcPr>
            <w:tcW w:w="1701" w:type="dxa"/>
            <w:tcBorders>
              <w:top w:val="nil"/>
              <w:left w:val="nil"/>
              <w:bottom w:val="single" w:sz="4" w:space="0" w:color="95B3D7"/>
              <w:right w:val="nil"/>
            </w:tcBorders>
            <w:vAlign w:val="center"/>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0.97</w:t>
            </w:r>
          </w:p>
        </w:tc>
        <w:tc>
          <w:tcPr>
            <w:tcW w:w="2513" w:type="dxa"/>
            <w:tcBorders>
              <w:top w:val="nil"/>
              <w:left w:val="nil"/>
              <w:bottom w:val="single" w:sz="4" w:space="0" w:color="95B3D7"/>
              <w:right w:val="single" w:sz="4" w:space="0" w:color="95B3D7"/>
            </w:tcBorders>
            <w:shd w:val="clear" w:color="auto" w:fill="auto"/>
            <w:noWrap/>
            <w:vAlign w:val="center"/>
            <w:hideMark/>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12.40</w:t>
            </w:r>
          </w:p>
        </w:tc>
      </w:tr>
      <w:tr w:rsidR="00026759" w:rsidRPr="00643BBA" w:rsidTr="00000603">
        <w:trPr>
          <w:trHeight w:val="191"/>
        </w:trPr>
        <w:tc>
          <w:tcPr>
            <w:tcW w:w="1809" w:type="dxa"/>
            <w:tcBorders>
              <w:top w:val="nil"/>
              <w:left w:val="single" w:sz="4" w:space="0" w:color="95B3D7"/>
              <w:bottom w:val="single" w:sz="4" w:space="0" w:color="95B3D7"/>
              <w:right w:val="nil"/>
            </w:tcBorders>
            <w:shd w:val="clear" w:color="DBE5F1" w:fill="DBE5F1"/>
            <w:vAlign w:val="bottom"/>
            <w:hideMark/>
          </w:tcPr>
          <w:p w:rsidR="00026759" w:rsidRPr="00433711" w:rsidRDefault="00026759" w:rsidP="00575DB3">
            <w:pPr>
              <w:spacing w:after="0"/>
              <w:rPr>
                <w:rFonts w:ascii="Arial" w:eastAsia="Times New Roman" w:hAnsi="Arial" w:cs="Arial"/>
                <w:b/>
                <w:bCs/>
                <w:color w:val="000000"/>
                <w:lang w:eastAsia="en-GB"/>
              </w:rPr>
            </w:pPr>
            <w:r w:rsidRPr="00433711">
              <w:rPr>
                <w:rFonts w:ascii="Arial" w:eastAsia="Times New Roman" w:hAnsi="Arial" w:cs="Arial"/>
                <w:b/>
                <w:bCs/>
                <w:color w:val="000000"/>
                <w:lang w:eastAsia="en-GB"/>
              </w:rPr>
              <w:t>Cluster</w:t>
            </w:r>
          </w:p>
        </w:tc>
        <w:tc>
          <w:tcPr>
            <w:tcW w:w="2127" w:type="dxa"/>
            <w:tcBorders>
              <w:top w:val="nil"/>
              <w:left w:val="nil"/>
              <w:bottom w:val="single" w:sz="4" w:space="0" w:color="95B3D7"/>
              <w:right w:val="nil"/>
            </w:tcBorders>
            <w:shd w:val="clear" w:color="DBE5F1" w:fill="DBE5F1"/>
            <w:noWrap/>
            <w:vAlign w:val="center"/>
            <w:hideMark/>
          </w:tcPr>
          <w:p w:rsidR="00026759" w:rsidRPr="00433711" w:rsidRDefault="00000603" w:rsidP="00575DB3">
            <w:pPr>
              <w:spacing w:after="0"/>
              <w:jc w:val="center"/>
              <w:rPr>
                <w:rFonts w:ascii="Arial" w:eastAsia="Times New Roman" w:hAnsi="Arial" w:cs="Arial"/>
                <w:color w:val="000000"/>
                <w:lang w:eastAsia="en-GB"/>
              </w:rPr>
            </w:pPr>
            <w:r>
              <w:rPr>
                <w:rFonts w:ascii="Arial" w:eastAsia="Times New Roman" w:hAnsi="Arial" w:cs="Arial"/>
                <w:color w:val="000000"/>
                <w:lang w:eastAsia="en-GB"/>
              </w:rPr>
              <w:t>64.65</w:t>
            </w:r>
          </w:p>
        </w:tc>
        <w:tc>
          <w:tcPr>
            <w:tcW w:w="1984" w:type="dxa"/>
            <w:tcBorders>
              <w:top w:val="nil"/>
              <w:left w:val="nil"/>
              <w:bottom w:val="single" w:sz="4" w:space="0" w:color="95B3D7"/>
              <w:right w:val="nil"/>
            </w:tcBorders>
            <w:shd w:val="clear" w:color="DBE5F1" w:fill="DBE5F1"/>
            <w:noWrap/>
            <w:vAlign w:val="center"/>
            <w:hideMark/>
          </w:tcPr>
          <w:p w:rsidR="00026759" w:rsidRPr="00FA2AFF" w:rsidRDefault="00000603" w:rsidP="00575DB3">
            <w:pPr>
              <w:spacing w:after="0"/>
              <w:jc w:val="center"/>
              <w:rPr>
                <w:rFonts w:ascii="Arial" w:eastAsia="Times New Roman" w:hAnsi="Arial" w:cs="Arial"/>
                <w:b/>
                <w:color w:val="000000"/>
                <w:lang w:eastAsia="en-GB"/>
              </w:rPr>
            </w:pPr>
            <w:r w:rsidRPr="00FA2AFF">
              <w:rPr>
                <w:rFonts w:ascii="Arial" w:eastAsia="Times New Roman" w:hAnsi="Arial" w:cs="Arial"/>
                <w:b/>
                <w:color w:val="000000"/>
                <w:lang w:eastAsia="en-GB"/>
              </w:rPr>
              <w:t>9.60</w:t>
            </w:r>
          </w:p>
        </w:tc>
        <w:tc>
          <w:tcPr>
            <w:tcW w:w="1701" w:type="dxa"/>
            <w:tcBorders>
              <w:top w:val="nil"/>
              <w:left w:val="nil"/>
              <w:bottom w:val="single" w:sz="4" w:space="0" w:color="95B3D7"/>
              <w:right w:val="nil"/>
            </w:tcBorders>
            <w:shd w:val="clear" w:color="DBE5F1" w:fill="DBE5F1"/>
            <w:vAlign w:val="center"/>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1.00</w:t>
            </w:r>
          </w:p>
        </w:tc>
        <w:tc>
          <w:tcPr>
            <w:tcW w:w="2513" w:type="dxa"/>
            <w:tcBorders>
              <w:top w:val="nil"/>
              <w:left w:val="nil"/>
              <w:bottom w:val="single" w:sz="4" w:space="0" w:color="95B3D7"/>
              <w:right w:val="single" w:sz="4" w:space="0" w:color="95B3D7"/>
            </w:tcBorders>
            <w:shd w:val="clear" w:color="DBE5F1" w:fill="DBE5F1"/>
            <w:noWrap/>
            <w:vAlign w:val="center"/>
            <w:hideMark/>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14.22</w:t>
            </w:r>
          </w:p>
        </w:tc>
      </w:tr>
      <w:tr w:rsidR="00026759" w:rsidRPr="00643BBA" w:rsidTr="00000603">
        <w:trPr>
          <w:trHeight w:val="467"/>
        </w:trPr>
        <w:tc>
          <w:tcPr>
            <w:tcW w:w="1809" w:type="dxa"/>
            <w:tcBorders>
              <w:top w:val="nil"/>
              <w:left w:val="single" w:sz="4" w:space="0" w:color="95B3D7"/>
              <w:bottom w:val="single" w:sz="4" w:space="0" w:color="95B3D7"/>
              <w:right w:val="nil"/>
            </w:tcBorders>
            <w:shd w:val="clear" w:color="auto" w:fill="auto"/>
            <w:vAlign w:val="bottom"/>
            <w:hideMark/>
          </w:tcPr>
          <w:p w:rsidR="00026759" w:rsidRPr="00433711" w:rsidRDefault="00026759" w:rsidP="00575DB3">
            <w:pPr>
              <w:spacing w:after="0"/>
              <w:rPr>
                <w:rFonts w:ascii="Arial" w:eastAsia="Times New Roman" w:hAnsi="Arial" w:cs="Arial"/>
                <w:b/>
                <w:bCs/>
                <w:color w:val="000000"/>
                <w:lang w:eastAsia="en-GB"/>
              </w:rPr>
            </w:pPr>
            <w:r>
              <w:rPr>
                <w:rFonts w:ascii="Arial" w:eastAsia="Times New Roman" w:hAnsi="Arial" w:cs="Arial"/>
                <w:b/>
                <w:bCs/>
                <w:color w:val="000000"/>
                <w:lang w:eastAsia="en-GB"/>
              </w:rPr>
              <w:t xml:space="preserve">Tower Hamlets </w:t>
            </w:r>
          </w:p>
        </w:tc>
        <w:tc>
          <w:tcPr>
            <w:tcW w:w="2127" w:type="dxa"/>
            <w:tcBorders>
              <w:top w:val="nil"/>
              <w:left w:val="nil"/>
              <w:bottom w:val="single" w:sz="4" w:space="0" w:color="95B3D7"/>
              <w:right w:val="nil"/>
            </w:tcBorders>
            <w:shd w:val="clear" w:color="auto" w:fill="auto"/>
            <w:noWrap/>
            <w:vAlign w:val="center"/>
            <w:hideMark/>
          </w:tcPr>
          <w:p w:rsidR="00026759" w:rsidRPr="00433711" w:rsidRDefault="00026759" w:rsidP="00575DB3">
            <w:pPr>
              <w:spacing w:after="0"/>
              <w:jc w:val="center"/>
              <w:rPr>
                <w:rFonts w:ascii="Arial" w:eastAsia="Times New Roman" w:hAnsi="Arial" w:cs="Arial"/>
                <w:color w:val="000000"/>
                <w:lang w:eastAsia="en-GB"/>
              </w:rPr>
            </w:pPr>
            <w:r>
              <w:rPr>
                <w:rFonts w:ascii="Arial" w:eastAsia="Times New Roman" w:hAnsi="Arial" w:cs="Arial"/>
                <w:color w:val="000000"/>
                <w:lang w:eastAsia="en-GB"/>
              </w:rPr>
              <w:t>59.27</w:t>
            </w:r>
          </w:p>
        </w:tc>
        <w:tc>
          <w:tcPr>
            <w:tcW w:w="1984" w:type="dxa"/>
            <w:tcBorders>
              <w:top w:val="nil"/>
              <w:left w:val="nil"/>
              <w:bottom w:val="single" w:sz="4" w:space="0" w:color="95B3D7"/>
              <w:right w:val="nil"/>
            </w:tcBorders>
            <w:shd w:val="clear" w:color="auto" w:fill="auto"/>
            <w:noWrap/>
            <w:vAlign w:val="center"/>
            <w:hideMark/>
          </w:tcPr>
          <w:p w:rsidR="00026759" w:rsidRPr="00FA2AFF" w:rsidRDefault="00026759" w:rsidP="00575DB3">
            <w:pPr>
              <w:spacing w:after="0"/>
              <w:jc w:val="center"/>
              <w:rPr>
                <w:rFonts w:ascii="Arial" w:eastAsia="Times New Roman" w:hAnsi="Arial" w:cs="Arial"/>
                <w:b/>
                <w:color w:val="000000"/>
                <w:lang w:eastAsia="en-GB"/>
              </w:rPr>
            </w:pPr>
            <w:r w:rsidRPr="00FA2AFF">
              <w:rPr>
                <w:rFonts w:ascii="Arial" w:eastAsia="Times New Roman" w:hAnsi="Arial" w:cs="Arial"/>
                <w:b/>
                <w:color w:val="000000"/>
                <w:lang w:eastAsia="en-GB"/>
              </w:rPr>
              <w:t>11.01</w:t>
            </w:r>
          </w:p>
        </w:tc>
        <w:tc>
          <w:tcPr>
            <w:tcW w:w="1701" w:type="dxa"/>
            <w:tcBorders>
              <w:top w:val="nil"/>
              <w:left w:val="nil"/>
              <w:bottom w:val="single" w:sz="4" w:space="0" w:color="95B3D7"/>
              <w:right w:val="nil"/>
            </w:tcBorders>
            <w:vAlign w:val="center"/>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1.19</w:t>
            </w:r>
          </w:p>
        </w:tc>
        <w:tc>
          <w:tcPr>
            <w:tcW w:w="2513" w:type="dxa"/>
            <w:tcBorders>
              <w:top w:val="nil"/>
              <w:left w:val="nil"/>
              <w:bottom w:val="single" w:sz="4" w:space="0" w:color="95B3D7"/>
              <w:right w:val="single" w:sz="4" w:space="0" w:color="95B3D7"/>
            </w:tcBorders>
            <w:shd w:val="clear" w:color="auto" w:fill="auto"/>
            <w:noWrap/>
            <w:vAlign w:val="center"/>
            <w:hideMark/>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25.49</w:t>
            </w:r>
          </w:p>
        </w:tc>
      </w:tr>
      <w:tr w:rsidR="00026759" w:rsidRPr="00643BBA" w:rsidTr="00000603">
        <w:trPr>
          <w:trHeight w:val="619"/>
        </w:trPr>
        <w:tc>
          <w:tcPr>
            <w:tcW w:w="1809" w:type="dxa"/>
            <w:tcBorders>
              <w:top w:val="nil"/>
              <w:left w:val="single" w:sz="4" w:space="0" w:color="95B3D7"/>
              <w:bottom w:val="single" w:sz="4" w:space="0" w:color="95B3D7"/>
              <w:right w:val="nil"/>
            </w:tcBorders>
            <w:shd w:val="clear" w:color="DBE5F1" w:fill="DBE5F1"/>
            <w:vAlign w:val="bottom"/>
            <w:hideMark/>
          </w:tcPr>
          <w:p w:rsidR="00026759" w:rsidRPr="00433711" w:rsidRDefault="00026759" w:rsidP="00575DB3">
            <w:pPr>
              <w:spacing w:after="0"/>
              <w:rPr>
                <w:rFonts w:ascii="Arial" w:eastAsia="Times New Roman" w:hAnsi="Arial" w:cs="Arial"/>
                <w:b/>
                <w:bCs/>
                <w:color w:val="000000"/>
                <w:lang w:eastAsia="en-GB"/>
              </w:rPr>
            </w:pPr>
            <w:r>
              <w:rPr>
                <w:rFonts w:ascii="Arial" w:eastAsia="Times New Roman" w:hAnsi="Arial" w:cs="Arial"/>
                <w:b/>
                <w:bCs/>
                <w:color w:val="000000"/>
                <w:lang w:eastAsia="en-GB"/>
              </w:rPr>
              <w:t xml:space="preserve">Hammersmith and Fulham </w:t>
            </w:r>
          </w:p>
        </w:tc>
        <w:tc>
          <w:tcPr>
            <w:tcW w:w="2127" w:type="dxa"/>
            <w:tcBorders>
              <w:top w:val="nil"/>
              <w:left w:val="nil"/>
              <w:bottom w:val="single" w:sz="4" w:space="0" w:color="95B3D7"/>
              <w:right w:val="nil"/>
            </w:tcBorders>
            <w:shd w:val="clear" w:color="DBE5F1" w:fill="DBE5F1"/>
            <w:noWrap/>
            <w:vAlign w:val="center"/>
            <w:hideMark/>
          </w:tcPr>
          <w:p w:rsidR="00026759" w:rsidRPr="00433711" w:rsidRDefault="00026759" w:rsidP="00575DB3">
            <w:pPr>
              <w:spacing w:after="0"/>
              <w:jc w:val="center"/>
              <w:rPr>
                <w:rFonts w:ascii="Arial" w:eastAsia="Times New Roman" w:hAnsi="Arial" w:cs="Arial"/>
                <w:color w:val="000000"/>
                <w:lang w:eastAsia="en-GB"/>
              </w:rPr>
            </w:pPr>
            <w:r>
              <w:rPr>
                <w:rFonts w:ascii="Arial" w:eastAsia="Times New Roman" w:hAnsi="Arial" w:cs="Arial"/>
                <w:color w:val="000000"/>
                <w:lang w:eastAsia="en-GB"/>
              </w:rPr>
              <w:t>80.50</w:t>
            </w:r>
          </w:p>
        </w:tc>
        <w:tc>
          <w:tcPr>
            <w:tcW w:w="1984" w:type="dxa"/>
            <w:tcBorders>
              <w:top w:val="nil"/>
              <w:left w:val="nil"/>
              <w:bottom w:val="single" w:sz="4" w:space="0" w:color="95B3D7"/>
              <w:right w:val="nil"/>
            </w:tcBorders>
            <w:shd w:val="clear" w:color="DBE5F1" w:fill="DBE5F1"/>
            <w:noWrap/>
            <w:vAlign w:val="center"/>
            <w:hideMark/>
          </w:tcPr>
          <w:p w:rsidR="00026759" w:rsidRPr="00FA2AFF" w:rsidRDefault="00026759" w:rsidP="00575DB3">
            <w:pPr>
              <w:spacing w:after="0"/>
              <w:jc w:val="center"/>
              <w:rPr>
                <w:rFonts w:ascii="Arial" w:eastAsia="Times New Roman" w:hAnsi="Arial" w:cs="Arial"/>
                <w:b/>
                <w:color w:val="000000"/>
                <w:lang w:eastAsia="en-GB"/>
              </w:rPr>
            </w:pPr>
            <w:r w:rsidRPr="00FA2AFF">
              <w:rPr>
                <w:rFonts w:ascii="Arial" w:eastAsia="Times New Roman" w:hAnsi="Arial" w:cs="Arial"/>
                <w:b/>
                <w:color w:val="000000"/>
                <w:lang w:eastAsia="en-GB"/>
              </w:rPr>
              <w:t>4.91</w:t>
            </w:r>
          </w:p>
        </w:tc>
        <w:tc>
          <w:tcPr>
            <w:tcW w:w="1701" w:type="dxa"/>
            <w:tcBorders>
              <w:top w:val="nil"/>
              <w:left w:val="nil"/>
              <w:bottom w:val="single" w:sz="4" w:space="0" w:color="95B3D7"/>
              <w:right w:val="nil"/>
            </w:tcBorders>
            <w:shd w:val="clear" w:color="DBE5F1" w:fill="DBE5F1"/>
            <w:vAlign w:val="center"/>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1.02</w:t>
            </w:r>
          </w:p>
        </w:tc>
        <w:tc>
          <w:tcPr>
            <w:tcW w:w="2513" w:type="dxa"/>
            <w:tcBorders>
              <w:top w:val="nil"/>
              <w:left w:val="nil"/>
              <w:bottom w:val="single" w:sz="4" w:space="0" w:color="95B3D7"/>
              <w:right w:val="single" w:sz="4" w:space="0" w:color="95B3D7"/>
            </w:tcBorders>
            <w:shd w:val="clear" w:color="DBE5F1" w:fill="DBE5F1"/>
            <w:noWrap/>
            <w:vAlign w:val="center"/>
            <w:hideMark/>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16.88</w:t>
            </w:r>
          </w:p>
        </w:tc>
      </w:tr>
      <w:tr w:rsidR="00026759" w:rsidRPr="00643BBA" w:rsidTr="00000603">
        <w:trPr>
          <w:trHeight w:val="314"/>
        </w:trPr>
        <w:tc>
          <w:tcPr>
            <w:tcW w:w="1809" w:type="dxa"/>
            <w:tcBorders>
              <w:top w:val="nil"/>
              <w:left w:val="single" w:sz="4" w:space="0" w:color="95B3D7"/>
              <w:bottom w:val="single" w:sz="4" w:space="0" w:color="95B3D7"/>
              <w:right w:val="nil"/>
            </w:tcBorders>
            <w:shd w:val="clear" w:color="auto" w:fill="auto"/>
            <w:vAlign w:val="bottom"/>
            <w:hideMark/>
          </w:tcPr>
          <w:p w:rsidR="00026759" w:rsidRPr="00433711" w:rsidRDefault="00026759" w:rsidP="00575DB3">
            <w:pPr>
              <w:spacing w:after="0"/>
              <w:rPr>
                <w:rFonts w:ascii="Arial" w:eastAsia="Times New Roman" w:hAnsi="Arial" w:cs="Arial"/>
                <w:b/>
                <w:bCs/>
                <w:color w:val="000000"/>
                <w:lang w:eastAsia="en-GB"/>
              </w:rPr>
            </w:pPr>
            <w:r w:rsidRPr="00433711">
              <w:rPr>
                <w:rFonts w:ascii="Arial" w:eastAsia="Times New Roman" w:hAnsi="Arial" w:cs="Arial"/>
                <w:b/>
                <w:bCs/>
                <w:color w:val="000000"/>
                <w:lang w:eastAsia="en-GB"/>
              </w:rPr>
              <w:t xml:space="preserve">Camden </w:t>
            </w:r>
          </w:p>
        </w:tc>
        <w:tc>
          <w:tcPr>
            <w:tcW w:w="2127" w:type="dxa"/>
            <w:tcBorders>
              <w:top w:val="nil"/>
              <w:left w:val="nil"/>
              <w:bottom w:val="single" w:sz="4" w:space="0" w:color="95B3D7"/>
              <w:right w:val="nil"/>
            </w:tcBorders>
            <w:shd w:val="clear" w:color="auto" w:fill="auto"/>
            <w:noWrap/>
            <w:vAlign w:val="center"/>
            <w:hideMark/>
          </w:tcPr>
          <w:p w:rsidR="00026759" w:rsidRPr="00433711" w:rsidRDefault="00026759" w:rsidP="00575DB3">
            <w:pPr>
              <w:spacing w:after="0"/>
              <w:jc w:val="center"/>
              <w:rPr>
                <w:rFonts w:ascii="Arial" w:eastAsia="Times New Roman" w:hAnsi="Arial" w:cs="Arial"/>
                <w:color w:val="000000"/>
                <w:lang w:eastAsia="en-GB"/>
              </w:rPr>
            </w:pPr>
            <w:r>
              <w:rPr>
                <w:rFonts w:ascii="Arial" w:eastAsia="Times New Roman" w:hAnsi="Arial" w:cs="Arial"/>
                <w:color w:val="000000"/>
                <w:lang w:eastAsia="en-GB"/>
              </w:rPr>
              <w:t>62.02</w:t>
            </w:r>
          </w:p>
        </w:tc>
        <w:tc>
          <w:tcPr>
            <w:tcW w:w="1984" w:type="dxa"/>
            <w:tcBorders>
              <w:top w:val="nil"/>
              <w:left w:val="nil"/>
              <w:bottom w:val="single" w:sz="4" w:space="0" w:color="95B3D7"/>
              <w:right w:val="nil"/>
            </w:tcBorders>
            <w:shd w:val="clear" w:color="auto" w:fill="auto"/>
            <w:noWrap/>
            <w:vAlign w:val="center"/>
            <w:hideMark/>
          </w:tcPr>
          <w:p w:rsidR="00026759" w:rsidRPr="00FA2AFF" w:rsidRDefault="00026759" w:rsidP="00575DB3">
            <w:pPr>
              <w:spacing w:after="0"/>
              <w:jc w:val="center"/>
              <w:rPr>
                <w:rFonts w:ascii="Arial" w:eastAsia="Times New Roman" w:hAnsi="Arial" w:cs="Arial"/>
                <w:b/>
                <w:color w:val="000000"/>
                <w:lang w:eastAsia="en-GB"/>
              </w:rPr>
            </w:pPr>
            <w:r w:rsidRPr="00FA2AFF">
              <w:rPr>
                <w:rFonts w:ascii="Arial" w:eastAsia="Times New Roman" w:hAnsi="Arial" w:cs="Arial"/>
                <w:b/>
                <w:color w:val="000000"/>
                <w:lang w:eastAsia="en-GB"/>
              </w:rPr>
              <w:t>9.25</w:t>
            </w:r>
          </w:p>
        </w:tc>
        <w:tc>
          <w:tcPr>
            <w:tcW w:w="1701" w:type="dxa"/>
            <w:tcBorders>
              <w:top w:val="nil"/>
              <w:left w:val="nil"/>
              <w:bottom w:val="single" w:sz="4" w:space="0" w:color="95B3D7"/>
              <w:right w:val="nil"/>
            </w:tcBorders>
            <w:vAlign w:val="center"/>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0.97</w:t>
            </w:r>
          </w:p>
        </w:tc>
        <w:tc>
          <w:tcPr>
            <w:tcW w:w="2513" w:type="dxa"/>
            <w:tcBorders>
              <w:top w:val="nil"/>
              <w:left w:val="nil"/>
              <w:bottom w:val="single" w:sz="4" w:space="0" w:color="95B3D7"/>
              <w:right w:val="single" w:sz="4" w:space="0" w:color="95B3D7"/>
            </w:tcBorders>
            <w:shd w:val="clear" w:color="auto" w:fill="auto"/>
            <w:noWrap/>
            <w:vAlign w:val="center"/>
            <w:hideMark/>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14.82</w:t>
            </w:r>
          </w:p>
        </w:tc>
      </w:tr>
      <w:tr w:rsidR="00026759" w:rsidRPr="00643BBA" w:rsidTr="00000603">
        <w:trPr>
          <w:trHeight w:val="314"/>
        </w:trPr>
        <w:tc>
          <w:tcPr>
            <w:tcW w:w="1809" w:type="dxa"/>
            <w:tcBorders>
              <w:top w:val="nil"/>
              <w:left w:val="single" w:sz="4" w:space="0" w:color="95B3D7"/>
              <w:bottom w:val="single" w:sz="4" w:space="0" w:color="95B3D7"/>
              <w:right w:val="nil"/>
            </w:tcBorders>
            <w:shd w:val="clear" w:color="DBE5F1" w:fill="DBE5F1"/>
            <w:vAlign w:val="bottom"/>
            <w:hideMark/>
          </w:tcPr>
          <w:p w:rsidR="00026759" w:rsidRPr="00433711" w:rsidRDefault="00026759" w:rsidP="00575DB3">
            <w:pPr>
              <w:spacing w:after="0"/>
              <w:rPr>
                <w:rFonts w:ascii="Arial" w:eastAsia="Times New Roman" w:hAnsi="Arial" w:cs="Arial"/>
                <w:b/>
                <w:bCs/>
                <w:color w:val="000000"/>
                <w:lang w:eastAsia="en-GB"/>
              </w:rPr>
            </w:pPr>
            <w:r>
              <w:rPr>
                <w:rFonts w:ascii="Arial" w:eastAsia="Times New Roman" w:hAnsi="Arial" w:cs="Arial"/>
                <w:b/>
                <w:bCs/>
                <w:color w:val="000000"/>
                <w:lang w:eastAsia="en-GB"/>
              </w:rPr>
              <w:t xml:space="preserve">Islington </w:t>
            </w:r>
          </w:p>
        </w:tc>
        <w:tc>
          <w:tcPr>
            <w:tcW w:w="2127" w:type="dxa"/>
            <w:tcBorders>
              <w:top w:val="nil"/>
              <w:left w:val="nil"/>
              <w:bottom w:val="single" w:sz="4" w:space="0" w:color="95B3D7"/>
              <w:right w:val="nil"/>
            </w:tcBorders>
            <w:shd w:val="clear" w:color="DBE5F1" w:fill="DBE5F1"/>
            <w:noWrap/>
            <w:vAlign w:val="center"/>
            <w:hideMark/>
          </w:tcPr>
          <w:p w:rsidR="00026759" w:rsidRPr="00433711" w:rsidRDefault="00026759" w:rsidP="00575DB3">
            <w:pPr>
              <w:spacing w:after="0"/>
              <w:jc w:val="center"/>
              <w:rPr>
                <w:rFonts w:ascii="Arial" w:eastAsia="Times New Roman" w:hAnsi="Arial" w:cs="Arial"/>
                <w:color w:val="000000"/>
                <w:lang w:eastAsia="en-GB"/>
              </w:rPr>
            </w:pPr>
            <w:r>
              <w:rPr>
                <w:rFonts w:ascii="Arial" w:eastAsia="Times New Roman" w:hAnsi="Arial" w:cs="Arial"/>
                <w:color w:val="000000"/>
                <w:lang w:eastAsia="en-GB"/>
              </w:rPr>
              <w:t>68.80</w:t>
            </w:r>
          </w:p>
        </w:tc>
        <w:tc>
          <w:tcPr>
            <w:tcW w:w="1984" w:type="dxa"/>
            <w:tcBorders>
              <w:top w:val="nil"/>
              <w:left w:val="nil"/>
              <w:bottom w:val="single" w:sz="4" w:space="0" w:color="95B3D7"/>
              <w:right w:val="nil"/>
            </w:tcBorders>
            <w:shd w:val="clear" w:color="DBE5F1" w:fill="DBE5F1"/>
            <w:noWrap/>
            <w:vAlign w:val="center"/>
            <w:hideMark/>
          </w:tcPr>
          <w:p w:rsidR="00026759" w:rsidRPr="00FA2AFF" w:rsidRDefault="00026759" w:rsidP="00575DB3">
            <w:pPr>
              <w:spacing w:after="0"/>
              <w:jc w:val="center"/>
              <w:rPr>
                <w:rFonts w:ascii="Arial" w:eastAsia="Times New Roman" w:hAnsi="Arial" w:cs="Arial"/>
                <w:b/>
                <w:color w:val="000000"/>
                <w:lang w:eastAsia="en-GB"/>
              </w:rPr>
            </w:pPr>
            <w:r w:rsidRPr="00FA2AFF">
              <w:rPr>
                <w:rFonts w:ascii="Arial" w:eastAsia="Times New Roman" w:hAnsi="Arial" w:cs="Arial"/>
                <w:b/>
                <w:color w:val="000000"/>
                <w:lang w:eastAsia="en-GB"/>
              </w:rPr>
              <w:t>11.54</w:t>
            </w:r>
          </w:p>
        </w:tc>
        <w:tc>
          <w:tcPr>
            <w:tcW w:w="1701" w:type="dxa"/>
            <w:tcBorders>
              <w:top w:val="nil"/>
              <w:left w:val="nil"/>
              <w:bottom w:val="single" w:sz="4" w:space="0" w:color="95B3D7"/>
              <w:right w:val="nil"/>
            </w:tcBorders>
            <w:shd w:val="clear" w:color="DBE5F1" w:fill="DBE5F1"/>
            <w:vAlign w:val="center"/>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1.25</w:t>
            </w:r>
          </w:p>
        </w:tc>
        <w:tc>
          <w:tcPr>
            <w:tcW w:w="2513" w:type="dxa"/>
            <w:tcBorders>
              <w:top w:val="nil"/>
              <w:left w:val="nil"/>
              <w:bottom w:val="single" w:sz="4" w:space="0" w:color="95B3D7"/>
              <w:right w:val="single" w:sz="4" w:space="0" w:color="95B3D7"/>
            </w:tcBorders>
            <w:shd w:val="clear" w:color="DBE5F1" w:fill="DBE5F1"/>
            <w:noWrap/>
            <w:vAlign w:val="center"/>
            <w:hideMark/>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15.42</w:t>
            </w:r>
          </w:p>
        </w:tc>
      </w:tr>
      <w:tr w:rsidR="00026759" w:rsidRPr="00643BBA" w:rsidTr="00000603">
        <w:trPr>
          <w:trHeight w:val="619"/>
        </w:trPr>
        <w:tc>
          <w:tcPr>
            <w:tcW w:w="1809" w:type="dxa"/>
            <w:tcBorders>
              <w:top w:val="nil"/>
              <w:left w:val="single" w:sz="4" w:space="0" w:color="95B3D7"/>
              <w:bottom w:val="single" w:sz="4" w:space="0" w:color="95B3D7"/>
              <w:right w:val="nil"/>
            </w:tcBorders>
            <w:shd w:val="clear" w:color="auto" w:fill="auto"/>
            <w:vAlign w:val="bottom"/>
            <w:hideMark/>
          </w:tcPr>
          <w:p w:rsidR="00026759" w:rsidRPr="00433711" w:rsidRDefault="00026759" w:rsidP="00575DB3">
            <w:pPr>
              <w:spacing w:after="0"/>
              <w:rPr>
                <w:rFonts w:ascii="Arial" w:eastAsia="Times New Roman" w:hAnsi="Arial" w:cs="Arial"/>
                <w:b/>
                <w:bCs/>
                <w:color w:val="000000"/>
                <w:lang w:eastAsia="en-GB"/>
              </w:rPr>
            </w:pPr>
            <w:r w:rsidRPr="00433711">
              <w:rPr>
                <w:rFonts w:ascii="Arial" w:eastAsia="Times New Roman" w:hAnsi="Arial" w:cs="Arial"/>
                <w:b/>
                <w:bCs/>
                <w:color w:val="000000"/>
                <w:lang w:eastAsia="en-GB"/>
              </w:rPr>
              <w:t>K</w:t>
            </w:r>
            <w:r>
              <w:rPr>
                <w:rFonts w:ascii="Arial" w:eastAsia="Times New Roman" w:hAnsi="Arial" w:cs="Arial"/>
                <w:b/>
                <w:bCs/>
                <w:color w:val="000000"/>
                <w:lang w:eastAsia="en-GB"/>
              </w:rPr>
              <w:t xml:space="preserve">ensington and Chelsea </w:t>
            </w:r>
          </w:p>
        </w:tc>
        <w:tc>
          <w:tcPr>
            <w:tcW w:w="2127" w:type="dxa"/>
            <w:tcBorders>
              <w:top w:val="nil"/>
              <w:left w:val="nil"/>
              <w:bottom w:val="single" w:sz="4" w:space="0" w:color="95B3D7"/>
              <w:right w:val="nil"/>
            </w:tcBorders>
            <w:shd w:val="clear" w:color="auto" w:fill="auto"/>
            <w:noWrap/>
            <w:vAlign w:val="center"/>
            <w:hideMark/>
          </w:tcPr>
          <w:p w:rsidR="00026759" w:rsidRPr="00433711" w:rsidRDefault="00026759" w:rsidP="00575DB3">
            <w:pPr>
              <w:spacing w:after="0"/>
              <w:jc w:val="center"/>
              <w:rPr>
                <w:rFonts w:ascii="Arial" w:eastAsia="Times New Roman" w:hAnsi="Arial" w:cs="Arial"/>
                <w:color w:val="000000"/>
                <w:lang w:eastAsia="en-GB"/>
              </w:rPr>
            </w:pPr>
            <w:r>
              <w:rPr>
                <w:rFonts w:ascii="Arial" w:eastAsia="Times New Roman" w:hAnsi="Arial" w:cs="Arial"/>
                <w:color w:val="000000"/>
                <w:lang w:eastAsia="en-GB"/>
              </w:rPr>
              <w:t>48.19</w:t>
            </w:r>
          </w:p>
        </w:tc>
        <w:tc>
          <w:tcPr>
            <w:tcW w:w="1984" w:type="dxa"/>
            <w:tcBorders>
              <w:top w:val="nil"/>
              <w:left w:val="nil"/>
              <w:bottom w:val="single" w:sz="4" w:space="0" w:color="95B3D7"/>
              <w:right w:val="nil"/>
            </w:tcBorders>
            <w:shd w:val="clear" w:color="auto" w:fill="auto"/>
            <w:noWrap/>
            <w:vAlign w:val="center"/>
            <w:hideMark/>
          </w:tcPr>
          <w:p w:rsidR="00026759" w:rsidRPr="00FA2AFF" w:rsidRDefault="00026759" w:rsidP="00575DB3">
            <w:pPr>
              <w:spacing w:after="0"/>
              <w:jc w:val="center"/>
              <w:rPr>
                <w:rFonts w:ascii="Arial" w:eastAsia="Times New Roman" w:hAnsi="Arial" w:cs="Arial"/>
                <w:b/>
                <w:color w:val="000000"/>
                <w:lang w:eastAsia="en-GB"/>
              </w:rPr>
            </w:pPr>
            <w:r w:rsidRPr="00FA2AFF">
              <w:rPr>
                <w:rFonts w:ascii="Arial" w:eastAsia="Times New Roman" w:hAnsi="Arial" w:cs="Arial"/>
                <w:b/>
                <w:color w:val="000000"/>
                <w:lang w:eastAsia="en-GB"/>
              </w:rPr>
              <w:t>7.78</w:t>
            </w:r>
          </w:p>
        </w:tc>
        <w:tc>
          <w:tcPr>
            <w:tcW w:w="1701" w:type="dxa"/>
            <w:tcBorders>
              <w:top w:val="nil"/>
              <w:left w:val="nil"/>
              <w:bottom w:val="single" w:sz="4" w:space="0" w:color="95B3D7"/>
              <w:right w:val="nil"/>
            </w:tcBorders>
            <w:vAlign w:val="center"/>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0.98</w:t>
            </w:r>
          </w:p>
        </w:tc>
        <w:tc>
          <w:tcPr>
            <w:tcW w:w="2513" w:type="dxa"/>
            <w:tcBorders>
              <w:top w:val="nil"/>
              <w:left w:val="nil"/>
              <w:bottom w:val="single" w:sz="4" w:space="0" w:color="95B3D7"/>
              <w:right w:val="single" w:sz="4" w:space="0" w:color="95B3D7"/>
            </w:tcBorders>
            <w:shd w:val="clear" w:color="auto" w:fill="auto"/>
            <w:noWrap/>
            <w:vAlign w:val="center"/>
            <w:hideMark/>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8.37</w:t>
            </w:r>
          </w:p>
        </w:tc>
      </w:tr>
      <w:tr w:rsidR="00026759" w:rsidRPr="00643BBA" w:rsidTr="00000603">
        <w:trPr>
          <w:trHeight w:val="314"/>
        </w:trPr>
        <w:tc>
          <w:tcPr>
            <w:tcW w:w="1809" w:type="dxa"/>
            <w:tcBorders>
              <w:top w:val="nil"/>
              <w:left w:val="single" w:sz="4" w:space="0" w:color="95B3D7"/>
              <w:bottom w:val="single" w:sz="4" w:space="0" w:color="95B3D7"/>
              <w:right w:val="nil"/>
            </w:tcBorders>
            <w:shd w:val="clear" w:color="DBE5F1" w:fill="DBE5F1"/>
            <w:vAlign w:val="bottom"/>
            <w:hideMark/>
          </w:tcPr>
          <w:p w:rsidR="00026759" w:rsidRPr="00433711" w:rsidRDefault="00026759" w:rsidP="00575DB3">
            <w:pPr>
              <w:spacing w:after="0"/>
              <w:rPr>
                <w:rFonts w:ascii="Arial" w:eastAsia="Times New Roman" w:hAnsi="Arial" w:cs="Arial"/>
                <w:b/>
                <w:bCs/>
                <w:color w:val="000000"/>
                <w:lang w:eastAsia="en-GB"/>
              </w:rPr>
            </w:pPr>
            <w:r>
              <w:rPr>
                <w:rFonts w:ascii="Arial" w:eastAsia="Times New Roman" w:hAnsi="Arial" w:cs="Arial"/>
                <w:b/>
                <w:bCs/>
                <w:color w:val="000000"/>
                <w:lang w:eastAsia="en-GB"/>
              </w:rPr>
              <w:t xml:space="preserve">Westminster </w:t>
            </w:r>
          </w:p>
        </w:tc>
        <w:tc>
          <w:tcPr>
            <w:tcW w:w="2127" w:type="dxa"/>
            <w:tcBorders>
              <w:top w:val="nil"/>
              <w:left w:val="nil"/>
              <w:bottom w:val="single" w:sz="4" w:space="0" w:color="95B3D7"/>
              <w:right w:val="nil"/>
            </w:tcBorders>
            <w:shd w:val="clear" w:color="DBE5F1" w:fill="DBE5F1"/>
            <w:noWrap/>
            <w:vAlign w:val="center"/>
            <w:hideMark/>
          </w:tcPr>
          <w:p w:rsidR="00026759" w:rsidRPr="00433711" w:rsidRDefault="00026759" w:rsidP="00575DB3">
            <w:pPr>
              <w:spacing w:after="0"/>
              <w:jc w:val="center"/>
              <w:rPr>
                <w:rFonts w:ascii="Arial" w:eastAsia="Times New Roman" w:hAnsi="Arial" w:cs="Arial"/>
                <w:color w:val="000000"/>
                <w:lang w:eastAsia="en-GB"/>
              </w:rPr>
            </w:pPr>
            <w:r>
              <w:rPr>
                <w:rFonts w:ascii="Arial" w:eastAsia="Times New Roman" w:hAnsi="Arial" w:cs="Arial"/>
                <w:color w:val="000000"/>
                <w:lang w:eastAsia="en-GB"/>
              </w:rPr>
              <w:t>68.86</w:t>
            </w:r>
          </w:p>
        </w:tc>
        <w:tc>
          <w:tcPr>
            <w:tcW w:w="1984" w:type="dxa"/>
            <w:tcBorders>
              <w:top w:val="nil"/>
              <w:left w:val="nil"/>
              <w:bottom w:val="single" w:sz="4" w:space="0" w:color="95B3D7"/>
              <w:right w:val="nil"/>
            </w:tcBorders>
            <w:shd w:val="clear" w:color="DBE5F1" w:fill="DBE5F1"/>
            <w:noWrap/>
            <w:vAlign w:val="center"/>
            <w:hideMark/>
          </w:tcPr>
          <w:p w:rsidR="00026759" w:rsidRPr="00FA2AFF" w:rsidRDefault="00026759" w:rsidP="00575DB3">
            <w:pPr>
              <w:spacing w:after="0"/>
              <w:jc w:val="center"/>
              <w:rPr>
                <w:rFonts w:ascii="Arial" w:eastAsia="Times New Roman" w:hAnsi="Arial" w:cs="Arial"/>
                <w:b/>
                <w:color w:val="000000"/>
                <w:lang w:eastAsia="en-GB"/>
              </w:rPr>
            </w:pPr>
            <w:r w:rsidRPr="00FA2AFF">
              <w:rPr>
                <w:rFonts w:ascii="Arial" w:eastAsia="Times New Roman" w:hAnsi="Arial" w:cs="Arial"/>
                <w:b/>
                <w:color w:val="000000"/>
                <w:lang w:eastAsia="en-GB"/>
              </w:rPr>
              <w:t>8.61</w:t>
            </w:r>
          </w:p>
        </w:tc>
        <w:tc>
          <w:tcPr>
            <w:tcW w:w="1701" w:type="dxa"/>
            <w:tcBorders>
              <w:top w:val="nil"/>
              <w:left w:val="nil"/>
              <w:bottom w:val="single" w:sz="4" w:space="0" w:color="95B3D7"/>
              <w:right w:val="nil"/>
            </w:tcBorders>
            <w:shd w:val="clear" w:color="DBE5F1" w:fill="DBE5F1"/>
            <w:vAlign w:val="center"/>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0.78</w:t>
            </w:r>
          </w:p>
        </w:tc>
        <w:tc>
          <w:tcPr>
            <w:tcW w:w="2513" w:type="dxa"/>
            <w:tcBorders>
              <w:top w:val="nil"/>
              <w:left w:val="nil"/>
              <w:bottom w:val="single" w:sz="4" w:space="0" w:color="95B3D7"/>
              <w:right w:val="single" w:sz="4" w:space="0" w:color="95B3D7"/>
            </w:tcBorders>
            <w:shd w:val="clear" w:color="DBE5F1" w:fill="DBE5F1"/>
            <w:noWrap/>
            <w:vAlign w:val="center"/>
            <w:hideMark/>
          </w:tcPr>
          <w:p w:rsidR="00026759" w:rsidRPr="00433711" w:rsidRDefault="00026759" w:rsidP="00575DB3">
            <w:pPr>
              <w:spacing w:after="0"/>
              <w:jc w:val="center"/>
              <w:rPr>
                <w:rFonts w:ascii="Arial" w:eastAsia="Times New Roman" w:hAnsi="Arial" w:cs="Arial"/>
                <w:color w:val="000000"/>
                <w:lang w:eastAsia="en-GB"/>
              </w:rPr>
            </w:pPr>
            <w:r w:rsidRPr="00433711">
              <w:rPr>
                <w:rFonts w:ascii="Arial" w:eastAsia="Times New Roman" w:hAnsi="Arial" w:cs="Arial"/>
                <w:color w:val="000000"/>
                <w:lang w:eastAsia="en-GB"/>
              </w:rPr>
              <w:t>9.95</w:t>
            </w:r>
          </w:p>
        </w:tc>
      </w:tr>
      <w:tr w:rsidR="00026759" w:rsidRPr="00643BBA" w:rsidTr="00000603">
        <w:trPr>
          <w:trHeight w:val="467"/>
        </w:trPr>
        <w:tc>
          <w:tcPr>
            <w:tcW w:w="1809" w:type="dxa"/>
            <w:tcBorders>
              <w:top w:val="nil"/>
              <w:left w:val="single" w:sz="4" w:space="0" w:color="95B3D7"/>
              <w:bottom w:val="single" w:sz="4" w:space="0" w:color="95B3D7"/>
              <w:right w:val="nil"/>
            </w:tcBorders>
            <w:shd w:val="clear" w:color="auto" w:fill="auto"/>
            <w:vAlign w:val="bottom"/>
            <w:hideMark/>
          </w:tcPr>
          <w:p w:rsidR="00026759" w:rsidRPr="00433711" w:rsidRDefault="00026759" w:rsidP="00575DB3">
            <w:pPr>
              <w:spacing w:after="0"/>
              <w:rPr>
                <w:rFonts w:ascii="Arial" w:eastAsia="Times New Roman" w:hAnsi="Arial" w:cs="Arial"/>
                <w:b/>
                <w:bCs/>
                <w:color w:val="000000"/>
                <w:lang w:eastAsia="en-GB"/>
              </w:rPr>
            </w:pPr>
            <w:r>
              <w:rPr>
                <w:rFonts w:ascii="Arial" w:eastAsia="Times New Roman" w:hAnsi="Arial" w:cs="Arial"/>
                <w:b/>
                <w:bCs/>
                <w:color w:val="000000"/>
                <w:lang w:eastAsia="en-GB"/>
              </w:rPr>
              <w:t xml:space="preserve">Wandsworth </w:t>
            </w:r>
          </w:p>
        </w:tc>
        <w:tc>
          <w:tcPr>
            <w:tcW w:w="2127" w:type="dxa"/>
            <w:tcBorders>
              <w:top w:val="nil"/>
              <w:left w:val="nil"/>
              <w:bottom w:val="single" w:sz="4" w:space="0" w:color="95B3D7"/>
              <w:right w:val="nil"/>
            </w:tcBorders>
            <w:shd w:val="clear" w:color="auto" w:fill="auto"/>
            <w:noWrap/>
            <w:vAlign w:val="center"/>
            <w:hideMark/>
          </w:tcPr>
          <w:p w:rsidR="00026759" w:rsidRPr="008D6ED0" w:rsidRDefault="00026759" w:rsidP="00575DB3">
            <w:pPr>
              <w:spacing w:after="0"/>
              <w:jc w:val="center"/>
              <w:rPr>
                <w:rFonts w:ascii="Arial" w:eastAsia="Times New Roman" w:hAnsi="Arial" w:cs="Arial"/>
                <w:b/>
                <w:color w:val="000000"/>
                <w:lang w:eastAsia="en-GB"/>
              </w:rPr>
            </w:pPr>
            <w:r w:rsidRPr="008D6ED0">
              <w:rPr>
                <w:rFonts w:ascii="Arial" w:eastAsia="Times New Roman" w:hAnsi="Arial" w:cs="Arial"/>
                <w:b/>
                <w:color w:val="000000"/>
                <w:lang w:eastAsia="en-GB"/>
              </w:rPr>
              <w:t>66.37</w:t>
            </w:r>
          </w:p>
        </w:tc>
        <w:tc>
          <w:tcPr>
            <w:tcW w:w="1984" w:type="dxa"/>
            <w:tcBorders>
              <w:top w:val="nil"/>
              <w:left w:val="nil"/>
              <w:bottom w:val="single" w:sz="4" w:space="0" w:color="95B3D7"/>
              <w:right w:val="nil"/>
            </w:tcBorders>
            <w:shd w:val="clear" w:color="auto" w:fill="auto"/>
            <w:noWrap/>
            <w:vAlign w:val="center"/>
            <w:hideMark/>
          </w:tcPr>
          <w:p w:rsidR="00026759" w:rsidRPr="00FA2AFF" w:rsidRDefault="00026759" w:rsidP="00575DB3">
            <w:pPr>
              <w:spacing w:after="0"/>
              <w:jc w:val="center"/>
              <w:rPr>
                <w:rFonts w:ascii="Arial" w:eastAsia="Times New Roman" w:hAnsi="Arial" w:cs="Arial"/>
                <w:b/>
                <w:color w:val="000000"/>
                <w:lang w:eastAsia="en-GB"/>
              </w:rPr>
            </w:pPr>
            <w:r w:rsidRPr="00FA2AFF">
              <w:rPr>
                <w:rFonts w:ascii="Arial" w:eastAsia="Times New Roman" w:hAnsi="Arial" w:cs="Arial"/>
                <w:b/>
                <w:color w:val="000000"/>
                <w:lang w:eastAsia="en-GB"/>
              </w:rPr>
              <w:t>12.42</w:t>
            </w:r>
          </w:p>
        </w:tc>
        <w:tc>
          <w:tcPr>
            <w:tcW w:w="1701" w:type="dxa"/>
            <w:tcBorders>
              <w:top w:val="nil"/>
              <w:left w:val="nil"/>
              <w:bottom w:val="single" w:sz="4" w:space="0" w:color="95B3D7"/>
              <w:right w:val="nil"/>
            </w:tcBorders>
            <w:vAlign w:val="center"/>
          </w:tcPr>
          <w:p w:rsidR="00026759" w:rsidRPr="008D6ED0" w:rsidRDefault="00026759" w:rsidP="00575DB3">
            <w:pPr>
              <w:spacing w:after="0"/>
              <w:jc w:val="center"/>
              <w:rPr>
                <w:rFonts w:ascii="Arial" w:eastAsia="Times New Roman" w:hAnsi="Arial" w:cs="Arial"/>
                <w:b/>
                <w:color w:val="000000"/>
                <w:lang w:eastAsia="en-GB"/>
              </w:rPr>
            </w:pPr>
            <w:r w:rsidRPr="008D6ED0">
              <w:rPr>
                <w:rFonts w:ascii="Arial" w:eastAsia="Times New Roman" w:hAnsi="Arial" w:cs="Arial"/>
                <w:b/>
                <w:color w:val="000000"/>
                <w:lang w:eastAsia="en-GB"/>
              </w:rPr>
              <w:t>0.82</w:t>
            </w:r>
          </w:p>
        </w:tc>
        <w:tc>
          <w:tcPr>
            <w:tcW w:w="2513" w:type="dxa"/>
            <w:tcBorders>
              <w:top w:val="nil"/>
              <w:left w:val="nil"/>
              <w:bottom w:val="single" w:sz="4" w:space="0" w:color="95B3D7"/>
              <w:right w:val="single" w:sz="4" w:space="0" w:color="95B3D7"/>
            </w:tcBorders>
            <w:shd w:val="clear" w:color="auto" w:fill="auto"/>
            <w:noWrap/>
            <w:vAlign w:val="center"/>
            <w:hideMark/>
          </w:tcPr>
          <w:p w:rsidR="00026759" w:rsidRPr="008D6ED0" w:rsidRDefault="00026759" w:rsidP="00575DB3">
            <w:pPr>
              <w:spacing w:after="0"/>
              <w:jc w:val="center"/>
              <w:rPr>
                <w:rFonts w:ascii="Arial" w:eastAsia="Times New Roman" w:hAnsi="Arial" w:cs="Arial"/>
                <w:b/>
                <w:color w:val="000000"/>
                <w:lang w:eastAsia="en-GB"/>
              </w:rPr>
            </w:pPr>
            <w:r w:rsidRPr="008D6ED0">
              <w:rPr>
                <w:rFonts w:ascii="Arial" w:eastAsia="Times New Roman" w:hAnsi="Arial" w:cs="Arial"/>
                <w:b/>
                <w:color w:val="000000"/>
                <w:lang w:eastAsia="en-GB"/>
              </w:rPr>
              <w:t>13.60</w:t>
            </w:r>
          </w:p>
        </w:tc>
      </w:tr>
    </w:tbl>
    <w:p w:rsidR="000340E9" w:rsidRDefault="003F0AED" w:rsidP="006608D6">
      <w:pPr>
        <w:spacing w:after="0"/>
        <w:jc w:val="right"/>
        <w:rPr>
          <w:i/>
        </w:rPr>
      </w:pPr>
      <w:r w:rsidRPr="000340E9">
        <w:rPr>
          <w:i/>
        </w:rPr>
        <w:t xml:space="preserve">Source: NHS </w:t>
      </w:r>
      <w:r w:rsidR="00307AEC" w:rsidRPr="000340E9">
        <w:rPr>
          <w:i/>
        </w:rPr>
        <w:t>programme</w:t>
      </w:r>
      <w:r w:rsidRPr="000340E9">
        <w:rPr>
          <w:i/>
        </w:rPr>
        <w:t xml:space="preserve"> Budgeting Tool, 2008/9.</w:t>
      </w:r>
    </w:p>
    <w:p w:rsidR="00415759" w:rsidRPr="00433711" w:rsidRDefault="003F0AED" w:rsidP="006608D6">
      <w:pPr>
        <w:spacing w:after="0"/>
        <w:jc w:val="right"/>
        <w:rPr>
          <w:b/>
        </w:rPr>
      </w:pPr>
      <w:r w:rsidRPr="000340E9">
        <w:rPr>
          <w:i/>
        </w:rPr>
        <w:t xml:space="preserve"> </w:t>
      </w:r>
      <w:proofErr w:type="gramStart"/>
      <w:r w:rsidRPr="000340E9">
        <w:rPr>
          <w:i/>
        </w:rPr>
        <w:t xml:space="preserve">Using unified weighted population and </w:t>
      </w:r>
      <w:r w:rsidR="00307AEC" w:rsidRPr="000340E9">
        <w:rPr>
          <w:i/>
        </w:rPr>
        <w:t>total</w:t>
      </w:r>
      <w:r w:rsidRPr="000340E9">
        <w:rPr>
          <w:i/>
        </w:rPr>
        <w:t xml:space="preserve"> </w:t>
      </w:r>
      <w:r w:rsidR="00307AEC" w:rsidRPr="000340E9">
        <w:rPr>
          <w:i/>
        </w:rPr>
        <w:t>expenditure</w:t>
      </w:r>
      <w:r w:rsidR="008D6ED0" w:rsidRPr="000340E9">
        <w:rPr>
          <w:i/>
        </w:rPr>
        <w:t xml:space="preserve"> without </w:t>
      </w:r>
      <w:r w:rsidRPr="000340E9">
        <w:rPr>
          <w:i/>
        </w:rPr>
        <w:t>DF</w:t>
      </w:r>
      <w:r w:rsidR="008D6ED0" w:rsidRPr="000340E9">
        <w:rPr>
          <w:i/>
        </w:rPr>
        <w:t>T</w:t>
      </w:r>
      <w:r w:rsidRPr="000340E9">
        <w:rPr>
          <w:i/>
        </w:rPr>
        <w:t xml:space="preserve"> adjustment</w:t>
      </w:r>
      <w:r>
        <w:rPr>
          <w:b/>
        </w:rPr>
        <w:t>.</w:t>
      </w:r>
      <w:proofErr w:type="gramEnd"/>
    </w:p>
    <w:p w:rsidR="006608D6" w:rsidRDefault="006608D6" w:rsidP="006608D6"/>
    <w:p w:rsidR="00365FCB" w:rsidRPr="00F1325F" w:rsidRDefault="00365FCB" w:rsidP="006608D6">
      <w:pPr>
        <w:rPr>
          <w:rFonts w:ascii="Arial" w:hAnsi="Arial" w:cs="Arial"/>
        </w:rPr>
      </w:pPr>
      <w:r w:rsidRPr="00F1325F">
        <w:rPr>
          <w:rFonts w:ascii="Arial" w:hAnsi="Arial" w:cs="Arial"/>
        </w:rPr>
        <w:t xml:space="preserve">Comparative figure on COPD specific </w:t>
      </w:r>
      <w:r w:rsidR="008D6ED0" w:rsidRPr="00F1325F">
        <w:rPr>
          <w:rFonts w:ascii="Arial" w:hAnsi="Arial" w:cs="Arial"/>
        </w:rPr>
        <w:t>spend</w:t>
      </w:r>
      <w:r w:rsidRPr="00F1325F">
        <w:rPr>
          <w:rFonts w:ascii="Arial" w:hAnsi="Arial" w:cs="Arial"/>
        </w:rPr>
        <w:t xml:space="preserve"> across the London boroughs, calculated by NHS </w:t>
      </w:r>
      <w:r w:rsidR="008D6ED0" w:rsidRPr="00F1325F">
        <w:rPr>
          <w:rFonts w:ascii="Arial" w:hAnsi="Arial" w:cs="Arial"/>
        </w:rPr>
        <w:t>comparators</w:t>
      </w:r>
      <w:r w:rsidRPr="00F1325F">
        <w:rPr>
          <w:rFonts w:ascii="Arial" w:hAnsi="Arial" w:cs="Arial"/>
        </w:rPr>
        <w:t xml:space="preserve"> according to </w:t>
      </w:r>
      <w:r w:rsidR="000340E9">
        <w:rPr>
          <w:rFonts w:ascii="Arial" w:hAnsi="Arial" w:cs="Arial"/>
        </w:rPr>
        <w:t>Programme B</w:t>
      </w:r>
      <w:r w:rsidR="006608D6" w:rsidRPr="00F1325F">
        <w:rPr>
          <w:rFonts w:ascii="Arial" w:hAnsi="Arial" w:cs="Arial"/>
        </w:rPr>
        <w:t xml:space="preserve">udgeting codes, demonstrates </w:t>
      </w:r>
      <w:r w:rsidR="00F1325F">
        <w:rPr>
          <w:rFonts w:ascii="Arial" w:hAnsi="Arial" w:cs="Arial"/>
        </w:rPr>
        <w:t>t</w:t>
      </w:r>
      <w:r w:rsidR="006608D6" w:rsidRPr="00F1325F">
        <w:rPr>
          <w:rFonts w:ascii="Arial" w:hAnsi="Arial" w:cs="Arial"/>
        </w:rPr>
        <w:t>h</w:t>
      </w:r>
      <w:r w:rsidR="00F1325F">
        <w:rPr>
          <w:rFonts w:ascii="Arial" w:hAnsi="Arial" w:cs="Arial"/>
        </w:rPr>
        <w:t>a</w:t>
      </w:r>
      <w:r w:rsidR="006608D6" w:rsidRPr="00F1325F">
        <w:rPr>
          <w:rFonts w:ascii="Arial" w:hAnsi="Arial" w:cs="Arial"/>
        </w:rPr>
        <w:t>t the spent on COPD patients per 1,000 people is slightly higher than the London and national average.</w:t>
      </w:r>
    </w:p>
    <w:p w:rsidR="00365FCB" w:rsidRPr="00751528" w:rsidRDefault="00365FCB" w:rsidP="00751528">
      <w:pPr>
        <w:pStyle w:val="Caption"/>
      </w:pPr>
    </w:p>
    <w:p w:rsidR="00365FCB" w:rsidRPr="00751528" w:rsidRDefault="00365FCB" w:rsidP="00751528">
      <w:pPr>
        <w:pStyle w:val="Caption"/>
      </w:pPr>
      <w:r w:rsidRPr="00751528">
        <w:t xml:space="preserve">Figure </w:t>
      </w:r>
      <w:fldSimple w:instr=" SEQ Figure \* ARABIC ">
        <w:r w:rsidR="00652BDF">
          <w:rPr>
            <w:noProof/>
          </w:rPr>
          <w:t>30</w:t>
        </w:r>
      </w:fldSimple>
    </w:p>
    <w:p w:rsidR="00415759" w:rsidRDefault="003F0AED" w:rsidP="00575DB3">
      <w:pPr>
        <w:spacing w:after="0"/>
        <w:rPr>
          <w:b/>
        </w:rPr>
      </w:pPr>
      <w:r w:rsidRPr="003F0AED">
        <w:rPr>
          <w:b/>
          <w:noProof/>
          <w:lang w:eastAsia="en-GB"/>
        </w:rPr>
        <w:drawing>
          <wp:inline distT="0" distB="0" distL="0" distR="0">
            <wp:extent cx="5730432" cy="4382219"/>
            <wp:effectExtent l="19050" t="0" r="22668"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65FCB" w:rsidRPr="00FA2AFF" w:rsidRDefault="00365FCB" w:rsidP="00365FCB">
      <w:pPr>
        <w:spacing w:after="0"/>
        <w:jc w:val="right"/>
        <w:rPr>
          <w:rFonts w:ascii="Arial" w:eastAsia="Times New Roman" w:hAnsi="Arial" w:cs="Arial"/>
          <w:bCs/>
          <w:i/>
          <w:lang w:eastAsia="en-GB"/>
        </w:rPr>
      </w:pPr>
      <w:r w:rsidRPr="00FA2AFF">
        <w:rPr>
          <w:rFonts w:ascii="Arial" w:eastAsia="Times New Roman" w:hAnsi="Arial" w:cs="Arial"/>
          <w:bCs/>
          <w:i/>
          <w:lang w:eastAsia="en-GB"/>
        </w:rPr>
        <w:t>Source: NHS Comparators, NHS Information Centre, 2008-9</w:t>
      </w:r>
    </w:p>
    <w:p w:rsidR="00415759" w:rsidRDefault="00415759" w:rsidP="00575DB3"/>
    <w:p w:rsidR="00415759" w:rsidRDefault="00415759" w:rsidP="00575DB3">
      <w:pPr>
        <w:pStyle w:val="Heading1"/>
        <w:spacing w:before="0" w:beforeAutospacing="0" w:after="0" w:afterAutospacing="0" w:line="276" w:lineRule="auto"/>
      </w:pPr>
    </w:p>
    <w:p w:rsidR="003F0AED" w:rsidRDefault="003F0AED" w:rsidP="00575DB3">
      <w:pPr>
        <w:rPr>
          <w:rFonts w:ascii="Arial" w:eastAsia="Times New Roman" w:hAnsi="Arial" w:cs="Times New Roman"/>
          <w:b/>
          <w:bCs/>
          <w:color w:val="1F497D" w:themeColor="text2"/>
          <w:kern w:val="36"/>
          <w:sz w:val="28"/>
          <w:szCs w:val="29"/>
          <w:lang w:eastAsia="en-GB"/>
        </w:rPr>
      </w:pPr>
      <w:r>
        <w:br w:type="page"/>
      </w:r>
    </w:p>
    <w:p w:rsidR="00770E50" w:rsidRDefault="004471D6" w:rsidP="00770E50">
      <w:pPr>
        <w:pStyle w:val="Heading1"/>
      </w:pPr>
      <w:bookmarkStart w:id="43" w:name="_Toc256345754"/>
      <w:r>
        <w:lastRenderedPageBreak/>
        <w:t>Elements</w:t>
      </w:r>
      <w:r w:rsidR="00661A69">
        <w:t xml:space="preserve"> of </w:t>
      </w:r>
      <w:r w:rsidR="00770E50">
        <w:t xml:space="preserve">innovative </w:t>
      </w:r>
      <w:r w:rsidR="00661A69">
        <w:t xml:space="preserve">Service Provision </w:t>
      </w:r>
      <w:r w:rsidR="00770E50">
        <w:t xml:space="preserve">in NHS </w:t>
      </w:r>
      <w:r>
        <w:t>Wandsworth</w:t>
      </w:r>
      <w:bookmarkEnd w:id="43"/>
    </w:p>
    <w:p w:rsidR="00770E50" w:rsidRDefault="00770E50" w:rsidP="00770E50">
      <w:pPr>
        <w:pStyle w:val="Heading2"/>
      </w:pPr>
      <w:bookmarkStart w:id="44" w:name="_Toc256345755"/>
      <w:r>
        <w:t>Respiratory Nurse Specialist Clinics</w:t>
      </w:r>
      <w:bookmarkEnd w:id="44"/>
    </w:p>
    <w:p w:rsidR="00770E50" w:rsidRPr="00622BED" w:rsidRDefault="00770E50" w:rsidP="00770E50">
      <w:pPr>
        <w:rPr>
          <w:rFonts w:ascii="Arial" w:hAnsi="Arial" w:cs="Arial"/>
        </w:rPr>
      </w:pPr>
      <w:r w:rsidRPr="00622BED">
        <w:rPr>
          <w:rFonts w:ascii="Arial" w:hAnsi="Arial" w:cs="Arial"/>
        </w:rPr>
        <w:t>At present the respiratory specialist nurses perform regular COPD clinics at a number of sites around the borough. These sites are:</w:t>
      </w:r>
      <w:r w:rsidRPr="00622BED">
        <w:rPr>
          <w:rFonts w:ascii="Arial" w:eastAsia="Times New Roman" w:hAnsi="Arial" w:cs="Arial"/>
          <w:bCs/>
          <w:lang w:eastAsia="en-GB"/>
        </w:rPr>
        <w:t xml:space="preserve"> </w:t>
      </w:r>
    </w:p>
    <w:p w:rsidR="00770E50" w:rsidRPr="00661A69" w:rsidRDefault="00770E50" w:rsidP="00770E50">
      <w:pPr>
        <w:pStyle w:val="ListParagraph"/>
        <w:numPr>
          <w:ilvl w:val="0"/>
          <w:numId w:val="26"/>
        </w:numPr>
        <w:spacing w:after="0"/>
        <w:rPr>
          <w:rFonts w:ascii="Arial" w:eastAsia="Times New Roman" w:hAnsi="Arial" w:cs="Arial"/>
          <w:bCs/>
          <w:lang w:eastAsia="en-GB"/>
        </w:rPr>
      </w:pPr>
      <w:r w:rsidRPr="00661A69">
        <w:rPr>
          <w:rFonts w:ascii="Arial" w:eastAsia="Times New Roman" w:hAnsi="Arial" w:cs="Arial"/>
          <w:bCs/>
          <w:lang w:eastAsia="en-GB"/>
        </w:rPr>
        <w:t>Queen Mary’s Hospital</w:t>
      </w:r>
    </w:p>
    <w:p w:rsidR="00770E50" w:rsidRPr="00661A69" w:rsidRDefault="004471D6" w:rsidP="00770E50">
      <w:pPr>
        <w:pStyle w:val="ListParagraph"/>
        <w:numPr>
          <w:ilvl w:val="0"/>
          <w:numId w:val="26"/>
        </w:numPr>
        <w:spacing w:after="0"/>
        <w:rPr>
          <w:rFonts w:ascii="Arial" w:eastAsia="Times New Roman" w:hAnsi="Arial" w:cs="Arial"/>
          <w:bCs/>
          <w:lang w:eastAsia="en-GB"/>
        </w:rPr>
      </w:pPr>
      <w:proofErr w:type="spellStart"/>
      <w:r w:rsidRPr="00661A69">
        <w:rPr>
          <w:rFonts w:ascii="Arial" w:eastAsia="Times New Roman" w:hAnsi="Arial" w:cs="Arial"/>
          <w:bCs/>
          <w:lang w:eastAsia="en-GB"/>
        </w:rPr>
        <w:t>Brockleba</w:t>
      </w:r>
      <w:r>
        <w:rPr>
          <w:rFonts w:ascii="Arial" w:eastAsia="Times New Roman" w:hAnsi="Arial" w:cs="Arial"/>
          <w:bCs/>
          <w:lang w:eastAsia="en-GB"/>
        </w:rPr>
        <w:t>n</w:t>
      </w:r>
      <w:r w:rsidRPr="00661A69">
        <w:rPr>
          <w:rFonts w:ascii="Arial" w:eastAsia="Times New Roman" w:hAnsi="Arial" w:cs="Arial"/>
          <w:bCs/>
          <w:lang w:eastAsia="en-GB"/>
        </w:rPr>
        <w:t>k</w:t>
      </w:r>
      <w:proofErr w:type="spellEnd"/>
      <w:r w:rsidR="00A86233">
        <w:rPr>
          <w:rFonts w:ascii="Arial" w:eastAsia="Times New Roman" w:hAnsi="Arial" w:cs="Arial"/>
          <w:bCs/>
          <w:lang w:eastAsia="en-GB"/>
        </w:rPr>
        <w:t xml:space="preserve"> Surgery</w:t>
      </w:r>
    </w:p>
    <w:p w:rsidR="00770E50" w:rsidRPr="00661A69" w:rsidRDefault="00770E50" w:rsidP="00770E50">
      <w:pPr>
        <w:pStyle w:val="ListParagraph"/>
        <w:numPr>
          <w:ilvl w:val="0"/>
          <w:numId w:val="26"/>
        </w:numPr>
        <w:spacing w:after="0"/>
        <w:rPr>
          <w:rFonts w:ascii="Arial" w:eastAsia="Times New Roman" w:hAnsi="Arial" w:cs="Arial"/>
          <w:bCs/>
          <w:lang w:eastAsia="en-GB"/>
        </w:rPr>
      </w:pPr>
      <w:r w:rsidRPr="00661A69">
        <w:rPr>
          <w:rFonts w:ascii="Arial" w:eastAsia="Times New Roman" w:hAnsi="Arial" w:cs="Arial"/>
          <w:bCs/>
          <w:lang w:eastAsia="en-GB"/>
        </w:rPr>
        <w:t xml:space="preserve">St </w:t>
      </w:r>
      <w:r w:rsidR="00A86233" w:rsidRPr="00661A69">
        <w:rPr>
          <w:rFonts w:ascii="Arial" w:eastAsia="Times New Roman" w:hAnsi="Arial" w:cs="Arial"/>
          <w:bCs/>
          <w:lang w:eastAsia="en-GB"/>
        </w:rPr>
        <w:t>John’s</w:t>
      </w:r>
      <w:r w:rsidR="00A86233">
        <w:rPr>
          <w:rFonts w:ascii="Arial" w:eastAsia="Times New Roman" w:hAnsi="Arial" w:cs="Arial"/>
          <w:bCs/>
          <w:lang w:eastAsia="en-GB"/>
        </w:rPr>
        <w:t xml:space="preserve"> Surgery</w:t>
      </w:r>
    </w:p>
    <w:p w:rsidR="00770E50" w:rsidRPr="00661A69" w:rsidRDefault="00A86233" w:rsidP="00770E50">
      <w:pPr>
        <w:pStyle w:val="ListParagraph"/>
        <w:numPr>
          <w:ilvl w:val="0"/>
          <w:numId w:val="26"/>
        </w:numPr>
        <w:spacing w:after="0"/>
        <w:rPr>
          <w:rFonts w:ascii="Arial" w:eastAsia="Times New Roman" w:hAnsi="Arial" w:cs="Arial"/>
          <w:bCs/>
          <w:lang w:eastAsia="en-GB"/>
        </w:rPr>
      </w:pPr>
      <w:r>
        <w:rPr>
          <w:rFonts w:ascii="Arial" w:eastAsia="Times New Roman" w:hAnsi="Arial" w:cs="Arial"/>
          <w:bCs/>
          <w:lang w:eastAsia="en-GB"/>
        </w:rPr>
        <w:t>Balham Health Centre</w:t>
      </w:r>
      <w:r w:rsidR="00770E50" w:rsidRPr="00661A69">
        <w:rPr>
          <w:rFonts w:ascii="Arial" w:eastAsia="Times New Roman" w:hAnsi="Arial" w:cs="Arial"/>
          <w:bCs/>
          <w:lang w:eastAsia="en-GB"/>
        </w:rPr>
        <w:t xml:space="preserve"> </w:t>
      </w:r>
    </w:p>
    <w:p w:rsidR="00770E50" w:rsidRPr="00661A69" w:rsidRDefault="00770E50" w:rsidP="00770E50">
      <w:pPr>
        <w:pStyle w:val="ListParagraph"/>
        <w:numPr>
          <w:ilvl w:val="0"/>
          <w:numId w:val="26"/>
        </w:numPr>
        <w:spacing w:after="0"/>
        <w:rPr>
          <w:rFonts w:ascii="Arial" w:eastAsia="Times New Roman" w:hAnsi="Arial" w:cs="Arial"/>
          <w:bCs/>
          <w:lang w:eastAsia="en-GB"/>
        </w:rPr>
      </w:pPr>
      <w:r w:rsidRPr="00661A69">
        <w:rPr>
          <w:rFonts w:ascii="Arial" w:eastAsia="Times New Roman" w:hAnsi="Arial" w:cs="Arial"/>
          <w:bCs/>
          <w:lang w:eastAsia="en-GB"/>
        </w:rPr>
        <w:t>Tudor Lodge</w:t>
      </w:r>
    </w:p>
    <w:p w:rsidR="00770E50" w:rsidRDefault="00770E50" w:rsidP="00770E50">
      <w:pPr>
        <w:pStyle w:val="Heading2"/>
      </w:pPr>
      <w:bookmarkStart w:id="45" w:name="_Toc256345756"/>
      <w:r>
        <w:t>Telehealth</w:t>
      </w:r>
      <w:bookmarkEnd w:id="45"/>
    </w:p>
    <w:p w:rsidR="00770E50" w:rsidRPr="00A86233" w:rsidRDefault="00770E50" w:rsidP="00770E50">
      <w:pPr>
        <w:rPr>
          <w:rFonts w:ascii="Arial" w:hAnsi="Arial" w:cs="Arial"/>
        </w:rPr>
      </w:pPr>
      <w:r w:rsidRPr="00A86233">
        <w:rPr>
          <w:rFonts w:ascii="Arial" w:hAnsi="Arial" w:cs="Arial"/>
        </w:rPr>
        <w:t xml:space="preserve">NHS Wandsworth has developed a </w:t>
      </w:r>
      <w:r w:rsidR="004471D6" w:rsidRPr="00A86233">
        <w:rPr>
          <w:rFonts w:ascii="Arial" w:hAnsi="Arial" w:cs="Arial"/>
        </w:rPr>
        <w:t>telehealth</w:t>
      </w:r>
      <w:r w:rsidRPr="00A86233">
        <w:rPr>
          <w:rFonts w:ascii="Arial" w:hAnsi="Arial" w:cs="Arial"/>
        </w:rPr>
        <w:t xml:space="preserve"> service for the monitoring of patients with certain sever </w:t>
      </w:r>
      <w:r w:rsidR="004471D6" w:rsidRPr="00A86233">
        <w:rPr>
          <w:rFonts w:ascii="Arial" w:hAnsi="Arial" w:cs="Arial"/>
        </w:rPr>
        <w:t>chronic</w:t>
      </w:r>
      <w:r w:rsidRPr="00A86233">
        <w:rPr>
          <w:rFonts w:ascii="Arial" w:hAnsi="Arial" w:cs="Arial"/>
        </w:rPr>
        <w:t xml:space="preserve"> conditions, allowing </w:t>
      </w:r>
      <w:r w:rsidR="004471D6" w:rsidRPr="00A86233">
        <w:rPr>
          <w:rFonts w:ascii="Arial" w:hAnsi="Arial" w:cs="Arial"/>
        </w:rPr>
        <w:t>their</w:t>
      </w:r>
      <w:r w:rsidRPr="00A86233">
        <w:rPr>
          <w:rFonts w:ascii="Arial" w:hAnsi="Arial" w:cs="Arial"/>
        </w:rPr>
        <w:t xml:space="preserve"> health </w:t>
      </w:r>
      <w:r w:rsidR="004471D6" w:rsidRPr="00A86233">
        <w:rPr>
          <w:rFonts w:ascii="Arial" w:hAnsi="Arial" w:cs="Arial"/>
        </w:rPr>
        <w:t>status</w:t>
      </w:r>
      <w:r w:rsidRPr="00A86233">
        <w:rPr>
          <w:rFonts w:ascii="Arial" w:hAnsi="Arial" w:cs="Arial"/>
        </w:rPr>
        <w:t xml:space="preserve"> at home to be monitored from a distance using new technology. This </w:t>
      </w:r>
      <w:r w:rsidR="004471D6" w:rsidRPr="00A86233">
        <w:rPr>
          <w:rFonts w:ascii="Arial" w:hAnsi="Arial" w:cs="Arial"/>
        </w:rPr>
        <w:t>service</w:t>
      </w:r>
      <w:r w:rsidRPr="00A86233">
        <w:rPr>
          <w:rFonts w:ascii="Arial" w:hAnsi="Arial" w:cs="Arial"/>
        </w:rPr>
        <w:t xml:space="preserve"> is available to a limited number of COPD patients, as well as patients with conditions </w:t>
      </w:r>
      <w:r w:rsidR="004471D6" w:rsidRPr="00A86233">
        <w:rPr>
          <w:rFonts w:ascii="Arial" w:hAnsi="Arial" w:cs="Arial"/>
        </w:rPr>
        <w:t>such</w:t>
      </w:r>
      <w:r w:rsidRPr="00A86233">
        <w:rPr>
          <w:rFonts w:ascii="Arial" w:hAnsi="Arial" w:cs="Arial"/>
        </w:rPr>
        <w:t xml:space="preserve"> as cardiac failure. </w:t>
      </w:r>
    </w:p>
    <w:p w:rsidR="00770E50" w:rsidRPr="00A86233" w:rsidRDefault="00770E50" w:rsidP="00770E50">
      <w:pPr>
        <w:rPr>
          <w:rFonts w:ascii="Arial" w:hAnsi="Arial" w:cs="Arial"/>
        </w:rPr>
      </w:pPr>
      <w:r w:rsidRPr="00A86233">
        <w:rPr>
          <w:rFonts w:ascii="Arial" w:hAnsi="Arial" w:cs="Arial"/>
        </w:rPr>
        <w:t xml:space="preserve">At present data on the number of patients treated with the </w:t>
      </w:r>
      <w:r w:rsidR="004471D6" w:rsidRPr="00A86233">
        <w:rPr>
          <w:rFonts w:ascii="Arial" w:hAnsi="Arial" w:cs="Arial"/>
        </w:rPr>
        <w:t>telehealth</w:t>
      </w:r>
      <w:r w:rsidRPr="00A86233">
        <w:rPr>
          <w:rFonts w:ascii="Arial" w:hAnsi="Arial" w:cs="Arial"/>
        </w:rPr>
        <w:t xml:space="preserve"> system ho have COPD as their </w:t>
      </w:r>
      <w:r w:rsidR="004471D6" w:rsidRPr="00A86233">
        <w:rPr>
          <w:rFonts w:ascii="Arial" w:hAnsi="Arial" w:cs="Arial"/>
        </w:rPr>
        <w:t>diagnosis</w:t>
      </w:r>
      <w:r w:rsidRPr="00A86233">
        <w:rPr>
          <w:rFonts w:ascii="Arial" w:hAnsi="Arial" w:cs="Arial"/>
        </w:rPr>
        <w:t xml:space="preserve"> is not </w:t>
      </w:r>
      <w:proofErr w:type="gramStart"/>
      <w:r w:rsidRPr="00A86233">
        <w:rPr>
          <w:rFonts w:ascii="Arial" w:hAnsi="Arial" w:cs="Arial"/>
        </w:rPr>
        <w:t>available.</w:t>
      </w:r>
      <w:proofErr w:type="gramEnd"/>
      <w:r w:rsidRPr="00A86233">
        <w:rPr>
          <w:rFonts w:ascii="Arial" w:hAnsi="Arial" w:cs="Arial"/>
        </w:rPr>
        <w:t xml:space="preserve"> </w:t>
      </w:r>
      <w:r w:rsidR="004471D6" w:rsidRPr="00A86233">
        <w:rPr>
          <w:rFonts w:ascii="Arial" w:hAnsi="Arial" w:cs="Arial"/>
        </w:rPr>
        <w:t>Anecdotal</w:t>
      </w:r>
      <w:r w:rsidRPr="00A86233">
        <w:rPr>
          <w:rFonts w:ascii="Arial" w:hAnsi="Arial" w:cs="Arial"/>
        </w:rPr>
        <w:t xml:space="preserve"> </w:t>
      </w:r>
      <w:r w:rsidR="004471D6" w:rsidRPr="00A86233">
        <w:rPr>
          <w:rFonts w:ascii="Arial" w:hAnsi="Arial" w:cs="Arial"/>
        </w:rPr>
        <w:t>evidence</w:t>
      </w:r>
      <w:r w:rsidRPr="00A86233">
        <w:rPr>
          <w:rFonts w:ascii="Arial" w:hAnsi="Arial" w:cs="Arial"/>
        </w:rPr>
        <w:t xml:space="preserve"> suggests that the telehealth equipment is underutilized </w:t>
      </w:r>
      <w:r w:rsidR="004471D6" w:rsidRPr="00A86233">
        <w:rPr>
          <w:rFonts w:ascii="Arial" w:hAnsi="Arial" w:cs="Arial"/>
        </w:rPr>
        <w:t>relative</w:t>
      </w:r>
      <w:r w:rsidRPr="00A86233">
        <w:rPr>
          <w:rFonts w:ascii="Arial" w:hAnsi="Arial" w:cs="Arial"/>
        </w:rPr>
        <w:t xml:space="preserve"> to its potential capacity at present. Further work to map the usage of telehealth, and an </w:t>
      </w:r>
      <w:r w:rsidR="004471D6" w:rsidRPr="00A86233">
        <w:rPr>
          <w:rFonts w:ascii="Arial" w:hAnsi="Arial" w:cs="Arial"/>
        </w:rPr>
        <w:t>evaluation</w:t>
      </w:r>
      <w:r w:rsidRPr="00A86233">
        <w:rPr>
          <w:rFonts w:ascii="Arial" w:hAnsi="Arial" w:cs="Arial"/>
        </w:rPr>
        <w:t xml:space="preserve"> of its effectiveness would be useful.</w:t>
      </w:r>
    </w:p>
    <w:p w:rsidR="00770E50" w:rsidRDefault="00770E50" w:rsidP="00770E50">
      <w:pPr>
        <w:pStyle w:val="Heading2"/>
      </w:pPr>
      <w:bookmarkStart w:id="46" w:name="_Toc256345757"/>
      <w:r>
        <w:t>Virtual Wards</w:t>
      </w:r>
      <w:bookmarkEnd w:id="46"/>
    </w:p>
    <w:p w:rsidR="00770E50" w:rsidRPr="00A86233" w:rsidRDefault="00770E50" w:rsidP="00770E50">
      <w:pPr>
        <w:rPr>
          <w:rFonts w:ascii="Arial" w:hAnsi="Arial" w:cs="Arial"/>
        </w:rPr>
      </w:pPr>
      <w:r w:rsidRPr="00A86233">
        <w:rPr>
          <w:rFonts w:ascii="Arial" w:hAnsi="Arial" w:cs="Arial"/>
        </w:rPr>
        <w:t xml:space="preserve">NHS </w:t>
      </w:r>
      <w:r w:rsidR="004471D6" w:rsidRPr="00A86233">
        <w:rPr>
          <w:rFonts w:ascii="Arial" w:hAnsi="Arial" w:cs="Arial"/>
        </w:rPr>
        <w:t>Wandsworth</w:t>
      </w:r>
      <w:r w:rsidRPr="00A86233">
        <w:rPr>
          <w:rFonts w:ascii="Arial" w:hAnsi="Arial" w:cs="Arial"/>
        </w:rPr>
        <w:t xml:space="preserve"> is currently running an innovative community virtual ward, operated by </w:t>
      </w:r>
      <w:r w:rsidR="00A86233" w:rsidRPr="00A86233">
        <w:rPr>
          <w:rFonts w:ascii="Arial" w:hAnsi="Arial" w:cs="Arial"/>
        </w:rPr>
        <w:t>specifically</w:t>
      </w:r>
      <w:r w:rsidR="00BA4C9E" w:rsidRPr="00A86233">
        <w:rPr>
          <w:rFonts w:ascii="Arial" w:hAnsi="Arial" w:cs="Arial"/>
        </w:rPr>
        <w:t xml:space="preserve"> employed </w:t>
      </w:r>
      <w:r w:rsidRPr="00A86233">
        <w:rPr>
          <w:rFonts w:ascii="Arial" w:hAnsi="Arial" w:cs="Arial"/>
        </w:rPr>
        <w:t xml:space="preserve">GPs, </w:t>
      </w:r>
      <w:r w:rsidR="004471D6" w:rsidRPr="00A86233">
        <w:rPr>
          <w:rFonts w:ascii="Arial" w:hAnsi="Arial" w:cs="Arial"/>
        </w:rPr>
        <w:t>in close</w:t>
      </w:r>
      <w:r w:rsidRPr="00A86233">
        <w:rPr>
          <w:rFonts w:ascii="Arial" w:hAnsi="Arial" w:cs="Arial"/>
        </w:rPr>
        <w:t xml:space="preserve"> collaboration with community matrons and </w:t>
      </w:r>
      <w:r w:rsidR="00BA4C9E" w:rsidRPr="00A86233">
        <w:rPr>
          <w:rFonts w:ascii="Arial" w:hAnsi="Arial" w:cs="Arial"/>
        </w:rPr>
        <w:t>the wider GP community</w:t>
      </w:r>
      <w:r w:rsidRPr="00A86233">
        <w:rPr>
          <w:rFonts w:ascii="Arial" w:hAnsi="Arial" w:cs="Arial"/>
        </w:rPr>
        <w:t xml:space="preserve">. This service has been running for less than a year, and </w:t>
      </w:r>
      <w:r w:rsidR="004471D6" w:rsidRPr="00A86233">
        <w:rPr>
          <w:rFonts w:ascii="Arial" w:hAnsi="Arial" w:cs="Arial"/>
        </w:rPr>
        <w:t>currently</w:t>
      </w:r>
      <w:r w:rsidRPr="00A86233">
        <w:rPr>
          <w:rFonts w:ascii="Arial" w:hAnsi="Arial" w:cs="Arial"/>
        </w:rPr>
        <w:t xml:space="preserve"> has 108 patients registered to the service. An early analysis </w:t>
      </w:r>
      <w:r w:rsidR="004471D6" w:rsidRPr="00A86233">
        <w:rPr>
          <w:rFonts w:ascii="Arial" w:hAnsi="Arial" w:cs="Arial"/>
        </w:rPr>
        <w:t>suggests</w:t>
      </w:r>
      <w:r w:rsidRPr="00A86233">
        <w:rPr>
          <w:rFonts w:ascii="Arial" w:hAnsi="Arial" w:cs="Arial"/>
        </w:rPr>
        <w:t xml:space="preserve"> that 27 patient have a diagnosis of COPD, among other </w:t>
      </w:r>
      <w:r w:rsidR="004471D6" w:rsidRPr="00A86233">
        <w:rPr>
          <w:rFonts w:ascii="Arial" w:hAnsi="Arial" w:cs="Arial"/>
        </w:rPr>
        <w:t>co morbidities</w:t>
      </w:r>
      <w:r w:rsidRPr="00A86233">
        <w:rPr>
          <w:rFonts w:ascii="Arial" w:hAnsi="Arial" w:cs="Arial"/>
        </w:rPr>
        <w:t xml:space="preserve">, representing 25% of patients on the virtual ward. </w:t>
      </w:r>
    </w:p>
    <w:p w:rsidR="00770E50" w:rsidRPr="00A86233" w:rsidRDefault="00770E50" w:rsidP="00770E50">
      <w:pPr>
        <w:rPr>
          <w:rFonts w:ascii="Arial" w:hAnsi="Arial" w:cs="Arial"/>
        </w:rPr>
      </w:pPr>
      <w:r w:rsidRPr="00A86233">
        <w:rPr>
          <w:rFonts w:ascii="Arial" w:hAnsi="Arial" w:cs="Arial"/>
        </w:rPr>
        <w:t xml:space="preserve">Patients in the virtual ward are selected by </w:t>
      </w:r>
      <w:r w:rsidR="004471D6" w:rsidRPr="00A86233">
        <w:rPr>
          <w:rFonts w:ascii="Arial" w:hAnsi="Arial" w:cs="Arial"/>
        </w:rPr>
        <w:t>referral</w:t>
      </w:r>
      <w:r w:rsidRPr="00A86233">
        <w:rPr>
          <w:rFonts w:ascii="Arial" w:hAnsi="Arial" w:cs="Arial"/>
        </w:rPr>
        <w:t xml:space="preserve">, or by predictive risk modelling, and are thought likely to represent those patients most at risk of admission to hospital. A formal </w:t>
      </w:r>
      <w:r w:rsidR="004471D6" w:rsidRPr="00A86233">
        <w:rPr>
          <w:rFonts w:ascii="Arial" w:hAnsi="Arial" w:cs="Arial"/>
        </w:rPr>
        <w:t>evaluation of</w:t>
      </w:r>
      <w:r w:rsidRPr="00A86233">
        <w:rPr>
          <w:rFonts w:ascii="Arial" w:hAnsi="Arial" w:cs="Arial"/>
        </w:rPr>
        <w:t xml:space="preserve"> the </w:t>
      </w:r>
      <w:r w:rsidR="004471D6" w:rsidRPr="00A86233">
        <w:rPr>
          <w:rFonts w:ascii="Arial" w:hAnsi="Arial" w:cs="Arial"/>
        </w:rPr>
        <w:t>effectiveness</w:t>
      </w:r>
      <w:r w:rsidRPr="00A86233">
        <w:rPr>
          <w:rFonts w:ascii="Arial" w:hAnsi="Arial" w:cs="Arial"/>
        </w:rPr>
        <w:t xml:space="preserve"> of this service is ongoing, but preliminary </w:t>
      </w:r>
      <w:r w:rsidR="004471D6" w:rsidRPr="00A86233">
        <w:rPr>
          <w:rFonts w:ascii="Arial" w:hAnsi="Arial" w:cs="Arial"/>
        </w:rPr>
        <w:t>data</w:t>
      </w:r>
      <w:r w:rsidRPr="00A86233">
        <w:rPr>
          <w:rFonts w:ascii="Arial" w:hAnsi="Arial" w:cs="Arial"/>
        </w:rPr>
        <w:t xml:space="preserve"> suggests that the GPs running the virtual wards are </w:t>
      </w:r>
      <w:r w:rsidR="004471D6" w:rsidRPr="00A86233">
        <w:rPr>
          <w:rFonts w:ascii="Arial" w:hAnsi="Arial" w:cs="Arial"/>
        </w:rPr>
        <w:t>currently</w:t>
      </w:r>
      <w:r w:rsidRPr="00A86233">
        <w:rPr>
          <w:rFonts w:ascii="Arial" w:hAnsi="Arial" w:cs="Arial"/>
        </w:rPr>
        <w:t xml:space="preserve"> estimating that they are preventing approximate 5 acute COPD exacerbation admissions each month (November 2008- January 2010).</w:t>
      </w:r>
    </w:p>
    <w:p w:rsidR="00770E50" w:rsidRPr="00433711" w:rsidRDefault="00770E50" w:rsidP="00770E50">
      <w:pPr>
        <w:pStyle w:val="Heading2"/>
      </w:pPr>
      <w:bookmarkStart w:id="47" w:name="_Toc256345758"/>
      <w:r>
        <w:t xml:space="preserve">On call </w:t>
      </w:r>
      <w:r w:rsidR="004471D6">
        <w:t>nursing</w:t>
      </w:r>
      <w:r>
        <w:t xml:space="preserve"> team</w:t>
      </w:r>
      <w:bookmarkEnd w:id="47"/>
    </w:p>
    <w:p w:rsidR="00770E50" w:rsidRPr="00A86233" w:rsidRDefault="00770E50" w:rsidP="00770E50">
      <w:pPr>
        <w:rPr>
          <w:rFonts w:ascii="Arial" w:hAnsi="Arial" w:cs="Arial"/>
        </w:rPr>
      </w:pPr>
      <w:r w:rsidRPr="00A86233">
        <w:rPr>
          <w:rFonts w:ascii="Arial" w:hAnsi="Arial" w:cs="Arial"/>
        </w:rPr>
        <w:t xml:space="preserve">In a recent service innovation, the </w:t>
      </w:r>
      <w:r w:rsidR="004471D6" w:rsidRPr="00A86233">
        <w:rPr>
          <w:rFonts w:ascii="Arial" w:hAnsi="Arial" w:cs="Arial"/>
        </w:rPr>
        <w:t>respiratory</w:t>
      </w:r>
      <w:r w:rsidRPr="00A86233">
        <w:rPr>
          <w:rFonts w:ascii="Arial" w:hAnsi="Arial" w:cs="Arial"/>
        </w:rPr>
        <w:t xml:space="preserve"> </w:t>
      </w:r>
      <w:r w:rsidR="004471D6" w:rsidRPr="00A86233">
        <w:rPr>
          <w:rFonts w:ascii="Arial" w:hAnsi="Arial" w:cs="Arial"/>
        </w:rPr>
        <w:t>specialist</w:t>
      </w:r>
      <w:r w:rsidRPr="00A86233">
        <w:rPr>
          <w:rFonts w:ascii="Arial" w:hAnsi="Arial" w:cs="Arial"/>
        </w:rPr>
        <w:t xml:space="preserve"> nurse team now provides an </w:t>
      </w:r>
      <w:r w:rsidR="004471D6" w:rsidRPr="00A86233">
        <w:rPr>
          <w:rFonts w:ascii="Arial" w:hAnsi="Arial" w:cs="Arial"/>
        </w:rPr>
        <w:t>on call</w:t>
      </w:r>
      <w:r w:rsidRPr="00A86233">
        <w:rPr>
          <w:rFonts w:ascii="Arial" w:hAnsi="Arial" w:cs="Arial"/>
        </w:rPr>
        <w:t xml:space="preserve"> services during the day on Saturdays. This is a new service, and as such data on usage is currently unavailable, but it provides an extra layer of support for out of hours services over the weekend.</w:t>
      </w:r>
    </w:p>
    <w:p w:rsidR="00770E50" w:rsidRDefault="00770E50" w:rsidP="00770E50">
      <w:pPr>
        <w:rPr>
          <w:rFonts w:ascii="Arial" w:eastAsia="Times New Roman" w:hAnsi="Arial" w:cstheme="majorBidi"/>
          <w:bCs/>
          <w:color w:val="1F497D" w:themeColor="text2"/>
          <w:sz w:val="26"/>
          <w:lang w:eastAsia="en-GB"/>
        </w:rPr>
      </w:pPr>
      <w:r>
        <w:br w:type="page"/>
      </w:r>
    </w:p>
    <w:p w:rsidR="00DB5841" w:rsidRDefault="00BC01D7" w:rsidP="00575DB3">
      <w:pPr>
        <w:pStyle w:val="Heading1"/>
        <w:spacing w:before="0" w:beforeAutospacing="0" w:after="0" w:afterAutospacing="0" w:line="276" w:lineRule="auto"/>
      </w:pPr>
      <w:bookmarkStart w:id="48" w:name="_Toc256345759"/>
      <w:r>
        <w:lastRenderedPageBreak/>
        <w:t>Views from</w:t>
      </w:r>
      <w:r w:rsidR="00BF1C33" w:rsidRPr="00643BBA">
        <w:t xml:space="preserve"> local stakeholders</w:t>
      </w:r>
      <w:bookmarkEnd w:id="48"/>
    </w:p>
    <w:p w:rsidR="00A86233" w:rsidRDefault="00A86233" w:rsidP="00BC01D7">
      <w:pPr>
        <w:rPr>
          <w:rFonts w:ascii="Arial" w:hAnsi="Arial" w:cs="Arial"/>
        </w:rPr>
      </w:pPr>
    </w:p>
    <w:p w:rsidR="00BC01D7" w:rsidRPr="00A86233" w:rsidRDefault="00BC01D7" w:rsidP="00BC01D7">
      <w:pPr>
        <w:rPr>
          <w:rFonts w:ascii="Arial" w:hAnsi="Arial" w:cs="Arial"/>
        </w:rPr>
      </w:pPr>
      <w:r w:rsidRPr="00A86233">
        <w:rPr>
          <w:rFonts w:ascii="Arial" w:hAnsi="Arial" w:cs="Arial"/>
        </w:rPr>
        <w:t>Discussion</w:t>
      </w:r>
      <w:r w:rsidR="0034181E" w:rsidRPr="00A86233">
        <w:rPr>
          <w:rFonts w:ascii="Arial" w:hAnsi="Arial" w:cs="Arial"/>
        </w:rPr>
        <w:t>s</w:t>
      </w:r>
      <w:r w:rsidRPr="00A86233">
        <w:rPr>
          <w:rFonts w:ascii="Arial" w:hAnsi="Arial" w:cs="Arial"/>
        </w:rPr>
        <w:t xml:space="preserve"> were </w:t>
      </w:r>
      <w:r w:rsidR="0034181E" w:rsidRPr="00A86233">
        <w:rPr>
          <w:rFonts w:ascii="Arial" w:hAnsi="Arial" w:cs="Arial"/>
        </w:rPr>
        <w:t>held</w:t>
      </w:r>
      <w:r w:rsidRPr="00A86233">
        <w:rPr>
          <w:rFonts w:ascii="Arial" w:hAnsi="Arial" w:cs="Arial"/>
        </w:rPr>
        <w:t xml:space="preserve"> with healthcare </w:t>
      </w:r>
      <w:r w:rsidR="0034181E" w:rsidRPr="00A86233">
        <w:rPr>
          <w:rFonts w:ascii="Arial" w:hAnsi="Arial" w:cs="Arial"/>
        </w:rPr>
        <w:t>professional</w:t>
      </w:r>
      <w:r w:rsidRPr="00A86233">
        <w:rPr>
          <w:rFonts w:ascii="Arial" w:hAnsi="Arial" w:cs="Arial"/>
        </w:rPr>
        <w:t>s</w:t>
      </w:r>
      <w:r w:rsidR="00EE5A34" w:rsidRPr="00EE5A34">
        <w:rPr>
          <w:rFonts w:ascii="Arial" w:hAnsi="Arial" w:cs="Arial"/>
        </w:rPr>
        <w:t xml:space="preserve"> </w:t>
      </w:r>
      <w:r w:rsidR="00EE5A34" w:rsidRPr="00A86233">
        <w:rPr>
          <w:rFonts w:ascii="Arial" w:hAnsi="Arial" w:cs="Arial"/>
        </w:rPr>
        <w:t>in Wandsworth</w:t>
      </w:r>
      <w:r w:rsidR="00EE5A34">
        <w:rPr>
          <w:rFonts w:ascii="Arial" w:hAnsi="Arial" w:cs="Arial"/>
        </w:rPr>
        <w:t>, including community respiratory nurses, hospital chest clinic staff and commissioning staff</w:t>
      </w:r>
      <w:r w:rsidR="00A82EAC">
        <w:rPr>
          <w:rFonts w:ascii="Arial" w:hAnsi="Arial" w:cs="Arial"/>
        </w:rPr>
        <w:t xml:space="preserve">, </w:t>
      </w:r>
      <w:r w:rsidR="00A82EAC" w:rsidRPr="00A86233">
        <w:rPr>
          <w:rFonts w:ascii="Arial" w:hAnsi="Arial" w:cs="Arial"/>
        </w:rPr>
        <w:t>who</w:t>
      </w:r>
      <w:r w:rsidRPr="00A86233">
        <w:rPr>
          <w:rFonts w:ascii="Arial" w:hAnsi="Arial" w:cs="Arial"/>
        </w:rPr>
        <w:t xml:space="preserve"> work on COPD to gather their views about the services.</w:t>
      </w:r>
      <w:r w:rsidR="00EE5A34">
        <w:rPr>
          <w:rFonts w:ascii="Arial" w:hAnsi="Arial" w:cs="Arial"/>
        </w:rPr>
        <w:t xml:space="preserve"> </w:t>
      </w:r>
      <w:r w:rsidR="00A82EAC">
        <w:rPr>
          <w:rFonts w:ascii="Arial" w:hAnsi="Arial" w:cs="Arial"/>
        </w:rPr>
        <w:t>The following comments were gathered during a series of semi-structured interviews with this group.</w:t>
      </w:r>
    </w:p>
    <w:p w:rsidR="00BC01D7" w:rsidRDefault="00BC01D7" w:rsidP="00BC01D7">
      <w:pPr>
        <w:pStyle w:val="Heading2"/>
      </w:pPr>
      <w:bookmarkStart w:id="49" w:name="_Toc256345760"/>
      <w:r>
        <w:t>Things that are done well:</w:t>
      </w:r>
      <w:bookmarkEnd w:id="49"/>
    </w:p>
    <w:p w:rsidR="00BC01D7" w:rsidRDefault="00BC01D7" w:rsidP="00575DB3">
      <w:pPr>
        <w:spacing w:after="0"/>
        <w:rPr>
          <w:rFonts w:ascii="Arial" w:eastAsia="Times New Roman" w:hAnsi="Arial" w:cs="Arial"/>
          <w:bCs/>
          <w:lang w:eastAsia="en-GB"/>
        </w:rPr>
      </w:pPr>
    </w:p>
    <w:p w:rsidR="00BC01D7" w:rsidRDefault="00BC01D7" w:rsidP="00575DB3">
      <w:pPr>
        <w:spacing w:after="0"/>
        <w:rPr>
          <w:rFonts w:ascii="Arial" w:eastAsia="Times New Roman" w:hAnsi="Arial" w:cs="Arial"/>
          <w:bCs/>
          <w:lang w:eastAsia="en-GB"/>
        </w:rPr>
      </w:pPr>
      <w:r>
        <w:rPr>
          <w:rFonts w:ascii="Arial" w:eastAsia="Times New Roman" w:hAnsi="Arial" w:cs="Arial"/>
          <w:bCs/>
          <w:lang w:eastAsia="en-GB"/>
        </w:rPr>
        <w:t>There is a good level of communication between respiratory specialist nurses, most GPs and the chest clinic.</w:t>
      </w:r>
    </w:p>
    <w:p w:rsidR="0034181E" w:rsidRDefault="0034181E" w:rsidP="00575DB3">
      <w:pPr>
        <w:spacing w:after="0"/>
        <w:rPr>
          <w:rFonts w:ascii="Arial" w:eastAsia="Times New Roman" w:hAnsi="Arial" w:cs="Arial"/>
          <w:bCs/>
          <w:lang w:eastAsia="en-GB"/>
        </w:rPr>
      </w:pPr>
    </w:p>
    <w:p w:rsidR="0034181E" w:rsidRDefault="0034181E" w:rsidP="00575DB3">
      <w:pPr>
        <w:spacing w:after="0"/>
        <w:rPr>
          <w:rFonts w:ascii="Arial" w:eastAsia="Times New Roman" w:hAnsi="Arial" w:cs="Arial"/>
          <w:bCs/>
          <w:lang w:eastAsia="en-GB"/>
        </w:rPr>
      </w:pPr>
      <w:r>
        <w:rPr>
          <w:rFonts w:ascii="Arial" w:eastAsia="Times New Roman" w:hAnsi="Arial" w:cs="Arial"/>
          <w:bCs/>
          <w:lang w:eastAsia="en-GB"/>
        </w:rPr>
        <w:t>The current service has proved open to new innovative ideas, such as the use of telehealth and the development of the weekend on call service.</w:t>
      </w:r>
    </w:p>
    <w:p w:rsidR="00BC01D7" w:rsidRDefault="00BC01D7" w:rsidP="00575DB3">
      <w:pPr>
        <w:spacing w:after="0"/>
        <w:rPr>
          <w:rFonts w:ascii="Arial" w:eastAsia="Times New Roman" w:hAnsi="Arial" w:cs="Arial"/>
          <w:bCs/>
          <w:lang w:eastAsia="en-GB"/>
        </w:rPr>
      </w:pPr>
    </w:p>
    <w:p w:rsidR="00BC01D7" w:rsidRDefault="0034181E" w:rsidP="00575DB3">
      <w:pPr>
        <w:spacing w:after="0"/>
        <w:rPr>
          <w:rFonts w:ascii="Arial" w:eastAsia="Times New Roman" w:hAnsi="Arial" w:cs="Arial"/>
          <w:bCs/>
          <w:lang w:eastAsia="en-GB"/>
        </w:rPr>
      </w:pPr>
      <w:r>
        <w:rPr>
          <w:rFonts w:ascii="Arial" w:eastAsia="Times New Roman" w:hAnsi="Arial" w:cs="Arial"/>
          <w:bCs/>
          <w:lang w:eastAsia="en-GB"/>
        </w:rPr>
        <w:t>Recruitment</w:t>
      </w:r>
      <w:r w:rsidR="00BC01D7">
        <w:rPr>
          <w:rFonts w:ascii="Arial" w:eastAsia="Times New Roman" w:hAnsi="Arial" w:cs="Arial"/>
          <w:bCs/>
          <w:lang w:eastAsia="en-GB"/>
        </w:rPr>
        <w:t xml:space="preserve"> and retention of specialist staff has gone well, leading to a group of </w:t>
      </w:r>
      <w:r>
        <w:rPr>
          <w:rFonts w:ascii="Arial" w:eastAsia="Times New Roman" w:hAnsi="Arial" w:cs="Arial"/>
          <w:bCs/>
          <w:lang w:eastAsia="en-GB"/>
        </w:rPr>
        <w:t>knowledgeable</w:t>
      </w:r>
      <w:r w:rsidR="00BC01D7">
        <w:rPr>
          <w:rFonts w:ascii="Arial" w:eastAsia="Times New Roman" w:hAnsi="Arial" w:cs="Arial"/>
          <w:bCs/>
          <w:lang w:eastAsia="en-GB"/>
        </w:rPr>
        <w:t xml:space="preserve"> local respiratory nurses. This is in contrast to several other boroughs that have had problems </w:t>
      </w:r>
      <w:r>
        <w:rPr>
          <w:rFonts w:ascii="Arial" w:eastAsia="Times New Roman" w:hAnsi="Arial" w:cs="Arial"/>
          <w:bCs/>
          <w:lang w:eastAsia="en-GB"/>
        </w:rPr>
        <w:t>recruiting</w:t>
      </w:r>
      <w:r w:rsidR="00BC01D7">
        <w:rPr>
          <w:rFonts w:ascii="Arial" w:eastAsia="Times New Roman" w:hAnsi="Arial" w:cs="Arial"/>
          <w:bCs/>
          <w:lang w:eastAsia="en-GB"/>
        </w:rPr>
        <w:t xml:space="preserve"> </w:t>
      </w:r>
      <w:r>
        <w:rPr>
          <w:rFonts w:ascii="Arial" w:eastAsia="Times New Roman" w:hAnsi="Arial" w:cs="Arial"/>
          <w:bCs/>
          <w:lang w:eastAsia="en-GB"/>
        </w:rPr>
        <w:t>sufficient</w:t>
      </w:r>
      <w:r w:rsidR="00BC01D7">
        <w:rPr>
          <w:rFonts w:ascii="Arial" w:eastAsia="Times New Roman" w:hAnsi="Arial" w:cs="Arial"/>
          <w:bCs/>
          <w:lang w:eastAsia="en-GB"/>
        </w:rPr>
        <w:t xml:space="preserve"> high quality</w:t>
      </w:r>
      <w:r w:rsidR="00FA2AFF">
        <w:rPr>
          <w:rFonts w:ascii="Arial" w:eastAsia="Times New Roman" w:hAnsi="Arial" w:cs="Arial"/>
          <w:bCs/>
          <w:lang w:eastAsia="en-GB"/>
        </w:rPr>
        <w:t xml:space="preserve"> and specialist</w:t>
      </w:r>
      <w:r w:rsidR="00BC01D7">
        <w:rPr>
          <w:rFonts w:ascii="Arial" w:eastAsia="Times New Roman" w:hAnsi="Arial" w:cs="Arial"/>
          <w:bCs/>
          <w:lang w:eastAsia="en-GB"/>
        </w:rPr>
        <w:t xml:space="preserve"> staff.</w:t>
      </w:r>
    </w:p>
    <w:p w:rsidR="00BC01D7" w:rsidRDefault="00BC01D7" w:rsidP="00575DB3">
      <w:pPr>
        <w:spacing w:after="0"/>
        <w:rPr>
          <w:rFonts w:ascii="Arial" w:eastAsia="Times New Roman" w:hAnsi="Arial" w:cs="Arial"/>
          <w:bCs/>
          <w:lang w:eastAsia="en-GB"/>
        </w:rPr>
      </w:pPr>
    </w:p>
    <w:p w:rsidR="00BC01D7" w:rsidRPr="001F22C7" w:rsidRDefault="00BC01D7" w:rsidP="00BC01D7">
      <w:pPr>
        <w:spacing w:after="0"/>
        <w:rPr>
          <w:rFonts w:ascii="Arial" w:eastAsia="Times New Roman" w:hAnsi="Arial" w:cs="Arial"/>
          <w:bCs/>
          <w:lang w:eastAsia="en-GB"/>
        </w:rPr>
      </w:pPr>
      <w:r w:rsidRPr="001F22C7">
        <w:rPr>
          <w:rFonts w:ascii="Arial" w:eastAsia="Times New Roman" w:hAnsi="Arial" w:cs="Arial"/>
          <w:bCs/>
          <w:lang w:eastAsia="en-GB"/>
        </w:rPr>
        <w:t xml:space="preserve">Discharge </w:t>
      </w:r>
      <w:r w:rsidR="00FA2AFF">
        <w:rPr>
          <w:rFonts w:ascii="Arial" w:eastAsia="Times New Roman" w:hAnsi="Arial" w:cs="Arial"/>
          <w:bCs/>
          <w:lang w:eastAsia="en-GB"/>
        </w:rPr>
        <w:t xml:space="preserve">coordination </w:t>
      </w:r>
      <w:r w:rsidRPr="001F22C7">
        <w:rPr>
          <w:rFonts w:ascii="Arial" w:eastAsia="Times New Roman" w:hAnsi="Arial" w:cs="Arial"/>
          <w:bCs/>
          <w:lang w:eastAsia="en-GB"/>
        </w:rPr>
        <w:t>has been improved by the presence of an electronic patient record that can be accessed</w:t>
      </w:r>
      <w:r w:rsidR="00EE5A34">
        <w:rPr>
          <w:rFonts w:ascii="Arial" w:eastAsia="Times New Roman" w:hAnsi="Arial" w:cs="Arial"/>
          <w:bCs/>
          <w:lang w:eastAsia="en-GB"/>
        </w:rPr>
        <w:t xml:space="preserve"> from the community</w:t>
      </w:r>
      <w:r w:rsidRPr="001F22C7">
        <w:rPr>
          <w:rFonts w:ascii="Arial" w:eastAsia="Times New Roman" w:hAnsi="Arial" w:cs="Arial"/>
          <w:bCs/>
          <w:lang w:eastAsia="en-GB"/>
        </w:rPr>
        <w:t>, but this is only available from some hospital (SGH) but not other (CWM)</w:t>
      </w:r>
      <w:r w:rsidR="00F1325F">
        <w:rPr>
          <w:rFonts w:ascii="Arial" w:eastAsia="Times New Roman" w:hAnsi="Arial" w:cs="Arial"/>
          <w:bCs/>
          <w:lang w:eastAsia="en-GB"/>
        </w:rPr>
        <w:t>.</w:t>
      </w:r>
    </w:p>
    <w:p w:rsidR="00BC01D7" w:rsidRDefault="00BC01D7" w:rsidP="00575DB3">
      <w:pPr>
        <w:spacing w:after="0"/>
        <w:rPr>
          <w:rFonts w:ascii="Arial" w:eastAsia="Times New Roman" w:hAnsi="Arial" w:cs="Arial"/>
          <w:bCs/>
          <w:lang w:eastAsia="en-GB"/>
        </w:rPr>
      </w:pPr>
    </w:p>
    <w:p w:rsidR="00BC01D7" w:rsidRDefault="00BC01D7" w:rsidP="00BC01D7">
      <w:pPr>
        <w:pStyle w:val="Heading2"/>
      </w:pPr>
      <w:bookmarkStart w:id="50" w:name="_Toc256345761"/>
      <w:r>
        <w:t>Areas that could be improved</w:t>
      </w:r>
      <w:bookmarkEnd w:id="50"/>
    </w:p>
    <w:p w:rsidR="00BC01D7" w:rsidRDefault="00BC01D7" w:rsidP="00575DB3">
      <w:pPr>
        <w:spacing w:after="0"/>
        <w:rPr>
          <w:rFonts w:ascii="Arial" w:eastAsia="Times New Roman" w:hAnsi="Arial" w:cs="Arial"/>
          <w:bCs/>
          <w:lang w:eastAsia="en-GB"/>
        </w:rPr>
      </w:pPr>
    </w:p>
    <w:p w:rsidR="00BC01D7" w:rsidRDefault="00BC01D7" w:rsidP="00575DB3">
      <w:pPr>
        <w:spacing w:after="0"/>
        <w:rPr>
          <w:rFonts w:ascii="Arial" w:eastAsia="Times New Roman" w:hAnsi="Arial" w:cs="Arial"/>
          <w:bCs/>
          <w:lang w:eastAsia="en-GB"/>
        </w:rPr>
      </w:pPr>
      <w:r>
        <w:rPr>
          <w:rFonts w:ascii="Arial" w:eastAsia="Times New Roman" w:hAnsi="Arial" w:cs="Arial"/>
          <w:bCs/>
          <w:lang w:eastAsia="en-GB"/>
        </w:rPr>
        <w:t>More resources to provide an assisted discharge service from the hospital would help</w:t>
      </w:r>
      <w:r w:rsidR="0034181E">
        <w:rPr>
          <w:rFonts w:ascii="Arial" w:eastAsia="Times New Roman" w:hAnsi="Arial" w:cs="Arial"/>
          <w:bCs/>
          <w:lang w:eastAsia="en-GB"/>
        </w:rPr>
        <w:t xml:space="preserve"> to improve care.</w:t>
      </w:r>
    </w:p>
    <w:p w:rsidR="00BC01D7" w:rsidRDefault="00BC01D7" w:rsidP="00575DB3">
      <w:pPr>
        <w:spacing w:after="0"/>
        <w:rPr>
          <w:rFonts w:ascii="Arial" w:eastAsia="Times New Roman" w:hAnsi="Arial" w:cs="Arial"/>
          <w:bCs/>
          <w:lang w:eastAsia="en-GB"/>
        </w:rPr>
      </w:pPr>
    </w:p>
    <w:p w:rsidR="00BC01D7" w:rsidRPr="001F22C7" w:rsidRDefault="00BC01D7" w:rsidP="00BC01D7">
      <w:pPr>
        <w:spacing w:after="0"/>
        <w:rPr>
          <w:rFonts w:ascii="Arial" w:eastAsia="Times New Roman" w:hAnsi="Arial" w:cs="Arial"/>
          <w:bCs/>
          <w:lang w:eastAsia="en-GB"/>
        </w:rPr>
      </w:pPr>
      <w:r>
        <w:rPr>
          <w:rFonts w:ascii="Arial" w:eastAsia="Times New Roman" w:hAnsi="Arial" w:cs="Arial"/>
          <w:bCs/>
          <w:lang w:eastAsia="en-GB"/>
        </w:rPr>
        <w:t>Community staff w</w:t>
      </w:r>
      <w:r w:rsidRPr="001F22C7">
        <w:rPr>
          <w:rFonts w:ascii="Arial" w:eastAsia="Times New Roman" w:hAnsi="Arial" w:cs="Arial"/>
          <w:bCs/>
          <w:lang w:eastAsia="en-GB"/>
        </w:rPr>
        <w:t>ould like to time to be proactive and call the l</w:t>
      </w:r>
      <w:r>
        <w:rPr>
          <w:rFonts w:ascii="Arial" w:eastAsia="Times New Roman" w:hAnsi="Arial" w:cs="Arial"/>
          <w:bCs/>
          <w:lang w:eastAsia="en-GB"/>
        </w:rPr>
        <w:t xml:space="preserve">ess well patients, rather than reactively </w:t>
      </w:r>
      <w:r w:rsidRPr="001F22C7">
        <w:rPr>
          <w:rFonts w:ascii="Arial" w:eastAsia="Times New Roman" w:hAnsi="Arial" w:cs="Arial"/>
          <w:bCs/>
          <w:lang w:eastAsia="en-GB"/>
        </w:rPr>
        <w:t>waiting for patients to reach crisis point.</w:t>
      </w:r>
    </w:p>
    <w:p w:rsidR="00BC01D7" w:rsidRDefault="00BC01D7" w:rsidP="00575DB3">
      <w:pPr>
        <w:spacing w:after="0"/>
        <w:rPr>
          <w:rFonts w:ascii="Arial" w:eastAsia="Times New Roman" w:hAnsi="Arial" w:cs="Arial"/>
          <w:bCs/>
          <w:lang w:eastAsia="en-GB"/>
        </w:rPr>
      </w:pPr>
    </w:p>
    <w:p w:rsidR="00BC01D7" w:rsidRDefault="00BC01D7" w:rsidP="00575DB3">
      <w:pPr>
        <w:spacing w:after="0"/>
        <w:rPr>
          <w:rFonts w:ascii="Arial" w:eastAsia="Times New Roman" w:hAnsi="Arial" w:cs="Arial"/>
          <w:bCs/>
          <w:lang w:eastAsia="en-GB"/>
        </w:rPr>
      </w:pPr>
      <w:r>
        <w:rPr>
          <w:rFonts w:ascii="Arial" w:eastAsia="Times New Roman" w:hAnsi="Arial" w:cs="Arial"/>
          <w:bCs/>
          <w:lang w:eastAsia="en-GB"/>
        </w:rPr>
        <w:t xml:space="preserve">There are a small number of general practices that have been resistant or </w:t>
      </w:r>
      <w:r w:rsidR="0034181E">
        <w:rPr>
          <w:rFonts w:ascii="Arial" w:eastAsia="Times New Roman" w:hAnsi="Arial" w:cs="Arial"/>
          <w:bCs/>
          <w:lang w:eastAsia="en-GB"/>
        </w:rPr>
        <w:t>unresponsive</w:t>
      </w:r>
      <w:r>
        <w:rPr>
          <w:rFonts w:ascii="Arial" w:eastAsia="Times New Roman" w:hAnsi="Arial" w:cs="Arial"/>
          <w:bCs/>
          <w:lang w:eastAsia="en-GB"/>
        </w:rPr>
        <w:t xml:space="preserve"> to messages about COPD management.</w:t>
      </w:r>
    </w:p>
    <w:p w:rsidR="00BC01D7" w:rsidRDefault="00BC01D7" w:rsidP="00575DB3">
      <w:pPr>
        <w:spacing w:after="0"/>
        <w:rPr>
          <w:rFonts w:ascii="Arial" w:eastAsia="Times New Roman" w:hAnsi="Arial" w:cs="Arial"/>
          <w:bCs/>
          <w:lang w:eastAsia="en-GB"/>
        </w:rPr>
      </w:pPr>
    </w:p>
    <w:p w:rsidR="00BC01D7" w:rsidRPr="001F22C7" w:rsidRDefault="00BC01D7" w:rsidP="00BC01D7">
      <w:pPr>
        <w:spacing w:after="0"/>
        <w:rPr>
          <w:rFonts w:ascii="Arial" w:eastAsia="Times New Roman" w:hAnsi="Arial" w:cs="Arial"/>
          <w:bCs/>
          <w:lang w:eastAsia="en-GB"/>
        </w:rPr>
      </w:pPr>
      <w:r>
        <w:rPr>
          <w:rFonts w:ascii="Arial" w:eastAsia="Times New Roman" w:hAnsi="Arial" w:cs="Arial"/>
          <w:bCs/>
          <w:lang w:eastAsia="en-GB"/>
        </w:rPr>
        <w:t>The current staff balance sometime</w:t>
      </w:r>
      <w:r w:rsidR="0034181E">
        <w:rPr>
          <w:rFonts w:ascii="Arial" w:eastAsia="Times New Roman" w:hAnsi="Arial" w:cs="Arial"/>
          <w:bCs/>
          <w:lang w:eastAsia="en-GB"/>
        </w:rPr>
        <w:t xml:space="preserve">s means highly skilled </w:t>
      </w:r>
      <w:proofErr w:type="gramStart"/>
      <w:r w:rsidR="00F1325F">
        <w:rPr>
          <w:rFonts w:ascii="Arial" w:eastAsia="Times New Roman" w:hAnsi="Arial" w:cs="Arial"/>
          <w:bCs/>
          <w:lang w:eastAsia="en-GB"/>
        </w:rPr>
        <w:t>staff</w:t>
      </w:r>
      <w:r w:rsidR="0034181E">
        <w:rPr>
          <w:rFonts w:ascii="Arial" w:eastAsia="Times New Roman" w:hAnsi="Arial" w:cs="Arial"/>
          <w:bCs/>
          <w:lang w:eastAsia="en-GB"/>
        </w:rPr>
        <w:t xml:space="preserve"> are</w:t>
      </w:r>
      <w:proofErr w:type="gramEnd"/>
      <w:r w:rsidR="0034181E">
        <w:rPr>
          <w:rFonts w:ascii="Arial" w:eastAsia="Times New Roman" w:hAnsi="Arial" w:cs="Arial"/>
          <w:bCs/>
          <w:lang w:eastAsia="en-GB"/>
        </w:rPr>
        <w:t xml:space="preserve"> using their time </w:t>
      </w:r>
      <w:r w:rsidR="00F1325F">
        <w:rPr>
          <w:rFonts w:ascii="Arial" w:eastAsia="Times New Roman" w:hAnsi="Arial" w:cs="Arial"/>
          <w:bCs/>
          <w:lang w:eastAsia="en-GB"/>
        </w:rPr>
        <w:t>inefficiently</w:t>
      </w:r>
      <w:r w:rsidR="0034181E">
        <w:rPr>
          <w:rFonts w:ascii="Arial" w:eastAsia="Times New Roman" w:hAnsi="Arial" w:cs="Arial"/>
          <w:bCs/>
          <w:lang w:eastAsia="en-GB"/>
        </w:rPr>
        <w:t xml:space="preserve"> on less skilled tasks. </w:t>
      </w:r>
      <w:r>
        <w:rPr>
          <w:rFonts w:ascii="Arial" w:eastAsia="Times New Roman" w:hAnsi="Arial" w:cs="Arial"/>
          <w:bCs/>
          <w:lang w:eastAsia="en-GB"/>
        </w:rPr>
        <w:t xml:space="preserve"> </w:t>
      </w:r>
      <w:r w:rsidR="0034181E">
        <w:rPr>
          <w:rFonts w:ascii="Arial" w:eastAsia="Times New Roman" w:hAnsi="Arial" w:cs="Arial"/>
          <w:bCs/>
          <w:lang w:eastAsia="en-GB"/>
        </w:rPr>
        <w:t>Activities</w:t>
      </w:r>
      <w:r w:rsidRPr="001F22C7">
        <w:rPr>
          <w:rFonts w:ascii="Arial" w:eastAsia="Times New Roman" w:hAnsi="Arial" w:cs="Arial"/>
          <w:bCs/>
          <w:lang w:eastAsia="en-GB"/>
        </w:rPr>
        <w:t xml:space="preserve"> highlighted as inefficient</w:t>
      </w:r>
      <w:r w:rsidR="0034181E">
        <w:rPr>
          <w:rFonts w:ascii="Arial" w:eastAsia="Times New Roman" w:hAnsi="Arial" w:cs="Arial"/>
          <w:bCs/>
          <w:lang w:eastAsia="en-GB"/>
        </w:rPr>
        <w:t xml:space="preserve"> </w:t>
      </w:r>
      <w:r w:rsidRPr="001F22C7">
        <w:rPr>
          <w:rFonts w:ascii="Arial" w:eastAsia="Times New Roman" w:hAnsi="Arial" w:cs="Arial"/>
          <w:bCs/>
          <w:lang w:eastAsia="en-GB"/>
        </w:rPr>
        <w:t>included checking inhaler techniqu</w:t>
      </w:r>
      <w:r w:rsidR="0034181E">
        <w:rPr>
          <w:rFonts w:ascii="Arial" w:eastAsia="Times New Roman" w:hAnsi="Arial" w:cs="Arial"/>
          <w:bCs/>
          <w:lang w:eastAsia="en-GB"/>
        </w:rPr>
        <w:t>e, setting up telehealth system and</w:t>
      </w:r>
      <w:r w:rsidRPr="001F22C7">
        <w:rPr>
          <w:rFonts w:ascii="Arial" w:eastAsia="Times New Roman" w:hAnsi="Arial" w:cs="Arial"/>
          <w:bCs/>
          <w:lang w:eastAsia="en-GB"/>
        </w:rPr>
        <w:t xml:space="preserve"> checking vital signs.</w:t>
      </w:r>
      <w:r w:rsidR="0034181E">
        <w:rPr>
          <w:rFonts w:ascii="Arial" w:eastAsia="Times New Roman" w:hAnsi="Arial" w:cs="Arial"/>
          <w:bCs/>
          <w:lang w:eastAsia="en-GB"/>
        </w:rPr>
        <w:t xml:space="preserve"> </w:t>
      </w:r>
      <w:r w:rsidRPr="001F22C7">
        <w:rPr>
          <w:rFonts w:ascii="Arial" w:eastAsia="Times New Roman" w:hAnsi="Arial" w:cs="Arial"/>
          <w:bCs/>
          <w:lang w:eastAsia="en-GB"/>
        </w:rPr>
        <w:t xml:space="preserve">The specialist nursing tem might benefit from a HCA/technician, so time could be focused on more specialist skills. </w:t>
      </w:r>
    </w:p>
    <w:p w:rsidR="00BC01D7" w:rsidRDefault="00BC01D7" w:rsidP="00575DB3">
      <w:pPr>
        <w:spacing w:after="0"/>
        <w:rPr>
          <w:rFonts w:ascii="Arial" w:eastAsia="Times New Roman" w:hAnsi="Arial" w:cs="Arial"/>
          <w:bCs/>
          <w:lang w:eastAsia="en-GB"/>
        </w:rPr>
      </w:pPr>
    </w:p>
    <w:p w:rsidR="00BC01D7" w:rsidRDefault="00BC01D7" w:rsidP="00575DB3">
      <w:pPr>
        <w:spacing w:after="0"/>
        <w:rPr>
          <w:rFonts w:ascii="Arial" w:eastAsia="Times New Roman" w:hAnsi="Arial" w:cs="Arial"/>
          <w:bCs/>
          <w:lang w:eastAsia="en-GB"/>
        </w:rPr>
      </w:pPr>
      <w:r>
        <w:rPr>
          <w:rFonts w:ascii="Arial" w:eastAsia="Times New Roman" w:hAnsi="Arial" w:cs="Arial"/>
          <w:bCs/>
          <w:lang w:eastAsia="en-GB"/>
        </w:rPr>
        <w:t>Wai</w:t>
      </w:r>
      <w:r w:rsidR="0034181E">
        <w:rPr>
          <w:rFonts w:ascii="Arial" w:eastAsia="Times New Roman" w:hAnsi="Arial" w:cs="Arial"/>
          <w:bCs/>
          <w:lang w:eastAsia="en-GB"/>
        </w:rPr>
        <w:t>t</w:t>
      </w:r>
      <w:r w:rsidR="008C2F89">
        <w:rPr>
          <w:rFonts w:ascii="Arial" w:eastAsia="Times New Roman" w:hAnsi="Arial" w:cs="Arial"/>
          <w:bCs/>
          <w:lang w:eastAsia="en-GB"/>
        </w:rPr>
        <w:t>ing times</w:t>
      </w:r>
      <w:r>
        <w:rPr>
          <w:rFonts w:ascii="Arial" w:eastAsia="Times New Roman" w:hAnsi="Arial" w:cs="Arial"/>
          <w:bCs/>
          <w:lang w:eastAsia="en-GB"/>
        </w:rPr>
        <w:t xml:space="preserve"> for Pulmonary Rehabilitation services are too long at present (sometimes 6-12 weeks)</w:t>
      </w:r>
      <w:r w:rsidR="00FA2AFF">
        <w:rPr>
          <w:rFonts w:ascii="Arial" w:eastAsia="Times New Roman" w:hAnsi="Arial" w:cs="Arial"/>
          <w:bCs/>
          <w:lang w:eastAsia="en-GB"/>
        </w:rPr>
        <w:t>.</w:t>
      </w:r>
    </w:p>
    <w:p w:rsidR="00BC01D7" w:rsidRDefault="00BC01D7" w:rsidP="00575DB3">
      <w:pPr>
        <w:spacing w:after="0"/>
        <w:rPr>
          <w:rFonts w:ascii="Arial" w:eastAsia="Times New Roman" w:hAnsi="Arial" w:cs="Arial"/>
          <w:bCs/>
          <w:lang w:eastAsia="en-GB"/>
        </w:rPr>
      </w:pPr>
    </w:p>
    <w:p w:rsidR="00BC01D7" w:rsidRDefault="0034181E" w:rsidP="00BC01D7">
      <w:pPr>
        <w:spacing w:after="0"/>
        <w:rPr>
          <w:rFonts w:ascii="Arial" w:eastAsia="Times New Roman" w:hAnsi="Arial" w:cs="Arial"/>
          <w:bCs/>
          <w:lang w:eastAsia="en-GB"/>
        </w:rPr>
      </w:pPr>
      <w:r>
        <w:rPr>
          <w:rFonts w:ascii="Arial" w:eastAsia="Times New Roman" w:hAnsi="Arial" w:cs="Arial"/>
          <w:bCs/>
          <w:lang w:eastAsia="en-GB"/>
        </w:rPr>
        <w:t>Staff w</w:t>
      </w:r>
      <w:r w:rsidR="00BC01D7" w:rsidRPr="001F22C7">
        <w:rPr>
          <w:rFonts w:ascii="Arial" w:eastAsia="Times New Roman" w:hAnsi="Arial" w:cs="Arial"/>
          <w:bCs/>
          <w:lang w:eastAsia="en-GB"/>
        </w:rPr>
        <w:t>ould like more time t</w:t>
      </w:r>
      <w:r w:rsidR="00BC01D7">
        <w:rPr>
          <w:rFonts w:ascii="Arial" w:eastAsia="Times New Roman" w:hAnsi="Arial" w:cs="Arial"/>
          <w:bCs/>
          <w:lang w:eastAsia="en-GB"/>
        </w:rPr>
        <w:t>o</w:t>
      </w:r>
      <w:r w:rsidR="00BC01D7" w:rsidRPr="001F22C7">
        <w:rPr>
          <w:rFonts w:ascii="Arial" w:eastAsia="Times New Roman" w:hAnsi="Arial" w:cs="Arial"/>
          <w:bCs/>
          <w:lang w:eastAsia="en-GB"/>
        </w:rPr>
        <w:t xml:space="preserve"> ev</w:t>
      </w:r>
      <w:r w:rsidR="00BC01D7">
        <w:rPr>
          <w:rFonts w:ascii="Arial" w:eastAsia="Times New Roman" w:hAnsi="Arial" w:cs="Arial"/>
          <w:bCs/>
          <w:lang w:eastAsia="en-GB"/>
        </w:rPr>
        <w:t>alua</w:t>
      </w:r>
      <w:r>
        <w:rPr>
          <w:rFonts w:ascii="Arial" w:eastAsia="Times New Roman" w:hAnsi="Arial" w:cs="Arial"/>
          <w:bCs/>
          <w:lang w:eastAsia="en-GB"/>
        </w:rPr>
        <w:t>te current work, including the effectiveness of</w:t>
      </w:r>
      <w:r w:rsidR="00BC01D7">
        <w:rPr>
          <w:rFonts w:ascii="Arial" w:eastAsia="Times New Roman" w:hAnsi="Arial" w:cs="Arial"/>
          <w:bCs/>
          <w:lang w:eastAsia="en-GB"/>
        </w:rPr>
        <w:t xml:space="preserve"> specialist clinics, but do not have time at present due to workload</w:t>
      </w:r>
      <w:r w:rsidR="00FA2AFF">
        <w:rPr>
          <w:rFonts w:ascii="Arial" w:eastAsia="Times New Roman" w:hAnsi="Arial" w:cs="Arial"/>
          <w:bCs/>
          <w:lang w:eastAsia="en-GB"/>
        </w:rPr>
        <w:t>.</w:t>
      </w:r>
    </w:p>
    <w:p w:rsidR="00BC01D7" w:rsidRDefault="00BC01D7" w:rsidP="00575DB3">
      <w:pPr>
        <w:spacing w:after="0"/>
        <w:rPr>
          <w:rFonts w:ascii="Arial" w:eastAsia="Times New Roman" w:hAnsi="Arial" w:cs="Arial"/>
          <w:bCs/>
          <w:lang w:eastAsia="en-GB"/>
        </w:rPr>
      </w:pPr>
    </w:p>
    <w:p w:rsidR="00BC01D7" w:rsidRDefault="00BC01D7" w:rsidP="00575DB3">
      <w:pPr>
        <w:spacing w:after="0"/>
        <w:rPr>
          <w:rFonts w:ascii="Arial" w:eastAsia="Times New Roman" w:hAnsi="Arial" w:cs="Arial"/>
          <w:bCs/>
          <w:lang w:eastAsia="en-GB"/>
        </w:rPr>
      </w:pPr>
    </w:p>
    <w:p w:rsidR="00C730CE" w:rsidRDefault="00C730CE" w:rsidP="0069688B">
      <w:pPr>
        <w:pStyle w:val="Heading1"/>
      </w:pPr>
      <w:r>
        <w:t xml:space="preserve">Local Stakeholders </w:t>
      </w:r>
    </w:p>
    <w:p w:rsidR="0069688B" w:rsidRPr="0069688B" w:rsidRDefault="0069688B">
      <w:pPr>
        <w:rPr>
          <w:rFonts w:ascii="Arial" w:hAnsi="Arial" w:cs="Arial"/>
        </w:rPr>
      </w:pPr>
      <w:r w:rsidRPr="0069688B">
        <w:rPr>
          <w:rFonts w:ascii="Arial" w:hAnsi="Arial" w:cs="Arial"/>
        </w:rPr>
        <w:t xml:space="preserve">Local stakeholders in the process of TB diagnosis, treatment and management </w:t>
      </w:r>
      <w:r w:rsidR="00D34C34" w:rsidRPr="0069688B">
        <w:rPr>
          <w:rFonts w:ascii="Arial" w:hAnsi="Arial" w:cs="Arial"/>
        </w:rPr>
        <w:t>include</w:t>
      </w:r>
      <w:r w:rsidRPr="0069688B">
        <w:rPr>
          <w:rFonts w:ascii="Arial" w:hAnsi="Arial" w:cs="Arial"/>
        </w:rPr>
        <w:t>:</w:t>
      </w:r>
    </w:p>
    <w:p w:rsidR="00C730CE" w:rsidRPr="0069688B" w:rsidRDefault="00C730CE" w:rsidP="0069688B">
      <w:pPr>
        <w:pStyle w:val="ListParagraph"/>
        <w:numPr>
          <w:ilvl w:val="0"/>
          <w:numId w:val="34"/>
        </w:numPr>
        <w:rPr>
          <w:rFonts w:ascii="Arial" w:hAnsi="Arial" w:cs="Arial"/>
        </w:rPr>
      </w:pPr>
      <w:r w:rsidRPr="0069688B">
        <w:rPr>
          <w:rFonts w:ascii="Arial" w:hAnsi="Arial" w:cs="Arial"/>
        </w:rPr>
        <w:t xml:space="preserve">Patients </w:t>
      </w:r>
    </w:p>
    <w:p w:rsidR="00C730CE" w:rsidRPr="0069688B" w:rsidRDefault="00C730CE" w:rsidP="0069688B">
      <w:pPr>
        <w:pStyle w:val="ListParagraph"/>
        <w:numPr>
          <w:ilvl w:val="0"/>
          <w:numId w:val="34"/>
        </w:numPr>
        <w:rPr>
          <w:rFonts w:ascii="Arial" w:hAnsi="Arial" w:cs="Arial"/>
        </w:rPr>
      </w:pPr>
      <w:r w:rsidRPr="0069688B">
        <w:rPr>
          <w:rFonts w:ascii="Arial" w:hAnsi="Arial" w:cs="Arial"/>
        </w:rPr>
        <w:t xml:space="preserve">The </w:t>
      </w:r>
      <w:r w:rsidR="0069688B" w:rsidRPr="0069688B">
        <w:rPr>
          <w:rFonts w:ascii="Arial" w:hAnsi="Arial" w:cs="Arial"/>
        </w:rPr>
        <w:t>c</w:t>
      </w:r>
      <w:r w:rsidRPr="0069688B">
        <w:rPr>
          <w:rFonts w:ascii="Arial" w:hAnsi="Arial" w:cs="Arial"/>
        </w:rPr>
        <w:t xml:space="preserve">ommunity </w:t>
      </w:r>
      <w:r w:rsidR="0069688B" w:rsidRPr="0069688B">
        <w:rPr>
          <w:rFonts w:ascii="Arial" w:hAnsi="Arial" w:cs="Arial"/>
        </w:rPr>
        <w:t>r</w:t>
      </w:r>
      <w:r w:rsidRPr="0069688B">
        <w:rPr>
          <w:rFonts w:ascii="Arial" w:hAnsi="Arial" w:cs="Arial"/>
        </w:rPr>
        <w:t xml:space="preserve">espiratory </w:t>
      </w:r>
      <w:r w:rsidR="0069688B" w:rsidRPr="0069688B">
        <w:rPr>
          <w:rFonts w:ascii="Arial" w:hAnsi="Arial" w:cs="Arial"/>
        </w:rPr>
        <w:t>n</w:t>
      </w:r>
      <w:r w:rsidRPr="0069688B">
        <w:rPr>
          <w:rFonts w:ascii="Arial" w:hAnsi="Arial" w:cs="Arial"/>
        </w:rPr>
        <w:t xml:space="preserve">urse </w:t>
      </w:r>
      <w:r w:rsidR="0069688B" w:rsidRPr="0069688B">
        <w:rPr>
          <w:rFonts w:ascii="Arial" w:hAnsi="Arial" w:cs="Arial"/>
        </w:rPr>
        <w:t>t</w:t>
      </w:r>
      <w:r w:rsidRPr="0069688B">
        <w:rPr>
          <w:rFonts w:ascii="Arial" w:hAnsi="Arial" w:cs="Arial"/>
        </w:rPr>
        <w:t>eam</w:t>
      </w:r>
    </w:p>
    <w:p w:rsidR="00C730CE" w:rsidRPr="0069688B" w:rsidRDefault="00C730CE" w:rsidP="0069688B">
      <w:pPr>
        <w:pStyle w:val="ListParagraph"/>
        <w:numPr>
          <w:ilvl w:val="0"/>
          <w:numId w:val="34"/>
        </w:numPr>
        <w:rPr>
          <w:rFonts w:ascii="Arial" w:hAnsi="Arial" w:cs="Arial"/>
        </w:rPr>
      </w:pPr>
      <w:r w:rsidRPr="0069688B">
        <w:rPr>
          <w:rFonts w:ascii="Arial" w:hAnsi="Arial" w:cs="Arial"/>
        </w:rPr>
        <w:t>General practitioners and practice nurses</w:t>
      </w:r>
    </w:p>
    <w:p w:rsidR="00C730CE" w:rsidRDefault="00C730CE" w:rsidP="0069688B">
      <w:pPr>
        <w:pStyle w:val="ListParagraph"/>
        <w:numPr>
          <w:ilvl w:val="0"/>
          <w:numId w:val="34"/>
        </w:numPr>
        <w:rPr>
          <w:rFonts w:ascii="Arial" w:hAnsi="Arial" w:cs="Arial"/>
        </w:rPr>
      </w:pPr>
      <w:r w:rsidRPr="0069688B">
        <w:rPr>
          <w:rFonts w:ascii="Arial" w:hAnsi="Arial" w:cs="Arial"/>
        </w:rPr>
        <w:t xml:space="preserve">Respiratory </w:t>
      </w:r>
      <w:r w:rsidR="0069688B">
        <w:rPr>
          <w:rFonts w:ascii="Arial" w:hAnsi="Arial" w:cs="Arial"/>
        </w:rPr>
        <w:t>s</w:t>
      </w:r>
      <w:r w:rsidRPr="0069688B">
        <w:rPr>
          <w:rFonts w:ascii="Arial" w:hAnsi="Arial" w:cs="Arial"/>
        </w:rPr>
        <w:t>ervices</w:t>
      </w:r>
      <w:r w:rsidR="0069688B">
        <w:rPr>
          <w:rFonts w:ascii="Arial" w:hAnsi="Arial" w:cs="Arial"/>
        </w:rPr>
        <w:t xml:space="preserve"> at local hospitals</w:t>
      </w:r>
      <w:r w:rsidRPr="0069688B">
        <w:rPr>
          <w:rFonts w:ascii="Arial" w:hAnsi="Arial" w:cs="Arial"/>
        </w:rPr>
        <w:t xml:space="preserve"> (significantly at St George’s Hospital, but also at Chelsea and Westminster, Kingston Hospital, the Royal Brompton, amongst others)</w:t>
      </w:r>
    </w:p>
    <w:p w:rsidR="0069688B" w:rsidRPr="0069688B" w:rsidRDefault="00C730CE" w:rsidP="0069688B">
      <w:pPr>
        <w:pStyle w:val="ListParagraph"/>
        <w:numPr>
          <w:ilvl w:val="0"/>
          <w:numId w:val="34"/>
        </w:numPr>
        <w:rPr>
          <w:rFonts w:ascii="Arial" w:hAnsi="Arial" w:cs="Arial"/>
        </w:rPr>
      </w:pPr>
      <w:r w:rsidRPr="0069688B">
        <w:rPr>
          <w:rFonts w:ascii="Arial" w:hAnsi="Arial" w:cs="Arial"/>
        </w:rPr>
        <w:t>Out of hours GPs</w:t>
      </w:r>
    </w:p>
    <w:p w:rsidR="0069688B" w:rsidRPr="0069688B" w:rsidRDefault="0069688B" w:rsidP="0069688B">
      <w:pPr>
        <w:pStyle w:val="ListParagraph"/>
        <w:numPr>
          <w:ilvl w:val="0"/>
          <w:numId w:val="34"/>
        </w:numPr>
        <w:rPr>
          <w:rFonts w:ascii="Arial" w:hAnsi="Arial" w:cs="Arial"/>
        </w:rPr>
      </w:pPr>
      <w:r>
        <w:rPr>
          <w:rFonts w:ascii="Arial" w:hAnsi="Arial" w:cs="Arial"/>
        </w:rPr>
        <w:t>NHS Wandsworth</w:t>
      </w:r>
      <w:r w:rsidR="00D34C34">
        <w:rPr>
          <w:rFonts w:ascii="Arial" w:hAnsi="Arial" w:cs="Arial"/>
        </w:rPr>
        <w:t>, including the Wandsworth</w:t>
      </w:r>
      <w:r w:rsidRPr="0069688B">
        <w:rPr>
          <w:rFonts w:ascii="Arial" w:hAnsi="Arial" w:cs="Arial"/>
        </w:rPr>
        <w:t xml:space="preserve"> </w:t>
      </w:r>
      <w:r w:rsidR="00D34C34">
        <w:rPr>
          <w:rFonts w:ascii="Arial" w:hAnsi="Arial" w:cs="Arial"/>
        </w:rPr>
        <w:t>“</w:t>
      </w:r>
      <w:r w:rsidRPr="0069688B">
        <w:rPr>
          <w:rFonts w:ascii="Arial" w:hAnsi="Arial" w:cs="Arial"/>
        </w:rPr>
        <w:t>virtual ward</w:t>
      </w:r>
      <w:r w:rsidR="00D34C34">
        <w:rPr>
          <w:rFonts w:ascii="Arial" w:hAnsi="Arial" w:cs="Arial"/>
        </w:rPr>
        <w:t>”</w:t>
      </w:r>
    </w:p>
    <w:p w:rsidR="00D34C34" w:rsidRPr="00D34C34" w:rsidRDefault="0069688B" w:rsidP="0069688B">
      <w:pPr>
        <w:pStyle w:val="ListParagraph"/>
        <w:numPr>
          <w:ilvl w:val="0"/>
          <w:numId w:val="34"/>
        </w:numPr>
        <w:rPr>
          <w:rFonts w:ascii="Arial" w:eastAsia="Times New Roman" w:hAnsi="Arial" w:cs="Times New Roman"/>
          <w:b/>
          <w:bCs/>
          <w:color w:val="1F497D" w:themeColor="text2"/>
          <w:kern w:val="36"/>
          <w:sz w:val="28"/>
          <w:szCs w:val="29"/>
          <w:lang w:eastAsia="en-GB"/>
        </w:rPr>
      </w:pPr>
      <w:r w:rsidRPr="0069688B">
        <w:rPr>
          <w:rFonts w:ascii="Arial" w:hAnsi="Arial" w:cs="Arial"/>
        </w:rPr>
        <w:t xml:space="preserve">Wandsworth </w:t>
      </w:r>
      <w:r>
        <w:rPr>
          <w:rFonts w:ascii="Arial" w:hAnsi="Arial" w:cs="Arial"/>
        </w:rPr>
        <w:t>B</w:t>
      </w:r>
      <w:r w:rsidRPr="0069688B">
        <w:rPr>
          <w:rFonts w:ascii="Arial" w:hAnsi="Arial" w:cs="Arial"/>
        </w:rPr>
        <w:t xml:space="preserve">orough </w:t>
      </w:r>
      <w:r>
        <w:rPr>
          <w:rFonts w:ascii="Arial" w:hAnsi="Arial" w:cs="Arial"/>
        </w:rPr>
        <w:t>C</w:t>
      </w:r>
      <w:r w:rsidRPr="0069688B">
        <w:rPr>
          <w:rFonts w:ascii="Arial" w:hAnsi="Arial" w:cs="Arial"/>
        </w:rPr>
        <w:t>ouncil (and social services in particular)</w:t>
      </w:r>
    </w:p>
    <w:p w:rsidR="00D34C34" w:rsidRPr="00D34C34" w:rsidRDefault="00D34C34" w:rsidP="0069688B">
      <w:pPr>
        <w:pStyle w:val="ListParagraph"/>
        <w:numPr>
          <w:ilvl w:val="0"/>
          <w:numId w:val="34"/>
        </w:numPr>
        <w:rPr>
          <w:rFonts w:ascii="Arial" w:eastAsia="Times New Roman" w:hAnsi="Arial" w:cs="Times New Roman"/>
          <w:b/>
          <w:bCs/>
          <w:color w:val="1F497D" w:themeColor="text2"/>
          <w:kern w:val="36"/>
          <w:sz w:val="28"/>
          <w:szCs w:val="29"/>
          <w:lang w:eastAsia="en-GB"/>
        </w:rPr>
      </w:pPr>
      <w:r>
        <w:rPr>
          <w:rFonts w:ascii="Arial" w:hAnsi="Arial" w:cs="Arial"/>
        </w:rPr>
        <w:t>Pulmonary rehabilitation services</w:t>
      </w:r>
    </w:p>
    <w:p w:rsidR="0034181E" w:rsidRPr="0069688B" w:rsidRDefault="00D34C34" w:rsidP="0069688B">
      <w:pPr>
        <w:pStyle w:val="ListParagraph"/>
        <w:numPr>
          <w:ilvl w:val="0"/>
          <w:numId w:val="34"/>
        </w:numPr>
        <w:rPr>
          <w:rFonts w:ascii="Arial" w:eastAsia="Times New Roman" w:hAnsi="Arial" w:cs="Times New Roman"/>
          <w:b/>
          <w:bCs/>
          <w:color w:val="1F497D" w:themeColor="text2"/>
          <w:kern w:val="36"/>
          <w:sz w:val="28"/>
          <w:szCs w:val="29"/>
          <w:lang w:eastAsia="en-GB"/>
        </w:rPr>
      </w:pPr>
      <w:r>
        <w:rPr>
          <w:rFonts w:ascii="Arial" w:hAnsi="Arial" w:cs="Arial"/>
        </w:rPr>
        <w:t>Stop smoking services</w:t>
      </w:r>
      <w:r w:rsidR="0034181E">
        <w:br w:type="page"/>
      </w:r>
    </w:p>
    <w:p w:rsidR="00575DB3" w:rsidRDefault="00575DB3" w:rsidP="00575DB3">
      <w:pPr>
        <w:pStyle w:val="Heading1"/>
        <w:spacing w:before="0" w:beforeAutospacing="0" w:after="0" w:afterAutospacing="0" w:line="276" w:lineRule="auto"/>
      </w:pPr>
      <w:bookmarkStart w:id="51" w:name="_Toc256345762"/>
      <w:r>
        <w:lastRenderedPageBreak/>
        <w:t>Policy context</w:t>
      </w:r>
      <w:bookmarkEnd w:id="51"/>
    </w:p>
    <w:p w:rsidR="00575DB3" w:rsidRPr="00A86233" w:rsidRDefault="00575DB3" w:rsidP="00575DB3">
      <w:pPr>
        <w:spacing w:after="0"/>
        <w:rPr>
          <w:rFonts w:ascii="Arial" w:hAnsi="Arial" w:cs="Arial"/>
        </w:rPr>
      </w:pPr>
      <w:r w:rsidRPr="00A86233">
        <w:rPr>
          <w:rFonts w:ascii="Arial" w:hAnsi="Arial" w:cs="Arial"/>
        </w:rPr>
        <w:t>In considering the local health needs in relation to COPD in Wandsworth, it is also important to consider the various frameworks, initiatives and agendas that are also either currently in</w:t>
      </w:r>
      <w:r w:rsidR="00614BF6" w:rsidRPr="00A86233">
        <w:rPr>
          <w:rFonts w:ascii="Arial" w:hAnsi="Arial" w:cs="Arial"/>
        </w:rPr>
        <w:t xml:space="preserve"> </w:t>
      </w:r>
      <w:r w:rsidRPr="00A86233">
        <w:rPr>
          <w:rFonts w:ascii="Arial" w:hAnsi="Arial" w:cs="Arial"/>
        </w:rPr>
        <w:t>place or likely to become significant in the future.</w:t>
      </w:r>
    </w:p>
    <w:p w:rsidR="00575DB3" w:rsidRDefault="00575DB3" w:rsidP="00770E50">
      <w:pPr>
        <w:pStyle w:val="Heading2"/>
      </w:pPr>
      <w:bookmarkStart w:id="52" w:name="_Toc256345763"/>
      <w:r>
        <w:t>High Quality Care for All</w:t>
      </w:r>
      <w:bookmarkEnd w:id="52"/>
    </w:p>
    <w:p w:rsidR="00614BF6" w:rsidRPr="00A86233" w:rsidRDefault="00575DB3" w:rsidP="00614BF6">
      <w:pPr>
        <w:rPr>
          <w:rFonts w:ascii="Arial" w:hAnsi="Arial" w:cs="Arial"/>
        </w:rPr>
      </w:pPr>
      <w:r w:rsidRPr="00A86233">
        <w:rPr>
          <w:rFonts w:ascii="Arial" w:hAnsi="Arial" w:cs="Arial"/>
        </w:rPr>
        <w:t xml:space="preserve">Lord </w:t>
      </w:r>
      <w:proofErr w:type="spellStart"/>
      <w:r w:rsidRPr="00A86233">
        <w:rPr>
          <w:rFonts w:ascii="Arial" w:hAnsi="Arial" w:cs="Arial"/>
        </w:rPr>
        <w:t>Darzi’s</w:t>
      </w:r>
      <w:proofErr w:type="spellEnd"/>
      <w:r w:rsidRPr="00A86233">
        <w:rPr>
          <w:rFonts w:ascii="Arial" w:hAnsi="Arial" w:cs="Arial"/>
        </w:rPr>
        <w:t xml:space="preserve"> report “High Quality Care for All” renewed a focus on quality of care in the NHS. </w:t>
      </w:r>
      <w:r w:rsidR="00614BF6" w:rsidRPr="00A86233">
        <w:rPr>
          <w:rFonts w:ascii="Arial" w:hAnsi="Arial" w:cs="Arial"/>
        </w:rPr>
        <w:t>It called for improved quality of treatment for long term conditions, with an increased emphasis on personalized care.</w:t>
      </w:r>
      <w:r w:rsidR="00386DED" w:rsidRPr="00A86233">
        <w:rPr>
          <w:rFonts w:ascii="Arial" w:hAnsi="Arial" w:cs="Arial"/>
        </w:rPr>
        <w:t xml:space="preserve"> In also called for innovation of services, and moving services that have previously been provided in hospital to be moved into community settings. Although initial emphasis on moving care in the community has focussed on other long term conditions, including diabetes and cardiovascular care, it is likely that there will be a significant requirement to move a proportion of specialist provision of COPD care into community settings. No target has yet been set for COPD care provisio</w:t>
      </w:r>
      <w:r w:rsidR="003405AE" w:rsidRPr="00A86233">
        <w:rPr>
          <w:rFonts w:ascii="Arial" w:hAnsi="Arial" w:cs="Arial"/>
        </w:rPr>
        <w:t>n moving closer to home by WPCT.</w:t>
      </w:r>
    </w:p>
    <w:p w:rsidR="00575DB3" w:rsidRDefault="00575DB3" w:rsidP="00770E50">
      <w:pPr>
        <w:pStyle w:val="Heading2"/>
      </w:pPr>
      <w:bookmarkStart w:id="53" w:name="_Toc256345764"/>
      <w:r w:rsidRPr="00F63160">
        <w:t>Polysystems</w:t>
      </w:r>
      <w:bookmarkEnd w:id="53"/>
    </w:p>
    <w:p w:rsidR="00575DB3" w:rsidRPr="00A86233" w:rsidRDefault="00575DB3" w:rsidP="00575DB3">
      <w:pPr>
        <w:spacing w:after="0"/>
        <w:rPr>
          <w:rFonts w:ascii="Arial" w:hAnsi="Arial" w:cs="Arial"/>
        </w:rPr>
      </w:pPr>
      <w:r w:rsidRPr="00A86233">
        <w:rPr>
          <w:rFonts w:ascii="Arial" w:hAnsi="Arial" w:cs="Arial"/>
        </w:rPr>
        <w:t>As a part of the healthcare for London consultation, there has been a move towards clustering primary care services in functional units larger than traditional GP practices, offering a more diverse range of services including diagnostics, and some services previously provided in hospital settings, such as speciality out-patient appointments.</w:t>
      </w:r>
    </w:p>
    <w:p w:rsidR="00575DB3" w:rsidRDefault="00575DB3" w:rsidP="00575DB3">
      <w:pPr>
        <w:spacing w:after="0"/>
      </w:pPr>
    </w:p>
    <w:p w:rsidR="00575DB3" w:rsidRPr="00A86233" w:rsidRDefault="00614BF6" w:rsidP="00575DB3">
      <w:pPr>
        <w:spacing w:after="0"/>
        <w:rPr>
          <w:rFonts w:ascii="Arial" w:hAnsi="Arial" w:cs="Arial"/>
        </w:rPr>
      </w:pPr>
      <w:r w:rsidRPr="00A86233">
        <w:rPr>
          <w:rFonts w:ascii="Arial" w:hAnsi="Arial" w:cs="Arial"/>
        </w:rPr>
        <w:t>Th</w:t>
      </w:r>
      <w:r w:rsidR="00575DB3" w:rsidRPr="00A86233">
        <w:rPr>
          <w:rFonts w:ascii="Arial" w:hAnsi="Arial" w:cs="Arial"/>
        </w:rPr>
        <w:t>is has taken the form initially of polyclinics, which have now tra</w:t>
      </w:r>
      <w:r w:rsidRPr="00A86233">
        <w:rPr>
          <w:rFonts w:ascii="Arial" w:hAnsi="Arial" w:cs="Arial"/>
        </w:rPr>
        <w:t>nsformed to polysystem</w:t>
      </w:r>
      <w:r w:rsidR="00575DB3" w:rsidRPr="00A86233">
        <w:rPr>
          <w:rFonts w:ascii="Arial" w:hAnsi="Arial" w:cs="Arial"/>
        </w:rPr>
        <w:t xml:space="preserve">s. </w:t>
      </w:r>
      <w:r w:rsidRPr="00A86233">
        <w:rPr>
          <w:rFonts w:ascii="Arial" w:hAnsi="Arial" w:cs="Arial"/>
        </w:rPr>
        <w:t>It is anticipate that NHS Wands</w:t>
      </w:r>
      <w:r w:rsidR="00575DB3" w:rsidRPr="00A86233">
        <w:rPr>
          <w:rFonts w:ascii="Arial" w:hAnsi="Arial" w:cs="Arial"/>
        </w:rPr>
        <w:t>w</w:t>
      </w:r>
      <w:r w:rsidRPr="00A86233">
        <w:rPr>
          <w:rFonts w:ascii="Arial" w:hAnsi="Arial" w:cs="Arial"/>
        </w:rPr>
        <w:t>or</w:t>
      </w:r>
      <w:r w:rsidR="00575DB3" w:rsidRPr="00A86233">
        <w:rPr>
          <w:rFonts w:ascii="Arial" w:hAnsi="Arial" w:cs="Arial"/>
        </w:rPr>
        <w:t>th will have four polys</w:t>
      </w:r>
      <w:r w:rsidRPr="00A86233">
        <w:rPr>
          <w:rFonts w:ascii="Arial" w:hAnsi="Arial" w:cs="Arial"/>
        </w:rPr>
        <w:t>ys</w:t>
      </w:r>
      <w:r w:rsidR="00622BED">
        <w:rPr>
          <w:rFonts w:ascii="Arial" w:hAnsi="Arial" w:cs="Arial"/>
        </w:rPr>
        <w:t xml:space="preserve">tems. </w:t>
      </w:r>
      <w:r w:rsidR="00575DB3" w:rsidRPr="00A86233">
        <w:rPr>
          <w:rFonts w:ascii="Arial" w:hAnsi="Arial" w:cs="Arial"/>
        </w:rPr>
        <w:t xml:space="preserve">These will have an impact </w:t>
      </w:r>
      <w:r w:rsidRPr="00A86233">
        <w:rPr>
          <w:rFonts w:ascii="Arial" w:hAnsi="Arial" w:cs="Arial"/>
        </w:rPr>
        <w:t>of</w:t>
      </w:r>
      <w:r w:rsidR="00575DB3" w:rsidRPr="00A86233">
        <w:rPr>
          <w:rFonts w:ascii="Arial" w:hAnsi="Arial" w:cs="Arial"/>
        </w:rPr>
        <w:t xml:space="preserve"> COPD services, in that it will be important to consider the epidemiology of COPD within these different polysystems, and ensure th</w:t>
      </w:r>
      <w:r w:rsidRPr="00A86233">
        <w:rPr>
          <w:rFonts w:ascii="Arial" w:hAnsi="Arial" w:cs="Arial"/>
        </w:rPr>
        <w:t>at services available are appropriate</w:t>
      </w:r>
      <w:r w:rsidR="00575DB3" w:rsidRPr="00A86233">
        <w:rPr>
          <w:rFonts w:ascii="Arial" w:hAnsi="Arial" w:cs="Arial"/>
        </w:rPr>
        <w:t xml:space="preserve"> to these more local populations.</w:t>
      </w:r>
    </w:p>
    <w:p w:rsidR="00575DB3" w:rsidRPr="00864B80" w:rsidRDefault="00575DB3" w:rsidP="00770E50">
      <w:pPr>
        <w:pStyle w:val="Heading2"/>
      </w:pPr>
      <w:bookmarkStart w:id="54" w:name="_Toc256345765"/>
      <w:r w:rsidRPr="00864B80">
        <w:t>New National Service Framework</w:t>
      </w:r>
      <w:bookmarkEnd w:id="54"/>
    </w:p>
    <w:p w:rsidR="00D450A9" w:rsidRPr="00A86233" w:rsidRDefault="00575DB3" w:rsidP="00386DED">
      <w:pPr>
        <w:spacing w:after="0"/>
        <w:rPr>
          <w:rFonts w:ascii="Arial" w:hAnsi="Arial" w:cs="Arial"/>
          <w:lang w:eastAsia="en-GB"/>
        </w:rPr>
      </w:pPr>
      <w:r w:rsidRPr="00A86233">
        <w:rPr>
          <w:rFonts w:ascii="Arial" w:hAnsi="Arial" w:cs="Arial"/>
        </w:rPr>
        <w:t>The forthcoming National Strategy for Chronic Obstructive Pulmonary Disease seeks to ensure that everyone diagnosed with COPD receives high quality health and social care services.  It is a ten year strategy that will tackle health inequalities by ensurin</w:t>
      </w:r>
      <w:r w:rsidR="00386DED" w:rsidRPr="00A86233">
        <w:rPr>
          <w:rFonts w:ascii="Arial" w:hAnsi="Arial" w:cs="Arial"/>
        </w:rPr>
        <w:t xml:space="preserve">g better prevention strategies and </w:t>
      </w:r>
      <w:r w:rsidRPr="00A86233">
        <w:rPr>
          <w:rFonts w:ascii="Arial" w:hAnsi="Arial" w:cs="Arial"/>
        </w:rPr>
        <w:t>quicker identification of those at risk</w:t>
      </w:r>
      <w:r w:rsidR="00386DED" w:rsidRPr="00A86233">
        <w:rPr>
          <w:rFonts w:ascii="Arial" w:hAnsi="Arial" w:cs="Arial"/>
        </w:rPr>
        <w:t xml:space="preserve">. </w:t>
      </w:r>
      <w:r w:rsidR="00614BF6" w:rsidRPr="00A86233">
        <w:rPr>
          <w:rFonts w:ascii="Arial" w:hAnsi="Arial" w:cs="Arial"/>
          <w:lang w:eastAsia="en-GB"/>
        </w:rPr>
        <w:t>T</w:t>
      </w:r>
      <w:r w:rsidR="00D450A9" w:rsidRPr="00A86233">
        <w:rPr>
          <w:rFonts w:ascii="Arial" w:hAnsi="Arial" w:cs="Arial"/>
          <w:lang w:eastAsia="en-GB"/>
        </w:rPr>
        <w:t xml:space="preserve">he National Strategy will go on to articulate further national cares standards, including in hospital and for rehabilitation services, although the exact nature of this guidance is not known. </w:t>
      </w:r>
    </w:p>
    <w:p w:rsidR="00D450A9" w:rsidRDefault="00D450A9" w:rsidP="00575DB3">
      <w:pPr>
        <w:spacing w:after="0"/>
      </w:pPr>
    </w:p>
    <w:p w:rsidR="00F138F6" w:rsidRDefault="00F138F6" w:rsidP="00575DB3">
      <w:pPr>
        <w:spacing w:after="0"/>
      </w:pPr>
    </w:p>
    <w:p w:rsidR="00575DB3" w:rsidRPr="00433711" w:rsidRDefault="00575DB3" w:rsidP="00575DB3">
      <w:pPr>
        <w:spacing w:after="0"/>
        <w:rPr>
          <w:rFonts w:ascii="Arial" w:eastAsia="Times New Roman" w:hAnsi="Arial" w:cs="Arial"/>
          <w:b/>
          <w:bCs/>
          <w:lang w:eastAsia="en-GB"/>
        </w:rPr>
      </w:pPr>
    </w:p>
    <w:p w:rsidR="00CE5177" w:rsidRDefault="00CE5177" w:rsidP="00575DB3">
      <w:pPr>
        <w:rPr>
          <w:rFonts w:ascii="Arial" w:eastAsia="Times New Roman" w:hAnsi="Arial" w:cs="Times New Roman"/>
          <w:b/>
          <w:bCs/>
          <w:color w:val="1F497D" w:themeColor="text2"/>
          <w:kern w:val="36"/>
          <w:sz w:val="28"/>
          <w:szCs w:val="29"/>
          <w:lang w:eastAsia="en-GB"/>
        </w:rPr>
      </w:pPr>
      <w:r>
        <w:br w:type="page"/>
      </w:r>
    </w:p>
    <w:p w:rsidR="00282CB8" w:rsidRDefault="00282CB8" w:rsidP="00575DB3">
      <w:pPr>
        <w:pStyle w:val="Heading1"/>
        <w:spacing w:before="0" w:beforeAutospacing="0" w:after="0" w:afterAutospacing="0" w:line="276" w:lineRule="auto"/>
      </w:pPr>
      <w:bookmarkStart w:id="55" w:name="_Toc256345766"/>
      <w:r w:rsidRPr="00643BBA">
        <w:lastRenderedPageBreak/>
        <w:t>Analysis and Discussion</w:t>
      </w:r>
      <w:bookmarkEnd w:id="55"/>
    </w:p>
    <w:p w:rsidR="00C46764" w:rsidRDefault="00C46764" w:rsidP="00575DB3">
      <w:pPr>
        <w:pStyle w:val="Heading1"/>
        <w:spacing w:before="0" w:beforeAutospacing="0" w:after="0" w:afterAutospacing="0" w:line="276" w:lineRule="auto"/>
      </w:pPr>
    </w:p>
    <w:p w:rsidR="00F43EB7" w:rsidRPr="00F1325F" w:rsidRDefault="00C46764" w:rsidP="00575DB3">
      <w:pPr>
        <w:rPr>
          <w:rFonts w:ascii="Arial" w:hAnsi="Arial" w:cs="Arial"/>
        </w:rPr>
      </w:pPr>
      <w:r w:rsidRPr="00F1325F">
        <w:rPr>
          <w:rFonts w:ascii="Arial" w:hAnsi="Arial" w:cs="Arial"/>
        </w:rPr>
        <w:t xml:space="preserve">The burden of COPD in </w:t>
      </w:r>
      <w:r w:rsidR="00307AEC" w:rsidRPr="00F1325F">
        <w:rPr>
          <w:rFonts w:ascii="Arial" w:hAnsi="Arial" w:cs="Arial"/>
        </w:rPr>
        <w:t>Wandsworth</w:t>
      </w:r>
      <w:r w:rsidRPr="00F1325F">
        <w:rPr>
          <w:rFonts w:ascii="Arial" w:hAnsi="Arial" w:cs="Arial"/>
        </w:rPr>
        <w:t xml:space="preserve"> is no</w:t>
      </w:r>
      <w:r w:rsidR="00DF04AB" w:rsidRPr="00F1325F">
        <w:rPr>
          <w:rFonts w:ascii="Arial" w:hAnsi="Arial" w:cs="Arial"/>
        </w:rPr>
        <w:t>t</w:t>
      </w:r>
      <w:r w:rsidRPr="00F1325F">
        <w:rPr>
          <w:rFonts w:ascii="Arial" w:hAnsi="Arial" w:cs="Arial"/>
        </w:rPr>
        <w:t xml:space="preserve"> as high as in many other parts of the country. This is driven by the demography of the population of the borough, with </w:t>
      </w:r>
      <w:r w:rsidR="00307AEC" w:rsidRPr="00F1325F">
        <w:rPr>
          <w:rFonts w:ascii="Arial" w:hAnsi="Arial" w:cs="Arial"/>
        </w:rPr>
        <w:t>large</w:t>
      </w:r>
      <w:r w:rsidRPr="00F1325F">
        <w:rPr>
          <w:rFonts w:ascii="Arial" w:hAnsi="Arial" w:cs="Arial"/>
        </w:rPr>
        <w:t xml:space="preserve"> numbers of </w:t>
      </w:r>
      <w:r w:rsidR="00307AEC" w:rsidRPr="00F1325F">
        <w:rPr>
          <w:rFonts w:ascii="Arial" w:hAnsi="Arial" w:cs="Arial"/>
        </w:rPr>
        <w:t>transient</w:t>
      </w:r>
      <w:r w:rsidRPr="00F1325F">
        <w:rPr>
          <w:rFonts w:ascii="Arial" w:hAnsi="Arial" w:cs="Arial"/>
        </w:rPr>
        <w:t xml:space="preserve"> </w:t>
      </w:r>
      <w:r w:rsidR="00307AEC" w:rsidRPr="00F1325F">
        <w:rPr>
          <w:rFonts w:ascii="Arial" w:hAnsi="Arial" w:cs="Arial"/>
        </w:rPr>
        <w:t>young</w:t>
      </w:r>
      <w:r w:rsidRPr="00F1325F">
        <w:rPr>
          <w:rFonts w:ascii="Arial" w:hAnsi="Arial" w:cs="Arial"/>
        </w:rPr>
        <w:t xml:space="preserve"> people, and a much smaller elderly population.</w:t>
      </w:r>
      <w:r w:rsidR="00BA4C9E" w:rsidRPr="00F1325F">
        <w:rPr>
          <w:rFonts w:ascii="Arial" w:hAnsi="Arial" w:cs="Arial"/>
        </w:rPr>
        <w:t xml:space="preserve"> </w:t>
      </w:r>
    </w:p>
    <w:p w:rsidR="00C46764" w:rsidRPr="00F1325F" w:rsidRDefault="00BA4C9E" w:rsidP="00575DB3">
      <w:pPr>
        <w:rPr>
          <w:rFonts w:ascii="Arial" w:hAnsi="Arial" w:cs="Arial"/>
        </w:rPr>
      </w:pPr>
      <w:r w:rsidRPr="00F1325F">
        <w:rPr>
          <w:rFonts w:ascii="Arial" w:hAnsi="Arial" w:cs="Arial"/>
        </w:rPr>
        <w:t>Despite this lower than average prevalence</w:t>
      </w:r>
      <w:r w:rsidR="00F1325F">
        <w:rPr>
          <w:rFonts w:ascii="Arial" w:hAnsi="Arial" w:cs="Arial"/>
        </w:rPr>
        <w:t>, COPD</w:t>
      </w:r>
      <w:r w:rsidRPr="00F1325F">
        <w:rPr>
          <w:rFonts w:ascii="Arial" w:hAnsi="Arial" w:cs="Arial"/>
        </w:rPr>
        <w:t xml:space="preserve"> remains a common disease, affecting a large number of</w:t>
      </w:r>
      <w:r w:rsidR="00F1325F">
        <w:rPr>
          <w:rFonts w:ascii="Arial" w:hAnsi="Arial" w:cs="Arial"/>
        </w:rPr>
        <w:t xml:space="preserve"> people in the borough (over 2740</w:t>
      </w:r>
      <w:r w:rsidRPr="00F1325F">
        <w:rPr>
          <w:rFonts w:ascii="Arial" w:hAnsi="Arial" w:cs="Arial"/>
        </w:rPr>
        <w:t xml:space="preserve">, and very </w:t>
      </w:r>
      <w:r w:rsidR="00224E45" w:rsidRPr="00F1325F">
        <w:rPr>
          <w:rFonts w:ascii="Arial" w:hAnsi="Arial" w:cs="Arial"/>
        </w:rPr>
        <w:t>likely</w:t>
      </w:r>
      <w:r w:rsidRPr="00F1325F">
        <w:rPr>
          <w:rFonts w:ascii="Arial" w:hAnsi="Arial" w:cs="Arial"/>
        </w:rPr>
        <w:t xml:space="preserve"> many more), and a disease which accounts for considerable spending </w:t>
      </w:r>
      <w:r w:rsidR="00F43EB7" w:rsidRPr="00F1325F">
        <w:rPr>
          <w:rFonts w:ascii="Arial" w:hAnsi="Arial" w:cs="Arial"/>
        </w:rPr>
        <w:t>by the PCT</w:t>
      </w:r>
      <w:r w:rsidR="00224E45" w:rsidRPr="00F1325F">
        <w:rPr>
          <w:rFonts w:ascii="Arial" w:hAnsi="Arial" w:cs="Arial"/>
        </w:rPr>
        <w:t>. Mortality rates for COPD in Wandsworth are similar  to the national average.</w:t>
      </w:r>
    </w:p>
    <w:p w:rsidR="00C46764" w:rsidRPr="00F1325F" w:rsidRDefault="00C46764" w:rsidP="00575DB3">
      <w:pPr>
        <w:rPr>
          <w:rFonts w:ascii="Arial" w:hAnsi="Arial" w:cs="Arial"/>
        </w:rPr>
      </w:pPr>
      <w:r w:rsidRPr="00F1325F">
        <w:rPr>
          <w:rFonts w:ascii="Arial" w:hAnsi="Arial" w:cs="Arial"/>
        </w:rPr>
        <w:t xml:space="preserve">The services provided by the borough </w:t>
      </w:r>
      <w:r w:rsidR="00F43EB7" w:rsidRPr="00F1325F">
        <w:rPr>
          <w:rFonts w:ascii="Arial" w:hAnsi="Arial" w:cs="Arial"/>
        </w:rPr>
        <w:t>to manage</w:t>
      </w:r>
      <w:r w:rsidRPr="00F1325F">
        <w:rPr>
          <w:rFonts w:ascii="Arial" w:hAnsi="Arial" w:cs="Arial"/>
        </w:rPr>
        <w:t xml:space="preserve"> COPD are well developed, with good links between primary and secondary care, a well established community nursing team, and a </w:t>
      </w:r>
      <w:r w:rsidR="00307AEC" w:rsidRPr="00F1325F">
        <w:rPr>
          <w:rFonts w:ascii="Arial" w:hAnsi="Arial" w:cs="Arial"/>
        </w:rPr>
        <w:t>clearly</w:t>
      </w:r>
      <w:r w:rsidRPr="00F1325F">
        <w:rPr>
          <w:rFonts w:ascii="Arial" w:hAnsi="Arial" w:cs="Arial"/>
        </w:rPr>
        <w:t xml:space="preserve"> defined pathway. Significant </w:t>
      </w:r>
      <w:r w:rsidR="00307AEC" w:rsidRPr="00F1325F">
        <w:rPr>
          <w:rFonts w:ascii="Arial" w:hAnsi="Arial" w:cs="Arial"/>
        </w:rPr>
        <w:t>proportion</w:t>
      </w:r>
      <w:r w:rsidR="00F1325F">
        <w:rPr>
          <w:rFonts w:ascii="Arial" w:hAnsi="Arial" w:cs="Arial"/>
        </w:rPr>
        <w:t>s</w:t>
      </w:r>
      <w:r w:rsidRPr="00F1325F">
        <w:rPr>
          <w:rFonts w:ascii="Arial" w:hAnsi="Arial" w:cs="Arial"/>
        </w:rPr>
        <w:t xml:space="preserve"> of care are nurse led, in settings in primary care that are likely to be more </w:t>
      </w:r>
      <w:r w:rsidR="00307AEC" w:rsidRPr="00F1325F">
        <w:rPr>
          <w:rFonts w:ascii="Arial" w:hAnsi="Arial" w:cs="Arial"/>
        </w:rPr>
        <w:t>convenient</w:t>
      </w:r>
      <w:r w:rsidRPr="00F1325F">
        <w:rPr>
          <w:rFonts w:ascii="Arial" w:hAnsi="Arial" w:cs="Arial"/>
        </w:rPr>
        <w:t xml:space="preserve"> to patients than </w:t>
      </w:r>
      <w:r w:rsidR="00307AEC" w:rsidRPr="00F1325F">
        <w:rPr>
          <w:rFonts w:ascii="Arial" w:hAnsi="Arial" w:cs="Arial"/>
        </w:rPr>
        <w:t>accessing</w:t>
      </w:r>
      <w:r w:rsidRPr="00F1325F">
        <w:rPr>
          <w:rFonts w:ascii="Arial" w:hAnsi="Arial" w:cs="Arial"/>
        </w:rPr>
        <w:t xml:space="preserve"> services in hospitals.</w:t>
      </w:r>
    </w:p>
    <w:p w:rsidR="00224E45" w:rsidRPr="00F1325F" w:rsidRDefault="00224E45" w:rsidP="00224E45">
      <w:pPr>
        <w:rPr>
          <w:rFonts w:ascii="Arial" w:hAnsi="Arial" w:cs="Arial"/>
        </w:rPr>
      </w:pPr>
      <w:r w:rsidRPr="00F1325F">
        <w:rPr>
          <w:rFonts w:ascii="Arial" w:hAnsi="Arial" w:cs="Arial"/>
        </w:rPr>
        <w:t xml:space="preserve">NHS Wandsworth has clearly defined standards of care that it hopes to achieve, with established evidence based protocols, which </w:t>
      </w:r>
      <w:r w:rsidR="00A82EAC">
        <w:rPr>
          <w:rFonts w:ascii="Arial" w:hAnsi="Arial" w:cs="Arial"/>
        </w:rPr>
        <w:t>a</w:t>
      </w:r>
      <w:r w:rsidR="00A82EAC" w:rsidRPr="00F1325F">
        <w:rPr>
          <w:rFonts w:ascii="Arial" w:hAnsi="Arial" w:cs="Arial"/>
        </w:rPr>
        <w:t>re</w:t>
      </w:r>
      <w:r w:rsidRPr="00F1325F">
        <w:rPr>
          <w:rFonts w:ascii="Arial" w:hAnsi="Arial" w:cs="Arial"/>
        </w:rPr>
        <w:t xml:space="preserve"> based on National guidance. In this respect, Wandsworth knows the level of service that it aims to achieve.</w:t>
      </w:r>
      <w:r w:rsidR="00D913A0" w:rsidRPr="00F1325F">
        <w:rPr>
          <w:rFonts w:ascii="Arial" w:hAnsi="Arial" w:cs="Arial"/>
        </w:rPr>
        <w:t xml:space="preserve"> However it does not have complet</w:t>
      </w:r>
      <w:r w:rsidR="00A86233" w:rsidRPr="00F1325F">
        <w:rPr>
          <w:rFonts w:ascii="Arial" w:hAnsi="Arial" w:cs="Arial"/>
        </w:rPr>
        <w:t>e systems in place to monitor whether</w:t>
      </w:r>
      <w:r w:rsidR="00D913A0" w:rsidRPr="00F1325F">
        <w:rPr>
          <w:rFonts w:ascii="Arial" w:hAnsi="Arial" w:cs="Arial"/>
        </w:rPr>
        <w:t xml:space="preserve"> these standards are being met.</w:t>
      </w:r>
    </w:p>
    <w:p w:rsidR="00C46764" w:rsidRDefault="00F43EB7" w:rsidP="00F1325F">
      <w:pPr>
        <w:spacing w:after="0"/>
        <w:rPr>
          <w:rFonts w:ascii="Arial" w:hAnsi="Arial" w:cs="Arial"/>
        </w:rPr>
      </w:pPr>
      <w:r w:rsidRPr="00F1325F">
        <w:rPr>
          <w:rFonts w:ascii="Arial" w:hAnsi="Arial" w:cs="Arial"/>
        </w:rPr>
        <w:t>W</w:t>
      </w:r>
      <w:r w:rsidR="00307AEC" w:rsidRPr="00F1325F">
        <w:rPr>
          <w:rFonts w:ascii="Arial" w:hAnsi="Arial" w:cs="Arial"/>
        </w:rPr>
        <w:t>hen the</w:t>
      </w:r>
      <w:r w:rsidR="00C46764" w:rsidRPr="00F1325F">
        <w:rPr>
          <w:rFonts w:ascii="Arial" w:hAnsi="Arial" w:cs="Arial"/>
        </w:rPr>
        <w:t xml:space="preserve"> borough is examined at a </w:t>
      </w:r>
      <w:r w:rsidRPr="00F1325F">
        <w:rPr>
          <w:rFonts w:ascii="Arial" w:hAnsi="Arial" w:cs="Arial"/>
        </w:rPr>
        <w:t xml:space="preserve">smaller geographical </w:t>
      </w:r>
      <w:r w:rsidR="001F2FF9" w:rsidRPr="00F1325F">
        <w:rPr>
          <w:rFonts w:ascii="Arial" w:hAnsi="Arial" w:cs="Arial"/>
        </w:rPr>
        <w:t>unit</w:t>
      </w:r>
      <w:r w:rsidR="00C46764" w:rsidRPr="00F1325F">
        <w:rPr>
          <w:rFonts w:ascii="Arial" w:hAnsi="Arial" w:cs="Arial"/>
        </w:rPr>
        <w:t xml:space="preserve"> scale, a number of concerning </w:t>
      </w:r>
      <w:r w:rsidR="00307AEC" w:rsidRPr="00F1325F">
        <w:rPr>
          <w:rFonts w:ascii="Arial" w:hAnsi="Arial" w:cs="Arial"/>
        </w:rPr>
        <w:t>features</w:t>
      </w:r>
      <w:r w:rsidR="00D913A0" w:rsidRPr="00F1325F">
        <w:rPr>
          <w:rFonts w:ascii="Arial" w:hAnsi="Arial" w:cs="Arial"/>
        </w:rPr>
        <w:t xml:space="preserve"> arise</w:t>
      </w:r>
      <w:r w:rsidR="00C46764" w:rsidRPr="00F1325F">
        <w:rPr>
          <w:rFonts w:ascii="Arial" w:hAnsi="Arial" w:cs="Arial"/>
        </w:rPr>
        <w:t>. There is a mismatch between observed COPD diagnosis, and those predict</w:t>
      </w:r>
      <w:r w:rsidRPr="00F1325F">
        <w:rPr>
          <w:rFonts w:ascii="Arial" w:hAnsi="Arial" w:cs="Arial"/>
        </w:rPr>
        <w:t>ed f</w:t>
      </w:r>
      <w:r w:rsidR="00C46764" w:rsidRPr="00F1325F">
        <w:rPr>
          <w:rFonts w:ascii="Arial" w:hAnsi="Arial" w:cs="Arial"/>
        </w:rPr>
        <w:t>r</w:t>
      </w:r>
      <w:r w:rsidRPr="00F1325F">
        <w:rPr>
          <w:rFonts w:ascii="Arial" w:hAnsi="Arial" w:cs="Arial"/>
        </w:rPr>
        <w:t xml:space="preserve">om </w:t>
      </w:r>
      <w:r w:rsidR="00A86233" w:rsidRPr="00F1325F">
        <w:rPr>
          <w:rFonts w:ascii="Arial" w:hAnsi="Arial" w:cs="Arial"/>
        </w:rPr>
        <w:t>mathematical</w:t>
      </w:r>
      <w:r w:rsidR="00C46764" w:rsidRPr="00F1325F">
        <w:rPr>
          <w:rFonts w:ascii="Arial" w:hAnsi="Arial" w:cs="Arial"/>
        </w:rPr>
        <w:t xml:space="preserve"> modelling. Although this is the case in all PCTs nationally, it is noticeable that there is considerable variation on a practice by practice level</w:t>
      </w:r>
      <w:r w:rsidR="00D913A0" w:rsidRPr="00F1325F">
        <w:rPr>
          <w:rFonts w:ascii="Arial" w:hAnsi="Arial" w:cs="Arial"/>
        </w:rPr>
        <w:t xml:space="preserve"> in Wandsworth</w:t>
      </w:r>
      <w:r w:rsidR="00C46764" w:rsidRPr="00F1325F">
        <w:rPr>
          <w:rFonts w:ascii="Arial" w:hAnsi="Arial" w:cs="Arial"/>
        </w:rPr>
        <w:t>.</w:t>
      </w:r>
      <w:r w:rsidR="004703A7" w:rsidRPr="00F1325F">
        <w:rPr>
          <w:rFonts w:ascii="Arial" w:hAnsi="Arial" w:cs="Arial"/>
        </w:rPr>
        <w:t xml:space="preserve"> There is a group of practices that are predicted to have high levels of </w:t>
      </w:r>
      <w:r w:rsidR="00307AEC" w:rsidRPr="00F1325F">
        <w:rPr>
          <w:rFonts w:ascii="Arial" w:hAnsi="Arial" w:cs="Arial"/>
        </w:rPr>
        <w:t>COPD</w:t>
      </w:r>
      <w:r w:rsidR="004703A7" w:rsidRPr="00F1325F">
        <w:rPr>
          <w:rFonts w:ascii="Arial" w:hAnsi="Arial" w:cs="Arial"/>
        </w:rPr>
        <w:t xml:space="preserve">, but in which </w:t>
      </w:r>
      <w:r w:rsidR="00D913A0" w:rsidRPr="00F1325F">
        <w:rPr>
          <w:rFonts w:ascii="Arial" w:hAnsi="Arial" w:cs="Arial"/>
        </w:rPr>
        <w:t>only low leve</w:t>
      </w:r>
      <w:r w:rsidR="00A86233" w:rsidRPr="00F1325F">
        <w:rPr>
          <w:rFonts w:ascii="Arial" w:hAnsi="Arial" w:cs="Arial"/>
        </w:rPr>
        <w:t>l</w:t>
      </w:r>
      <w:r w:rsidR="00D913A0" w:rsidRPr="00F1325F">
        <w:rPr>
          <w:rFonts w:ascii="Arial" w:hAnsi="Arial" w:cs="Arial"/>
        </w:rPr>
        <w:t>s are diagnosed</w:t>
      </w:r>
      <w:r w:rsidR="004703A7" w:rsidRPr="00F1325F">
        <w:rPr>
          <w:rFonts w:ascii="Arial" w:hAnsi="Arial" w:cs="Arial"/>
        </w:rPr>
        <w:t xml:space="preserve">. This </w:t>
      </w:r>
      <w:r w:rsidR="00307AEC" w:rsidRPr="00F1325F">
        <w:rPr>
          <w:rFonts w:ascii="Arial" w:hAnsi="Arial" w:cs="Arial"/>
        </w:rPr>
        <w:t>suggests</w:t>
      </w:r>
      <w:r w:rsidR="004703A7" w:rsidRPr="00F1325F">
        <w:rPr>
          <w:rFonts w:ascii="Arial" w:hAnsi="Arial" w:cs="Arial"/>
        </w:rPr>
        <w:t xml:space="preserve"> that there are </w:t>
      </w:r>
      <w:r w:rsidR="00307AEC" w:rsidRPr="00F1325F">
        <w:rPr>
          <w:rFonts w:ascii="Arial" w:hAnsi="Arial" w:cs="Arial"/>
        </w:rPr>
        <w:t>sporadic</w:t>
      </w:r>
      <w:r w:rsidR="004703A7" w:rsidRPr="00F1325F">
        <w:rPr>
          <w:rFonts w:ascii="Arial" w:hAnsi="Arial" w:cs="Arial"/>
        </w:rPr>
        <w:t xml:space="preserve"> areas of </w:t>
      </w:r>
      <w:r w:rsidR="00307AEC" w:rsidRPr="00F1325F">
        <w:rPr>
          <w:rFonts w:ascii="Arial" w:hAnsi="Arial" w:cs="Arial"/>
        </w:rPr>
        <w:t>under diagnosis</w:t>
      </w:r>
      <w:r w:rsidR="004703A7" w:rsidRPr="00F1325F">
        <w:rPr>
          <w:rFonts w:ascii="Arial" w:hAnsi="Arial" w:cs="Arial"/>
        </w:rPr>
        <w:t xml:space="preserve"> of the </w:t>
      </w:r>
      <w:r w:rsidR="00307AEC" w:rsidRPr="00F1325F">
        <w:rPr>
          <w:rFonts w:ascii="Arial" w:hAnsi="Arial" w:cs="Arial"/>
        </w:rPr>
        <w:t>disease</w:t>
      </w:r>
      <w:r w:rsidR="004703A7" w:rsidRPr="00F1325F">
        <w:rPr>
          <w:rFonts w:ascii="Arial" w:hAnsi="Arial" w:cs="Arial"/>
        </w:rPr>
        <w:t>.</w:t>
      </w:r>
    </w:p>
    <w:p w:rsidR="00F1325F" w:rsidRPr="00F1325F" w:rsidRDefault="00F1325F" w:rsidP="00F1325F">
      <w:pPr>
        <w:spacing w:after="0"/>
        <w:rPr>
          <w:rFonts w:ascii="Arial" w:hAnsi="Arial" w:cs="Arial"/>
        </w:rPr>
      </w:pPr>
    </w:p>
    <w:p w:rsidR="00D913A0" w:rsidRDefault="00BA4C9E" w:rsidP="00F1325F">
      <w:pPr>
        <w:spacing w:after="0"/>
        <w:rPr>
          <w:rFonts w:ascii="Arial" w:hAnsi="Arial" w:cs="Arial"/>
        </w:rPr>
      </w:pPr>
      <w:r w:rsidRPr="00F1325F">
        <w:rPr>
          <w:rFonts w:ascii="Arial" w:hAnsi="Arial" w:cs="Arial"/>
        </w:rPr>
        <w:t xml:space="preserve">Data on service </w:t>
      </w:r>
      <w:r w:rsidR="001F2FF9" w:rsidRPr="00F1325F">
        <w:rPr>
          <w:rFonts w:ascii="Arial" w:hAnsi="Arial" w:cs="Arial"/>
        </w:rPr>
        <w:t>performance is</w:t>
      </w:r>
      <w:r w:rsidRPr="00F1325F">
        <w:rPr>
          <w:rFonts w:ascii="Arial" w:hAnsi="Arial" w:cs="Arial"/>
        </w:rPr>
        <w:t xml:space="preserve"> </w:t>
      </w:r>
      <w:r w:rsidR="008D6ED0" w:rsidRPr="00F1325F">
        <w:rPr>
          <w:rFonts w:ascii="Arial" w:hAnsi="Arial" w:cs="Arial"/>
        </w:rPr>
        <w:t>available, but not complete</w:t>
      </w:r>
      <w:r w:rsidRPr="00F1325F">
        <w:rPr>
          <w:rFonts w:ascii="Arial" w:hAnsi="Arial" w:cs="Arial"/>
        </w:rPr>
        <w:t xml:space="preserve">. </w:t>
      </w:r>
      <w:r w:rsidR="00D913A0" w:rsidRPr="00F1325F">
        <w:rPr>
          <w:rFonts w:ascii="Arial" w:hAnsi="Arial" w:cs="Arial"/>
        </w:rPr>
        <w:t>D</w:t>
      </w:r>
      <w:r w:rsidRPr="00F1325F">
        <w:rPr>
          <w:rFonts w:ascii="Arial" w:hAnsi="Arial" w:cs="Arial"/>
        </w:rPr>
        <w:t xml:space="preserve">ata is available from national sources to </w:t>
      </w:r>
      <w:r w:rsidR="004E41BC" w:rsidRPr="00F1325F">
        <w:rPr>
          <w:rFonts w:ascii="Arial" w:hAnsi="Arial" w:cs="Arial"/>
        </w:rPr>
        <w:t>allow evaluation</w:t>
      </w:r>
      <w:r w:rsidR="00F1325F">
        <w:rPr>
          <w:rFonts w:ascii="Arial" w:hAnsi="Arial" w:cs="Arial"/>
        </w:rPr>
        <w:t xml:space="preserve"> of</w:t>
      </w:r>
      <w:r w:rsidR="004E41BC" w:rsidRPr="00F1325F">
        <w:rPr>
          <w:rFonts w:ascii="Arial" w:hAnsi="Arial" w:cs="Arial"/>
        </w:rPr>
        <w:t xml:space="preserve"> </w:t>
      </w:r>
      <w:r w:rsidR="00D913A0" w:rsidRPr="00F1325F">
        <w:rPr>
          <w:rFonts w:ascii="Arial" w:hAnsi="Arial" w:cs="Arial"/>
        </w:rPr>
        <w:t xml:space="preserve">some aspects </w:t>
      </w:r>
      <w:r w:rsidR="004E41BC" w:rsidRPr="00F1325F">
        <w:rPr>
          <w:rFonts w:ascii="Arial" w:hAnsi="Arial" w:cs="Arial"/>
        </w:rPr>
        <w:t>of services</w:t>
      </w:r>
      <w:r w:rsidR="00D913A0" w:rsidRPr="00F1325F">
        <w:rPr>
          <w:rFonts w:ascii="Arial" w:hAnsi="Arial" w:cs="Arial"/>
        </w:rPr>
        <w:t xml:space="preserve"> at the primary and secondary level, but there are few local mechanism</w:t>
      </w:r>
      <w:r w:rsidR="00652BDF">
        <w:rPr>
          <w:rFonts w:ascii="Arial" w:hAnsi="Arial" w:cs="Arial"/>
        </w:rPr>
        <w:t>s</w:t>
      </w:r>
      <w:r w:rsidR="00D913A0" w:rsidRPr="00F1325F">
        <w:rPr>
          <w:rFonts w:ascii="Arial" w:hAnsi="Arial" w:cs="Arial"/>
        </w:rPr>
        <w:t xml:space="preserve"> </w:t>
      </w:r>
      <w:r w:rsidR="00652BDF">
        <w:rPr>
          <w:rFonts w:ascii="Arial" w:hAnsi="Arial" w:cs="Arial"/>
        </w:rPr>
        <w:t xml:space="preserve">monitor levels of activity in local services and </w:t>
      </w:r>
      <w:r w:rsidR="00D913A0" w:rsidRPr="00F1325F">
        <w:rPr>
          <w:rFonts w:ascii="Arial" w:hAnsi="Arial" w:cs="Arial"/>
        </w:rPr>
        <w:t xml:space="preserve">to </w:t>
      </w:r>
      <w:r w:rsidR="008D6ED0" w:rsidRPr="00F1325F">
        <w:rPr>
          <w:rFonts w:ascii="Arial" w:hAnsi="Arial" w:cs="Arial"/>
        </w:rPr>
        <w:t>audit services</w:t>
      </w:r>
      <w:r w:rsidR="004E41BC" w:rsidRPr="00F1325F">
        <w:rPr>
          <w:rFonts w:ascii="Arial" w:hAnsi="Arial" w:cs="Arial"/>
        </w:rPr>
        <w:t>.</w:t>
      </w:r>
    </w:p>
    <w:p w:rsidR="00F1325F" w:rsidRPr="00F1325F" w:rsidRDefault="00F1325F" w:rsidP="00F1325F">
      <w:pPr>
        <w:spacing w:after="0"/>
        <w:rPr>
          <w:rFonts w:ascii="Arial" w:hAnsi="Arial" w:cs="Arial"/>
        </w:rPr>
      </w:pPr>
    </w:p>
    <w:p w:rsidR="001F2FF9" w:rsidRDefault="008D6ED0" w:rsidP="00F1325F">
      <w:pPr>
        <w:spacing w:after="0"/>
        <w:rPr>
          <w:rFonts w:ascii="Arial" w:hAnsi="Arial" w:cs="Arial"/>
        </w:rPr>
      </w:pPr>
      <w:r w:rsidRPr="00F1325F">
        <w:rPr>
          <w:rFonts w:ascii="Arial" w:hAnsi="Arial" w:cs="Arial"/>
        </w:rPr>
        <w:t xml:space="preserve">The QOF data </w:t>
      </w:r>
      <w:r w:rsidR="004E41BC" w:rsidRPr="00F1325F">
        <w:rPr>
          <w:rFonts w:ascii="Arial" w:hAnsi="Arial" w:cs="Arial"/>
        </w:rPr>
        <w:t xml:space="preserve">provides </w:t>
      </w:r>
      <w:r w:rsidRPr="00F1325F">
        <w:rPr>
          <w:rFonts w:ascii="Arial" w:hAnsi="Arial" w:cs="Arial"/>
        </w:rPr>
        <w:t>useful</w:t>
      </w:r>
      <w:r w:rsidR="004E41BC" w:rsidRPr="00F1325F">
        <w:rPr>
          <w:rFonts w:ascii="Arial" w:hAnsi="Arial" w:cs="Arial"/>
        </w:rPr>
        <w:t xml:space="preserve"> indicators of a number of areas of </w:t>
      </w:r>
      <w:r w:rsidR="00224E45" w:rsidRPr="00F1325F">
        <w:rPr>
          <w:rFonts w:ascii="Arial" w:hAnsi="Arial" w:cs="Arial"/>
        </w:rPr>
        <w:t>performance</w:t>
      </w:r>
      <w:r w:rsidRPr="00F1325F">
        <w:rPr>
          <w:rFonts w:ascii="Arial" w:hAnsi="Arial" w:cs="Arial"/>
        </w:rPr>
        <w:t>, although caution must be taken in their interpretation</w:t>
      </w:r>
      <w:r w:rsidR="004E41BC" w:rsidRPr="00F1325F">
        <w:rPr>
          <w:rFonts w:ascii="Arial" w:hAnsi="Arial" w:cs="Arial"/>
        </w:rPr>
        <w:t xml:space="preserve">. </w:t>
      </w:r>
      <w:r w:rsidR="00F1325F">
        <w:rPr>
          <w:rFonts w:ascii="Arial" w:hAnsi="Arial" w:cs="Arial"/>
        </w:rPr>
        <w:t>These data reveal that many practices are performing at a high level. They also however</w:t>
      </w:r>
      <w:r w:rsidR="001F2FF9" w:rsidRPr="00F1325F">
        <w:rPr>
          <w:rFonts w:ascii="Arial" w:hAnsi="Arial" w:cs="Arial"/>
        </w:rPr>
        <w:t xml:space="preserve"> reveal variation in the quality of care provided by individual practices, with some achieving consistently low scores across a number of different indicators. These practices may be</w:t>
      </w:r>
      <w:r w:rsidR="00F1325F">
        <w:rPr>
          <w:rFonts w:ascii="Arial" w:hAnsi="Arial" w:cs="Arial"/>
        </w:rPr>
        <w:t xml:space="preserve"> a</w:t>
      </w:r>
      <w:r w:rsidR="001F2FF9" w:rsidRPr="00F1325F">
        <w:rPr>
          <w:rFonts w:ascii="Arial" w:hAnsi="Arial" w:cs="Arial"/>
        </w:rPr>
        <w:t xml:space="preserve"> target for closer audit of performance by the PCT, and potential education programmes to ensure </w:t>
      </w:r>
      <w:r w:rsidR="00F1325F">
        <w:rPr>
          <w:rFonts w:ascii="Arial" w:hAnsi="Arial" w:cs="Arial"/>
        </w:rPr>
        <w:t>that their management of cases</w:t>
      </w:r>
      <w:r w:rsidR="001F2FF9" w:rsidRPr="00F1325F">
        <w:rPr>
          <w:rFonts w:ascii="Arial" w:hAnsi="Arial" w:cs="Arial"/>
        </w:rPr>
        <w:t xml:space="preserve"> is in line with best practice.</w:t>
      </w:r>
    </w:p>
    <w:p w:rsidR="00F1325F" w:rsidRPr="00F1325F" w:rsidRDefault="00F1325F" w:rsidP="00F1325F">
      <w:pPr>
        <w:spacing w:after="0"/>
        <w:rPr>
          <w:rFonts w:ascii="Arial" w:hAnsi="Arial" w:cs="Arial"/>
        </w:rPr>
      </w:pPr>
    </w:p>
    <w:p w:rsidR="004E41BC" w:rsidRDefault="00224E45" w:rsidP="00F1325F">
      <w:pPr>
        <w:spacing w:after="0"/>
        <w:rPr>
          <w:rFonts w:ascii="Arial" w:hAnsi="Arial" w:cs="Arial"/>
        </w:rPr>
      </w:pPr>
      <w:r w:rsidRPr="00F1325F">
        <w:rPr>
          <w:rFonts w:ascii="Arial" w:hAnsi="Arial" w:cs="Arial"/>
        </w:rPr>
        <w:t>Similarly</w:t>
      </w:r>
      <w:r w:rsidR="004E41BC" w:rsidRPr="00F1325F">
        <w:rPr>
          <w:rFonts w:ascii="Arial" w:hAnsi="Arial" w:cs="Arial"/>
        </w:rPr>
        <w:t xml:space="preserve">, only a limited </w:t>
      </w:r>
      <w:r w:rsidRPr="00F1325F">
        <w:rPr>
          <w:rFonts w:ascii="Arial" w:hAnsi="Arial" w:cs="Arial"/>
        </w:rPr>
        <w:t>number</w:t>
      </w:r>
      <w:r w:rsidR="004E41BC" w:rsidRPr="00F1325F">
        <w:rPr>
          <w:rFonts w:ascii="Arial" w:hAnsi="Arial" w:cs="Arial"/>
        </w:rPr>
        <w:t xml:space="preserve"> of measures are available from national</w:t>
      </w:r>
      <w:r w:rsidR="001F2FF9" w:rsidRPr="00F1325F">
        <w:rPr>
          <w:rFonts w:ascii="Arial" w:hAnsi="Arial" w:cs="Arial"/>
        </w:rPr>
        <w:t xml:space="preserve"> </w:t>
      </w:r>
      <w:r w:rsidR="004E41BC" w:rsidRPr="00F1325F">
        <w:rPr>
          <w:rFonts w:ascii="Arial" w:hAnsi="Arial" w:cs="Arial"/>
        </w:rPr>
        <w:t>acute care data sets.</w:t>
      </w:r>
      <w:r w:rsidR="001F2FF9" w:rsidRPr="00F1325F">
        <w:rPr>
          <w:rFonts w:ascii="Arial" w:hAnsi="Arial" w:cs="Arial"/>
        </w:rPr>
        <w:t xml:space="preserve"> The new data provided by NHS comparators provides several interesting </w:t>
      </w:r>
      <w:r w:rsidRPr="00F1325F">
        <w:rPr>
          <w:rFonts w:ascii="Arial" w:hAnsi="Arial" w:cs="Arial"/>
        </w:rPr>
        <w:t>streams</w:t>
      </w:r>
      <w:r w:rsidR="001F2FF9" w:rsidRPr="00F1325F">
        <w:rPr>
          <w:rFonts w:ascii="Arial" w:hAnsi="Arial" w:cs="Arial"/>
        </w:rPr>
        <w:t xml:space="preserve"> of data about admission rates, length of stay and readmission </w:t>
      </w:r>
      <w:r w:rsidRPr="00F1325F">
        <w:rPr>
          <w:rFonts w:ascii="Arial" w:hAnsi="Arial" w:cs="Arial"/>
        </w:rPr>
        <w:t>rates</w:t>
      </w:r>
      <w:r w:rsidR="001F2FF9" w:rsidRPr="00F1325F">
        <w:rPr>
          <w:rFonts w:ascii="Arial" w:hAnsi="Arial" w:cs="Arial"/>
        </w:rPr>
        <w:t>.</w:t>
      </w:r>
      <w:r w:rsidR="00F1325F">
        <w:rPr>
          <w:rFonts w:ascii="Arial" w:hAnsi="Arial" w:cs="Arial"/>
        </w:rPr>
        <w:t xml:space="preserve"> </w:t>
      </w:r>
    </w:p>
    <w:p w:rsidR="00F1325F" w:rsidRPr="00F1325F" w:rsidRDefault="00F1325F" w:rsidP="00F1325F">
      <w:pPr>
        <w:spacing w:after="0"/>
        <w:rPr>
          <w:rFonts w:ascii="Arial" w:hAnsi="Arial" w:cs="Arial"/>
        </w:rPr>
      </w:pPr>
    </w:p>
    <w:p w:rsidR="001F2FF9" w:rsidRPr="00F1325F" w:rsidRDefault="001F2FF9" w:rsidP="00F1325F">
      <w:pPr>
        <w:spacing w:after="0"/>
        <w:rPr>
          <w:rFonts w:ascii="Arial" w:hAnsi="Arial" w:cs="Arial"/>
        </w:rPr>
      </w:pPr>
      <w:r w:rsidRPr="00F1325F">
        <w:rPr>
          <w:rFonts w:ascii="Arial" w:hAnsi="Arial" w:cs="Arial"/>
        </w:rPr>
        <w:t>The variation in emergency</w:t>
      </w:r>
      <w:r w:rsidR="00F1325F">
        <w:rPr>
          <w:rFonts w:ascii="Arial" w:hAnsi="Arial" w:cs="Arial"/>
        </w:rPr>
        <w:t xml:space="preserve"> admission rate observed is</w:t>
      </w:r>
      <w:r w:rsidRPr="00F1325F">
        <w:rPr>
          <w:rFonts w:ascii="Arial" w:hAnsi="Arial" w:cs="Arial"/>
        </w:rPr>
        <w:t xml:space="preserve"> a cause for concern. In particular, the six practices with a statistically significantly level of emergency admission compared to the </w:t>
      </w:r>
      <w:r w:rsidRPr="00F1325F">
        <w:rPr>
          <w:rFonts w:ascii="Arial" w:hAnsi="Arial" w:cs="Arial"/>
        </w:rPr>
        <w:lastRenderedPageBreak/>
        <w:t>average are candidates for investigation and improvement. The fact that some of the practices with highest emergency admission rates are also some of the practices with the lowest QOF scores is further evidence that some practices are underperforming.</w:t>
      </w:r>
    </w:p>
    <w:p w:rsidR="00F1325F" w:rsidRDefault="00F1325F" w:rsidP="00F1325F">
      <w:pPr>
        <w:spacing w:after="0"/>
        <w:rPr>
          <w:rFonts w:ascii="Arial" w:hAnsi="Arial" w:cs="Arial"/>
        </w:rPr>
      </w:pPr>
    </w:p>
    <w:p w:rsidR="00F1325F" w:rsidRDefault="00F1325F" w:rsidP="00F1325F">
      <w:pPr>
        <w:spacing w:after="0"/>
        <w:rPr>
          <w:rFonts w:ascii="Arial" w:hAnsi="Arial" w:cs="Arial"/>
        </w:rPr>
      </w:pPr>
      <w:r>
        <w:rPr>
          <w:rFonts w:ascii="Arial" w:hAnsi="Arial" w:cs="Arial"/>
        </w:rPr>
        <w:t xml:space="preserve">It is interesting to note that while length of stay in hospital in Wandsworth is above average, readmission rates are lower than average, suggesting </w:t>
      </w:r>
      <w:proofErr w:type="gramStart"/>
      <w:r>
        <w:rPr>
          <w:rFonts w:ascii="Arial" w:hAnsi="Arial" w:cs="Arial"/>
        </w:rPr>
        <w:t>good</w:t>
      </w:r>
      <w:proofErr w:type="gramEnd"/>
      <w:r>
        <w:rPr>
          <w:rFonts w:ascii="Arial" w:hAnsi="Arial" w:cs="Arial"/>
        </w:rPr>
        <w:t xml:space="preserve"> and bad points about hospital management and discharge planning. </w:t>
      </w:r>
      <w:r w:rsidR="00F77C47">
        <w:rPr>
          <w:rFonts w:ascii="Arial" w:hAnsi="Arial" w:cs="Arial"/>
        </w:rPr>
        <w:t>There is potential for the improvement of discharge services.</w:t>
      </w:r>
    </w:p>
    <w:p w:rsidR="00F1325F" w:rsidRDefault="00F1325F" w:rsidP="00F1325F">
      <w:pPr>
        <w:spacing w:after="0"/>
        <w:rPr>
          <w:rFonts w:ascii="Arial" w:hAnsi="Arial" w:cs="Arial"/>
        </w:rPr>
      </w:pPr>
    </w:p>
    <w:p w:rsidR="001F2FF9" w:rsidRDefault="001F2FF9" w:rsidP="00F1325F">
      <w:pPr>
        <w:spacing w:after="0"/>
        <w:rPr>
          <w:rFonts w:ascii="Arial" w:hAnsi="Arial" w:cs="Arial"/>
        </w:rPr>
      </w:pPr>
      <w:r w:rsidRPr="00F1325F">
        <w:rPr>
          <w:rFonts w:ascii="Arial" w:hAnsi="Arial" w:cs="Arial"/>
        </w:rPr>
        <w:t xml:space="preserve">In both </w:t>
      </w:r>
      <w:r w:rsidR="00224E45" w:rsidRPr="00F1325F">
        <w:rPr>
          <w:rFonts w:ascii="Arial" w:hAnsi="Arial" w:cs="Arial"/>
        </w:rPr>
        <w:t>treatment</w:t>
      </w:r>
      <w:r w:rsidRPr="00F1325F">
        <w:rPr>
          <w:rFonts w:ascii="Arial" w:hAnsi="Arial" w:cs="Arial"/>
        </w:rPr>
        <w:t xml:space="preserve"> settings there are no systems in plac</w:t>
      </w:r>
      <w:r w:rsidR="00F77C47">
        <w:rPr>
          <w:rFonts w:ascii="Arial" w:hAnsi="Arial" w:cs="Arial"/>
        </w:rPr>
        <w:t>e to monitor</w:t>
      </w:r>
      <w:r w:rsidRPr="00F1325F">
        <w:rPr>
          <w:rFonts w:ascii="Arial" w:hAnsi="Arial" w:cs="Arial"/>
        </w:rPr>
        <w:t xml:space="preserve"> compliance of </w:t>
      </w:r>
      <w:r w:rsidR="00224E45" w:rsidRPr="00F1325F">
        <w:rPr>
          <w:rFonts w:ascii="Arial" w:hAnsi="Arial" w:cs="Arial"/>
        </w:rPr>
        <w:t>treatment</w:t>
      </w:r>
      <w:r w:rsidRPr="00F1325F">
        <w:rPr>
          <w:rFonts w:ascii="Arial" w:hAnsi="Arial" w:cs="Arial"/>
        </w:rPr>
        <w:t xml:space="preserve"> practice with the care pathway standards</w:t>
      </w:r>
      <w:r w:rsidR="008D6ED0" w:rsidRPr="00F1325F">
        <w:rPr>
          <w:rFonts w:ascii="Arial" w:hAnsi="Arial" w:cs="Arial"/>
        </w:rPr>
        <w:t xml:space="preserve">, as defined by NICE and local </w:t>
      </w:r>
      <w:r w:rsidR="00F77C47" w:rsidRPr="00F1325F">
        <w:rPr>
          <w:rFonts w:ascii="Arial" w:hAnsi="Arial" w:cs="Arial"/>
        </w:rPr>
        <w:t>policy</w:t>
      </w:r>
      <w:r w:rsidRPr="00F1325F">
        <w:rPr>
          <w:rFonts w:ascii="Arial" w:hAnsi="Arial" w:cs="Arial"/>
        </w:rPr>
        <w:t>. This might be a</w:t>
      </w:r>
      <w:r w:rsidR="00F77C47">
        <w:rPr>
          <w:rFonts w:ascii="Arial" w:hAnsi="Arial" w:cs="Arial"/>
        </w:rPr>
        <w:t>nother</w:t>
      </w:r>
      <w:r w:rsidRPr="00F1325F">
        <w:rPr>
          <w:rFonts w:ascii="Arial" w:hAnsi="Arial" w:cs="Arial"/>
        </w:rPr>
        <w:t xml:space="preserve"> potential area for audit. </w:t>
      </w:r>
    </w:p>
    <w:p w:rsidR="00F77C47" w:rsidRPr="00F1325F" w:rsidRDefault="00F77C47" w:rsidP="00F1325F">
      <w:pPr>
        <w:spacing w:after="0"/>
        <w:rPr>
          <w:rFonts w:ascii="Arial" w:hAnsi="Arial" w:cs="Arial"/>
        </w:rPr>
      </w:pPr>
    </w:p>
    <w:p w:rsidR="008D6ED0" w:rsidRPr="00F1325F" w:rsidRDefault="008D6ED0" w:rsidP="00F1325F">
      <w:pPr>
        <w:spacing w:after="0"/>
        <w:rPr>
          <w:rFonts w:ascii="Arial" w:eastAsia="Times New Roman" w:hAnsi="Arial" w:cs="Arial"/>
          <w:b/>
          <w:bCs/>
          <w:lang w:eastAsia="en-GB"/>
        </w:rPr>
      </w:pPr>
      <w:r w:rsidRPr="00F1325F">
        <w:rPr>
          <w:rFonts w:ascii="Arial" w:eastAsia="Times New Roman" w:hAnsi="Arial" w:cs="Arial"/>
          <w:bCs/>
          <w:lang w:eastAsia="en-GB"/>
        </w:rPr>
        <w:t>There is variability on performance across all of the polysystems</w:t>
      </w:r>
      <w:r w:rsidR="00F77C47">
        <w:rPr>
          <w:rFonts w:ascii="Arial" w:eastAsia="Times New Roman" w:hAnsi="Arial" w:cs="Arial"/>
          <w:bCs/>
          <w:lang w:eastAsia="en-GB"/>
        </w:rPr>
        <w:t xml:space="preserve">. </w:t>
      </w:r>
      <w:r w:rsidRPr="00F1325F">
        <w:rPr>
          <w:rFonts w:ascii="Arial" w:eastAsia="Times New Roman" w:hAnsi="Arial" w:cs="Arial"/>
          <w:bCs/>
          <w:lang w:eastAsia="en-GB"/>
        </w:rPr>
        <w:t>The potential South Wandsworth Polysystem is notable in its</w:t>
      </w:r>
      <w:r w:rsidR="00F77C47">
        <w:rPr>
          <w:rFonts w:ascii="Arial" w:eastAsia="Times New Roman" w:hAnsi="Arial" w:cs="Arial"/>
          <w:bCs/>
          <w:lang w:eastAsia="en-GB"/>
        </w:rPr>
        <w:t xml:space="preserve"> high levels of</w:t>
      </w:r>
      <w:r w:rsidRPr="00F1325F">
        <w:rPr>
          <w:rFonts w:ascii="Arial" w:eastAsia="Times New Roman" w:hAnsi="Arial" w:cs="Arial"/>
          <w:bCs/>
          <w:lang w:eastAsia="en-GB"/>
        </w:rPr>
        <w:t xml:space="preserve"> variability in performance. This presents a </w:t>
      </w:r>
      <w:r w:rsidR="00A86233" w:rsidRPr="00F1325F">
        <w:rPr>
          <w:rFonts w:ascii="Arial" w:eastAsia="Times New Roman" w:hAnsi="Arial" w:cs="Arial"/>
          <w:bCs/>
          <w:lang w:eastAsia="en-GB"/>
        </w:rPr>
        <w:t>potential</w:t>
      </w:r>
      <w:r w:rsidRPr="00F1325F">
        <w:rPr>
          <w:rFonts w:ascii="Arial" w:eastAsia="Times New Roman" w:hAnsi="Arial" w:cs="Arial"/>
          <w:bCs/>
          <w:lang w:eastAsia="en-GB"/>
        </w:rPr>
        <w:t xml:space="preserve"> target for </w:t>
      </w:r>
      <w:r w:rsidR="00A82EAC" w:rsidRPr="00F1325F">
        <w:rPr>
          <w:rFonts w:ascii="Arial" w:eastAsia="Times New Roman" w:hAnsi="Arial" w:cs="Arial"/>
          <w:bCs/>
          <w:lang w:eastAsia="en-GB"/>
        </w:rPr>
        <w:t>polysystem</w:t>
      </w:r>
      <w:r w:rsidRPr="00F1325F">
        <w:rPr>
          <w:rFonts w:ascii="Arial" w:eastAsia="Times New Roman" w:hAnsi="Arial" w:cs="Arial"/>
          <w:bCs/>
          <w:lang w:eastAsia="en-GB"/>
        </w:rPr>
        <w:t xml:space="preserve">/local action to improve areas in what has historically been a poorer and </w:t>
      </w:r>
      <w:r w:rsidR="00A86233" w:rsidRPr="00F1325F">
        <w:rPr>
          <w:rFonts w:ascii="Arial" w:eastAsia="Times New Roman" w:hAnsi="Arial" w:cs="Arial"/>
          <w:bCs/>
          <w:lang w:eastAsia="en-GB"/>
        </w:rPr>
        <w:t>more deprived</w:t>
      </w:r>
      <w:r w:rsidRPr="00F1325F">
        <w:rPr>
          <w:rFonts w:ascii="Arial" w:eastAsia="Times New Roman" w:hAnsi="Arial" w:cs="Arial"/>
          <w:bCs/>
          <w:lang w:eastAsia="en-GB"/>
        </w:rPr>
        <w:t xml:space="preserve"> </w:t>
      </w:r>
      <w:r w:rsidR="00A86233" w:rsidRPr="00F1325F">
        <w:rPr>
          <w:rFonts w:ascii="Arial" w:eastAsia="Times New Roman" w:hAnsi="Arial" w:cs="Arial"/>
          <w:bCs/>
          <w:lang w:eastAsia="en-GB"/>
        </w:rPr>
        <w:t>part</w:t>
      </w:r>
      <w:r w:rsidRPr="00F1325F">
        <w:rPr>
          <w:rFonts w:ascii="Arial" w:eastAsia="Times New Roman" w:hAnsi="Arial" w:cs="Arial"/>
          <w:bCs/>
          <w:lang w:eastAsia="en-GB"/>
        </w:rPr>
        <w:t xml:space="preserve"> of the borough.</w:t>
      </w:r>
    </w:p>
    <w:p w:rsidR="00F1325F" w:rsidRDefault="00F1325F" w:rsidP="00F1325F">
      <w:pPr>
        <w:spacing w:after="0"/>
        <w:rPr>
          <w:rFonts w:ascii="Arial" w:hAnsi="Arial" w:cs="Arial"/>
        </w:rPr>
      </w:pPr>
    </w:p>
    <w:p w:rsidR="00C46764" w:rsidRDefault="008D6ED0" w:rsidP="00F1325F">
      <w:pPr>
        <w:spacing w:after="0"/>
        <w:rPr>
          <w:rFonts w:ascii="Arial" w:hAnsi="Arial" w:cs="Arial"/>
        </w:rPr>
      </w:pPr>
      <w:r w:rsidRPr="00F1325F">
        <w:rPr>
          <w:rFonts w:ascii="Arial" w:hAnsi="Arial" w:cs="Arial"/>
        </w:rPr>
        <w:t xml:space="preserve">Some aspects of the care pathway, although innovative, appear to have not been utilized as much as they potentially could. There is a lack of data about activity, including usage patterns for the nurse led clinics, telehealth and the weekend </w:t>
      </w:r>
      <w:r w:rsidR="00A86233" w:rsidRPr="00F1325F">
        <w:rPr>
          <w:rFonts w:ascii="Arial" w:hAnsi="Arial" w:cs="Arial"/>
        </w:rPr>
        <w:t>on call</w:t>
      </w:r>
      <w:r w:rsidRPr="00F1325F">
        <w:rPr>
          <w:rFonts w:ascii="Arial" w:hAnsi="Arial" w:cs="Arial"/>
        </w:rPr>
        <w:t xml:space="preserve"> service.</w:t>
      </w:r>
      <w:r w:rsidR="00F77C47">
        <w:rPr>
          <w:rFonts w:ascii="Arial" w:hAnsi="Arial" w:cs="Arial"/>
        </w:rPr>
        <w:t xml:space="preserve"> It would be sensible to generate data about this activity before making further recommendations about these services.</w:t>
      </w:r>
    </w:p>
    <w:p w:rsidR="00FD1967" w:rsidRDefault="00FD1967" w:rsidP="00FD1967">
      <w:pPr>
        <w:pStyle w:val="Heading2"/>
      </w:pPr>
    </w:p>
    <w:p w:rsidR="00FD1967" w:rsidRDefault="00FD1967" w:rsidP="00FD1967">
      <w:pPr>
        <w:pStyle w:val="Heading2"/>
      </w:pPr>
    </w:p>
    <w:p w:rsidR="00FD1967" w:rsidRDefault="00FD1967" w:rsidP="00FD1967">
      <w:pPr>
        <w:pStyle w:val="Heading2"/>
      </w:pPr>
    </w:p>
    <w:p w:rsidR="00FD1967" w:rsidRDefault="00FD1967" w:rsidP="00FD1967">
      <w:pPr>
        <w:pStyle w:val="Heading2"/>
      </w:pPr>
    </w:p>
    <w:p w:rsidR="00FD1967" w:rsidRDefault="00FD1967" w:rsidP="00FD1967">
      <w:pPr>
        <w:pStyle w:val="Heading2"/>
      </w:pPr>
    </w:p>
    <w:p w:rsidR="00FD1967" w:rsidRDefault="00FD1967" w:rsidP="00FD1967">
      <w:pPr>
        <w:pStyle w:val="Heading2"/>
      </w:pPr>
    </w:p>
    <w:p w:rsidR="00A811A4" w:rsidRPr="00433711" w:rsidRDefault="00A811A4" w:rsidP="00F1325F">
      <w:pPr>
        <w:spacing w:after="0"/>
        <w:rPr>
          <w:rFonts w:ascii="Arial" w:eastAsia="Times New Roman" w:hAnsi="Arial" w:cs="Times New Roman"/>
          <w:b/>
          <w:bCs/>
          <w:color w:val="1F497D" w:themeColor="text2"/>
          <w:kern w:val="36"/>
          <w:lang w:eastAsia="en-GB"/>
        </w:rPr>
      </w:pPr>
      <w:r w:rsidRPr="00433711">
        <w:br w:type="page"/>
      </w:r>
    </w:p>
    <w:p w:rsidR="003E75C5" w:rsidRPr="00643BBA" w:rsidRDefault="003E75C5" w:rsidP="00575DB3">
      <w:pPr>
        <w:pStyle w:val="Heading1"/>
        <w:spacing w:before="0" w:beforeAutospacing="0" w:after="0" w:afterAutospacing="0" w:line="276" w:lineRule="auto"/>
      </w:pPr>
      <w:bookmarkStart w:id="56" w:name="_Toc256345767"/>
      <w:r w:rsidRPr="00643BBA">
        <w:lastRenderedPageBreak/>
        <w:t>Recommendations</w:t>
      </w:r>
      <w:r w:rsidR="006219B2" w:rsidRPr="00643BBA">
        <w:t xml:space="preserve"> to improve services</w:t>
      </w:r>
      <w:bookmarkEnd w:id="56"/>
    </w:p>
    <w:p w:rsidR="00E55BCD" w:rsidRPr="00433711" w:rsidRDefault="00E55BCD" w:rsidP="00575DB3">
      <w:pPr>
        <w:spacing w:after="0"/>
        <w:rPr>
          <w:rFonts w:ascii="Arial" w:eastAsia="Times New Roman" w:hAnsi="Arial" w:cs="Arial"/>
          <w:b/>
          <w:bCs/>
          <w:lang w:eastAsia="en-GB"/>
        </w:rPr>
      </w:pPr>
    </w:p>
    <w:p w:rsidR="00F43EB7" w:rsidRDefault="00FD1967" w:rsidP="00F43EB7">
      <w:pPr>
        <w:pStyle w:val="ListParagraph"/>
        <w:numPr>
          <w:ilvl w:val="0"/>
          <w:numId w:val="27"/>
        </w:numPr>
        <w:spacing w:after="0"/>
        <w:rPr>
          <w:rFonts w:ascii="Arial" w:eastAsia="Times New Roman" w:hAnsi="Arial" w:cs="Arial"/>
          <w:bCs/>
          <w:lang w:eastAsia="en-GB"/>
        </w:rPr>
      </w:pPr>
      <w:r>
        <w:rPr>
          <w:rFonts w:ascii="Arial" w:eastAsia="Times New Roman" w:hAnsi="Arial" w:cs="Arial"/>
          <w:bCs/>
          <w:lang w:eastAsia="en-GB"/>
        </w:rPr>
        <w:t>This report</w:t>
      </w:r>
      <w:r w:rsidR="00F43EB7" w:rsidRPr="001F2FF9">
        <w:rPr>
          <w:rFonts w:ascii="Arial" w:eastAsia="Times New Roman" w:hAnsi="Arial" w:cs="Arial"/>
          <w:bCs/>
          <w:lang w:eastAsia="en-GB"/>
        </w:rPr>
        <w:t xml:space="preserve"> highlights </w:t>
      </w:r>
      <w:r w:rsidR="00D913A0">
        <w:rPr>
          <w:rFonts w:ascii="Arial" w:eastAsia="Times New Roman" w:hAnsi="Arial" w:cs="Arial"/>
          <w:bCs/>
          <w:lang w:eastAsia="en-GB"/>
        </w:rPr>
        <w:t xml:space="preserve">several </w:t>
      </w:r>
      <w:r w:rsidR="00F43EB7" w:rsidRPr="001F2FF9">
        <w:rPr>
          <w:rFonts w:ascii="Arial" w:eastAsia="Times New Roman" w:hAnsi="Arial" w:cs="Arial"/>
          <w:bCs/>
          <w:lang w:eastAsia="en-GB"/>
        </w:rPr>
        <w:t>practices which seem to</w:t>
      </w:r>
      <w:r w:rsidR="00FA2AFF">
        <w:rPr>
          <w:rFonts w:ascii="Arial" w:eastAsia="Times New Roman" w:hAnsi="Arial" w:cs="Arial"/>
          <w:bCs/>
          <w:lang w:eastAsia="en-GB"/>
        </w:rPr>
        <w:t xml:space="preserve"> be</w:t>
      </w:r>
      <w:r w:rsidR="00F43EB7" w:rsidRPr="001F2FF9">
        <w:rPr>
          <w:rFonts w:ascii="Arial" w:eastAsia="Times New Roman" w:hAnsi="Arial" w:cs="Arial"/>
          <w:bCs/>
          <w:lang w:eastAsia="en-GB"/>
        </w:rPr>
        <w:t xml:space="preserve"> performing less well than their peers in the management of COPD across a number of objective indicators. There is a </w:t>
      </w:r>
      <w:r w:rsidR="00224E45" w:rsidRPr="001F2FF9">
        <w:rPr>
          <w:rFonts w:ascii="Arial" w:eastAsia="Times New Roman" w:hAnsi="Arial" w:cs="Arial"/>
          <w:bCs/>
          <w:lang w:eastAsia="en-GB"/>
        </w:rPr>
        <w:t>need</w:t>
      </w:r>
      <w:r w:rsidR="00F43EB7" w:rsidRPr="001F2FF9">
        <w:rPr>
          <w:rFonts w:ascii="Arial" w:eastAsia="Times New Roman" w:hAnsi="Arial" w:cs="Arial"/>
          <w:bCs/>
          <w:lang w:eastAsia="en-GB"/>
        </w:rPr>
        <w:t xml:space="preserve"> to </w:t>
      </w:r>
      <w:r>
        <w:rPr>
          <w:rFonts w:ascii="Arial" w:eastAsia="Times New Roman" w:hAnsi="Arial" w:cs="Arial"/>
          <w:bCs/>
          <w:lang w:eastAsia="en-GB"/>
        </w:rPr>
        <w:t>understand this variation, and for primary care commissioning to</w:t>
      </w:r>
      <w:r w:rsidR="00F43EB7" w:rsidRPr="001F2FF9">
        <w:rPr>
          <w:rFonts w:ascii="Arial" w:eastAsia="Times New Roman" w:hAnsi="Arial" w:cs="Arial"/>
          <w:bCs/>
          <w:lang w:eastAsia="en-GB"/>
        </w:rPr>
        <w:t xml:space="preserve"> </w:t>
      </w:r>
      <w:r>
        <w:rPr>
          <w:rFonts w:ascii="Arial" w:eastAsia="Times New Roman" w:hAnsi="Arial" w:cs="Arial"/>
          <w:bCs/>
          <w:lang w:eastAsia="en-GB"/>
        </w:rPr>
        <w:t>work</w:t>
      </w:r>
      <w:r w:rsidR="00F43EB7" w:rsidRPr="001F2FF9">
        <w:rPr>
          <w:rFonts w:ascii="Arial" w:eastAsia="Times New Roman" w:hAnsi="Arial" w:cs="Arial"/>
          <w:bCs/>
          <w:lang w:eastAsia="en-GB"/>
        </w:rPr>
        <w:t xml:space="preserve"> with the more poorly</w:t>
      </w:r>
      <w:r w:rsidR="00D913A0">
        <w:rPr>
          <w:rFonts w:ascii="Arial" w:eastAsia="Times New Roman" w:hAnsi="Arial" w:cs="Arial"/>
          <w:bCs/>
          <w:lang w:eastAsia="en-GB"/>
        </w:rPr>
        <w:t xml:space="preserve"> </w:t>
      </w:r>
      <w:r w:rsidR="00F43EB7" w:rsidRPr="001F2FF9">
        <w:rPr>
          <w:rFonts w:ascii="Arial" w:eastAsia="Times New Roman" w:hAnsi="Arial" w:cs="Arial"/>
          <w:bCs/>
          <w:lang w:eastAsia="en-GB"/>
        </w:rPr>
        <w:t>performing practice</w:t>
      </w:r>
      <w:r>
        <w:rPr>
          <w:rFonts w:ascii="Arial" w:eastAsia="Times New Roman" w:hAnsi="Arial" w:cs="Arial"/>
          <w:bCs/>
          <w:lang w:eastAsia="en-GB"/>
        </w:rPr>
        <w:t>s to improve performance.</w:t>
      </w:r>
    </w:p>
    <w:p w:rsidR="008C2F89" w:rsidRDefault="008C2F89" w:rsidP="008C2F89">
      <w:pPr>
        <w:pStyle w:val="ListParagraph"/>
        <w:spacing w:after="0"/>
        <w:rPr>
          <w:rFonts w:ascii="Arial" w:eastAsia="Times New Roman" w:hAnsi="Arial" w:cs="Arial"/>
          <w:bCs/>
          <w:lang w:eastAsia="en-GB"/>
        </w:rPr>
      </w:pPr>
    </w:p>
    <w:p w:rsidR="008C2F89" w:rsidRPr="001F2FF9" w:rsidRDefault="008C2F89" w:rsidP="00F43EB7">
      <w:pPr>
        <w:pStyle w:val="ListParagraph"/>
        <w:numPr>
          <w:ilvl w:val="0"/>
          <w:numId w:val="27"/>
        </w:numPr>
        <w:spacing w:after="0"/>
        <w:rPr>
          <w:rFonts w:ascii="Arial" w:eastAsia="Times New Roman" w:hAnsi="Arial" w:cs="Arial"/>
          <w:bCs/>
          <w:lang w:eastAsia="en-GB"/>
        </w:rPr>
      </w:pPr>
      <w:r>
        <w:rPr>
          <w:rFonts w:ascii="Arial" w:eastAsia="Times New Roman" w:hAnsi="Arial" w:cs="Arial"/>
          <w:bCs/>
          <w:lang w:eastAsia="en-GB"/>
        </w:rPr>
        <w:t>This report has highlighted gaps in the diagnosis of COPD, particularly in the observed versus expected prevalence of COPD in the community. NHS Wandsworth should work with all GPs, but particularly those with a large “diagnostic gap” to ensure that diagnostic processes are strengthened.</w:t>
      </w:r>
    </w:p>
    <w:p w:rsidR="00F43EB7" w:rsidRPr="001F2FF9" w:rsidRDefault="00F43EB7" w:rsidP="00F43EB7">
      <w:pPr>
        <w:pStyle w:val="ListParagraph"/>
        <w:rPr>
          <w:rFonts w:ascii="Arial" w:eastAsia="Times New Roman" w:hAnsi="Arial" w:cs="Arial"/>
          <w:bCs/>
          <w:lang w:eastAsia="en-GB"/>
        </w:rPr>
      </w:pPr>
    </w:p>
    <w:p w:rsidR="00426117" w:rsidRPr="001F2FF9" w:rsidRDefault="008056C9" w:rsidP="00F43EB7">
      <w:pPr>
        <w:pStyle w:val="ListParagraph"/>
        <w:numPr>
          <w:ilvl w:val="0"/>
          <w:numId w:val="27"/>
        </w:numPr>
        <w:spacing w:after="0"/>
        <w:rPr>
          <w:rFonts w:ascii="Arial" w:eastAsia="Times New Roman" w:hAnsi="Arial" w:cs="Arial"/>
          <w:bCs/>
          <w:lang w:eastAsia="en-GB"/>
        </w:rPr>
      </w:pPr>
      <w:r>
        <w:rPr>
          <w:rFonts w:ascii="Arial" w:eastAsia="Times New Roman" w:hAnsi="Arial" w:cs="Arial"/>
          <w:bCs/>
          <w:lang w:eastAsia="en-GB"/>
        </w:rPr>
        <w:t xml:space="preserve">Existing practice based commissioning clusters </w:t>
      </w:r>
      <w:r w:rsidR="00426117" w:rsidRPr="001F2FF9">
        <w:rPr>
          <w:rFonts w:ascii="Arial" w:eastAsia="Times New Roman" w:hAnsi="Arial" w:cs="Arial"/>
          <w:bCs/>
          <w:lang w:eastAsia="en-GB"/>
        </w:rPr>
        <w:t xml:space="preserve">or </w:t>
      </w:r>
      <w:r w:rsidR="00D913A0">
        <w:rPr>
          <w:rFonts w:ascii="Arial" w:eastAsia="Times New Roman" w:hAnsi="Arial" w:cs="Arial"/>
          <w:bCs/>
          <w:lang w:eastAsia="en-GB"/>
        </w:rPr>
        <w:t>potential</w:t>
      </w:r>
      <w:r>
        <w:rPr>
          <w:rFonts w:ascii="Arial" w:eastAsia="Times New Roman" w:hAnsi="Arial" w:cs="Arial"/>
          <w:bCs/>
          <w:lang w:eastAsia="en-GB"/>
        </w:rPr>
        <w:t xml:space="preserve"> future </w:t>
      </w:r>
      <w:r w:rsidR="00426117" w:rsidRPr="001F2FF9">
        <w:rPr>
          <w:rFonts w:ascii="Arial" w:eastAsia="Times New Roman" w:hAnsi="Arial" w:cs="Arial"/>
          <w:bCs/>
          <w:lang w:eastAsia="en-GB"/>
        </w:rPr>
        <w:t>pol</w:t>
      </w:r>
      <w:r>
        <w:rPr>
          <w:rFonts w:ascii="Arial" w:eastAsia="Times New Roman" w:hAnsi="Arial" w:cs="Arial"/>
          <w:bCs/>
          <w:lang w:eastAsia="en-GB"/>
        </w:rPr>
        <w:t>ysystem should take local action to deal with specific local areas of poor performance. T</w:t>
      </w:r>
      <w:r w:rsidR="00D913A0">
        <w:rPr>
          <w:rFonts w:ascii="Arial" w:eastAsia="Times New Roman" w:hAnsi="Arial" w:cs="Arial"/>
          <w:bCs/>
          <w:lang w:eastAsia="en-GB"/>
        </w:rPr>
        <w:t>h</w:t>
      </w:r>
      <w:r>
        <w:rPr>
          <w:rFonts w:ascii="Arial" w:eastAsia="Times New Roman" w:hAnsi="Arial" w:cs="Arial"/>
          <w:bCs/>
          <w:lang w:eastAsia="en-GB"/>
        </w:rPr>
        <w:t>is applies in particular to the South Wandsw</w:t>
      </w:r>
      <w:r w:rsidR="00D913A0">
        <w:rPr>
          <w:rFonts w:ascii="Arial" w:eastAsia="Times New Roman" w:hAnsi="Arial" w:cs="Arial"/>
          <w:bCs/>
          <w:lang w:eastAsia="en-GB"/>
        </w:rPr>
        <w:t>o</w:t>
      </w:r>
      <w:r>
        <w:rPr>
          <w:rFonts w:ascii="Arial" w:eastAsia="Times New Roman" w:hAnsi="Arial" w:cs="Arial"/>
          <w:bCs/>
          <w:lang w:eastAsia="en-GB"/>
        </w:rPr>
        <w:t>rth Polysystem, which has higher levels of variability in performance than other areas.</w:t>
      </w:r>
    </w:p>
    <w:p w:rsidR="00426117" w:rsidRPr="001F2FF9" w:rsidRDefault="00426117" w:rsidP="00575DB3">
      <w:pPr>
        <w:spacing w:after="0"/>
        <w:rPr>
          <w:rFonts w:ascii="Arial" w:eastAsia="Times New Roman" w:hAnsi="Arial" w:cs="Arial"/>
          <w:bCs/>
          <w:lang w:eastAsia="en-GB"/>
        </w:rPr>
      </w:pPr>
    </w:p>
    <w:p w:rsidR="0018496D" w:rsidRPr="001F2FF9" w:rsidRDefault="0015605F" w:rsidP="00F43EB7">
      <w:pPr>
        <w:pStyle w:val="ListParagraph"/>
        <w:numPr>
          <w:ilvl w:val="0"/>
          <w:numId w:val="27"/>
        </w:numPr>
        <w:spacing w:after="0"/>
        <w:rPr>
          <w:rFonts w:ascii="Arial" w:eastAsia="Times New Roman" w:hAnsi="Arial" w:cs="Arial"/>
          <w:bCs/>
          <w:lang w:eastAsia="en-GB"/>
        </w:rPr>
      </w:pPr>
      <w:r w:rsidRPr="001F2FF9">
        <w:rPr>
          <w:rFonts w:ascii="Arial" w:eastAsia="Times New Roman" w:hAnsi="Arial" w:cs="Arial"/>
          <w:bCs/>
          <w:lang w:eastAsia="en-GB"/>
        </w:rPr>
        <w:t xml:space="preserve">The PCT needs to work with its partners at St George’s Hospital to </w:t>
      </w:r>
      <w:r w:rsidR="00224E45" w:rsidRPr="001F2FF9">
        <w:rPr>
          <w:rFonts w:ascii="Arial" w:eastAsia="Times New Roman" w:hAnsi="Arial" w:cs="Arial"/>
          <w:bCs/>
          <w:lang w:eastAsia="en-GB"/>
        </w:rPr>
        <w:t>strengthen</w:t>
      </w:r>
      <w:r w:rsidRPr="001F2FF9">
        <w:rPr>
          <w:rFonts w:ascii="Arial" w:eastAsia="Times New Roman" w:hAnsi="Arial" w:cs="Arial"/>
          <w:bCs/>
          <w:lang w:eastAsia="en-GB"/>
        </w:rPr>
        <w:t xml:space="preserve"> the nature of discharge provision, ideally in the form of an assisted discharge service, commissioned to NICE standards.</w:t>
      </w:r>
      <w:r w:rsidR="001F2FF9" w:rsidRPr="001F2FF9">
        <w:rPr>
          <w:rFonts w:ascii="Arial" w:eastAsia="Times New Roman" w:hAnsi="Arial" w:cs="Arial"/>
          <w:bCs/>
          <w:lang w:eastAsia="en-GB"/>
        </w:rPr>
        <w:t xml:space="preserve"> This may lead to shorter stays in hospital, and lower readmission rates.</w:t>
      </w:r>
      <w:r w:rsidR="00224E45">
        <w:rPr>
          <w:rFonts w:ascii="Arial" w:eastAsia="Times New Roman" w:hAnsi="Arial" w:cs="Arial"/>
          <w:bCs/>
          <w:lang w:eastAsia="en-GB"/>
        </w:rPr>
        <w:t xml:space="preserve"> </w:t>
      </w:r>
    </w:p>
    <w:p w:rsidR="0015605F" w:rsidRPr="001F2FF9" w:rsidRDefault="0015605F" w:rsidP="00575DB3">
      <w:pPr>
        <w:spacing w:after="0"/>
        <w:rPr>
          <w:rFonts w:ascii="Arial" w:eastAsia="Times New Roman" w:hAnsi="Arial" w:cs="Arial"/>
          <w:bCs/>
          <w:lang w:eastAsia="en-GB"/>
        </w:rPr>
      </w:pPr>
    </w:p>
    <w:p w:rsidR="0015605F" w:rsidRPr="001F2FF9" w:rsidRDefault="0015605F" w:rsidP="00F43EB7">
      <w:pPr>
        <w:pStyle w:val="ListParagraph"/>
        <w:numPr>
          <w:ilvl w:val="0"/>
          <w:numId w:val="27"/>
        </w:numPr>
        <w:spacing w:after="0"/>
        <w:rPr>
          <w:rFonts w:ascii="Arial" w:eastAsia="Times New Roman" w:hAnsi="Arial" w:cs="Arial"/>
          <w:bCs/>
          <w:lang w:eastAsia="en-GB"/>
        </w:rPr>
      </w:pPr>
      <w:r w:rsidRPr="001F2FF9">
        <w:rPr>
          <w:rFonts w:ascii="Arial" w:eastAsia="Times New Roman" w:hAnsi="Arial" w:cs="Arial"/>
          <w:bCs/>
          <w:lang w:eastAsia="en-GB"/>
        </w:rPr>
        <w:t xml:space="preserve">The PCT needs to consider expanding </w:t>
      </w:r>
      <w:r w:rsidR="00224E45" w:rsidRPr="001F2FF9">
        <w:rPr>
          <w:rFonts w:ascii="Arial" w:eastAsia="Times New Roman" w:hAnsi="Arial" w:cs="Arial"/>
          <w:bCs/>
          <w:lang w:eastAsia="en-GB"/>
        </w:rPr>
        <w:t>existing</w:t>
      </w:r>
      <w:r w:rsidRPr="001F2FF9">
        <w:rPr>
          <w:rFonts w:ascii="Arial" w:eastAsia="Times New Roman" w:hAnsi="Arial" w:cs="Arial"/>
          <w:bCs/>
          <w:lang w:eastAsia="en-GB"/>
        </w:rPr>
        <w:t xml:space="preserve"> </w:t>
      </w:r>
      <w:r w:rsidR="00224E45" w:rsidRPr="001F2FF9">
        <w:rPr>
          <w:rFonts w:ascii="Arial" w:eastAsia="Times New Roman" w:hAnsi="Arial" w:cs="Arial"/>
          <w:bCs/>
          <w:lang w:eastAsia="en-GB"/>
        </w:rPr>
        <w:t>provision</w:t>
      </w:r>
      <w:r w:rsidRPr="001F2FF9">
        <w:rPr>
          <w:rFonts w:ascii="Arial" w:eastAsia="Times New Roman" w:hAnsi="Arial" w:cs="Arial"/>
          <w:bCs/>
          <w:lang w:eastAsia="en-GB"/>
        </w:rPr>
        <w:t xml:space="preserve"> of pulmonary rehabilitation services, in order to meet the increasin</w:t>
      </w:r>
      <w:r w:rsidR="0069688B">
        <w:rPr>
          <w:rFonts w:ascii="Arial" w:eastAsia="Times New Roman" w:hAnsi="Arial" w:cs="Arial"/>
          <w:bCs/>
          <w:lang w:eastAsia="en-GB"/>
        </w:rPr>
        <w:t>gly unmet need for this service as outlined in the separate needs assessment.</w:t>
      </w:r>
    </w:p>
    <w:p w:rsidR="00E55BCD" w:rsidRPr="001F2FF9" w:rsidRDefault="00E55BCD" w:rsidP="00575DB3">
      <w:pPr>
        <w:spacing w:after="0"/>
        <w:rPr>
          <w:rFonts w:ascii="Arial" w:eastAsia="Times New Roman" w:hAnsi="Arial" w:cs="Arial"/>
          <w:bCs/>
          <w:lang w:eastAsia="en-GB"/>
        </w:rPr>
      </w:pPr>
    </w:p>
    <w:p w:rsidR="0015605F" w:rsidRPr="001F2FF9" w:rsidRDefault="0015605F" w:rsidP="00F43EB7">
      <w:pPr>
        <w:pStyle w:val="ListParagraph"/>
        <w:numPr>
          <w:ilvl w:val="0"/>
          <w:numId w:val="27"/>
        </w:numPr>
        <w:spacing w:after="0"/>
        <w:rPr>
          <w:rFonts w:ascii="Arial" w:eastAsia="Times New Roman" w:hAnsi="Arial" w:cs="Arial"/>
          <w:bCs/>
          <w:lang w:eastAsia="en-GB"/>
        </w:rPr>
      </w:pPr>
      <w:r w:rsidRPr="001F2FF9">
        <w:rPr>
          <w:rFonts w:ascii="Arial" w:eastAsia="Times New Roman" w:hAnsi="Arial" w:cs="Arial"/>
          <w:bCs/>
          <w:lang w:eastAsia="en-GB"/>
        </w:rPr>
        <w:t>The PCT should wo</w:t>
      </w:r>
      <w:r w:rsidR="001F2FF9" w:rsidRPr="001F2FF9">
        <w:rPr>
          <w:rFonts w:ascii="Arial" w:eastAsia="Times New Roman" w:hAnsi="Arial" w:cs="Arial"/>
          <w:bCs/>
          <w:lang w:eastAsia="en-GB"/>
        </w:rPr>
        <w:t>rk with its community respiratory</w:t>
      </w:r>
      <w:r w:rsidRPr="001F2FF9">
        <w:rPr>
          <w:rFonts w:ascii="Arial" w:eastAsia="Times New Roman" w:hAnsi="Arial" w:cs="Arial"/>
          <w:bCs/>
          <w:lang w:eastAsia="en-GB"/>
        </w:rPr>
        <w:t xml:space="preserve"> t</w:t>
      </w:r>
      <w:r w:rsidR="008056C9">
        <w:rPr>
          <w:rFonts w:ascii="Arial" w:eastAsia="Times New Roman" w:hAnsi="Arial" w:cs="Arial"/>
          <w:bCs/>
          <w:lang w:eastAsia="en-GB"/>
        </w:rPr>
        <w:t>e</w:t>
      </w:r>
      <w:r w:rsidRPr="001F2FF9">
        <w:rPr>
          <w:rFonts w:ascii="Arial" w:eastAsia="Times New Roman" w:hAnsi="Arial" w:cs="Arial"/>
          <w:bCs/>
          <w:lang w:eastAsia="en-GB"/>
        </w:rPr>
        <w:t xml:space="preserve">am to develop systems to generate </w:t>
      </w:r>
      <w:r w:rsidR="001F2FF9" w:rsidRPr="001F2FF9">
        <w:rPr>
          <w:rFonts w:ascii="Arial" w:eastAsia="Times New Roman" w:hAnsi="Arial" w:cs="Arial"/>
          <w:bCs/>
          <w:lang w:eastAsia="en-GB"/>
        </w:rPr>
        <w:t>stronger</w:t>
      </w:r>
      <w:r w:rsidRPr="001F2FF9">
        <w:rPr>
          <w:rFonts w:ascii="Arial" w:eastAsia="Times New Roman" w:hAnsi="Arial" w:cs="Arial"/>
          <w:bCs/>
          <w:lang w:eastAsia="en-GB"/>
        </w:rPr>
        <w:t xml:space="preserve"> measures of process and </w:t>
      </w:r>
      <w:r w:rsidR="001F2FF9" w:rsidRPr="001F2FF9">
        <w:rPr>
          <w:rFonts w:ascii="Arial" w:eastAsia="Times New Roman" w:hAnsi="Arial" w:cs="Arial"/>
          <w:bCs/>
          <w:lang w:eastAsia="en-GB"/>
        </w:rPr>
        <w:t>activity</w:t>
      </w:r>
      <w:r w:rsidRPr="001F2FF9">
        <w:rPr>
          <w:rFonts w:ascii="Arial" w:eastAsia="Times New Roman" w:hAnsi="Arial" w:cs="Arial"/>
          <w:bCs/>
          <w:lang w:eastAsia="en-GB"/>
        </w:rPr>
        <w:t xml:space="preserve"> around COPD service provision.</w:t>
      </w:r>
      <w:r w:rsidR="008056C9">
        <w:rPr>
          <w:rFonts w:ascii="Arial" w:eastAsia="Times New Roman" w:hAnsi="Arial" w:cs="Arial"/>
          <w:bCs/>
          <w:lang w:eastAsia="en-GB"/>
        </w:rPr>
        <w:t xml:space="preserve"> In particular, it should collect and report data on levels of</w:t>
      </w:r>
      <w:r w:rsidR="00FA2AFF">
        <w:rPr>
          <w:rFonts w:ascii="Arial" w:eastAsia="Times New Roman" w:hAnsi="Arial" w:cs="Arial"/>
          <w:bCs/>
          <w:lang w:eastAsia="en-GB"/>
        </w:rPr>
        <w:t xml:space="preserve"> </w:t>
      </w:r>
      <w:r w:rsidR="008056C9">
        <w:rPr>
          <w:rFonts w:ascii="Arial" w:eastAsia="Times New Roman" w:hAnsi="Arial" w:cs="Arial"/>
          <w:bCs/>
          <w:lang w:eastAsia="en-GB"/>
        </w:rPr>
        <w:t>activity at specialist clinics and during the new weekend on call.</w:t>
      </w:r>
    </w:p>
    <w:p w:rsidR="0088200E" w:rsidRPr="001F2FF9" w:rsidRDefault="0088200E" w:rsidP="00575DB3">
      <w:pPr>
        <w:spacing w:after="0"/>
        <w:rPr>
          <w:rFonts w:ascii="Arial" w:eastAsia="Times New Roman" w:hAnsi="Arial" w:cs="Arial"/>
          <w:bCs/>
          <w:lang w:eastAsia="en-GB"/>
        </w:rPr>
      </w:pPr>
    </w:p>
    <w:p w:rsidR="004E41BC" w:rsidRDefault="008056C9" w:rsidP="00F43EB7">
      <w:pPr>
        <w:pStyle w:val="ListParagraph"/>
        <w:numPr>
          <w:ilvl w:val="0"/>
          <w:numId w:val="27"/>
        </w:numPr>
        <w:spacing w:after="0"/>
        <w:rPr>
          <w:rFonts w:ascii="Arial" w:eastAsia="Times New Roman" w:hAnsi="Arial" w:cs="Arial"/>
          <w:bCs/>
          <w:lang w:eastAsia="en-GB"/>
        </w:rPr>
      </w:pPr>
      <w:r>
        <w:rPr>
          <w:rFonts w:ascii="Arial" w:eastAsia="Times New Roman" w:hAnsi="Arial" w:cs="Arial"/>
          <w:bCs/>
          <w:lang w:eastAsia="en-GB"/>
        </w:rPr>
        <w:t>Audits of COPD</w:t>
      </w:r>
      <w:r w:rsidR="00D913A0">
        <w:rPr>
          <w:rFonts w:ascii="Arial" w:eastAsia="Times New Roman" w:hAnsi="Arial" w:cs="Arial"/>
          <w:bCs/>
          <w:lang w:eastAsia="en-GB"/>
        </w:rPr>
        <w:t xml:space="preserve"> management</w:t>
      </w:r>
      <w:r>
        <w:rPr>
          <w:rFonts w:ascii="Arial" w:eastAsia="Times New Roman" w:hAnsi="Arial" w:cs="Arial"/>
          <w:bCs/>
          <w:lang w:eastAsia="en-GB"/>
        </w:rPr>
        <w:t xml:space="preserve"> should be undertaken in primary and secondary care, to measure </w:t>
      </w:r>
      <w:r w:rsidR="00D913A0">
        <w:rPr>
          <w:rFonts w:ascii="Arial" w:eastAsia="Times New Roman" w:hAnsi="Arial" w:cs="Arial"/>
          <w:bCs/>
          <w:lang w:eastAsia="en-GB"/>
        </w:rPr>
        <w:t>compliance with local and NICE guidance.</w:t>
      </w:r>
    </w:p>
    <w:p w:rsidR="00F14ACF" w:rsidRDefault="00F14ACF" w:rsidP="00F14ACF">
      <w:pPr>
        <w:pStyle w:val="ListParagraph"/>
        <w:spacing w:after="0"/>
        <w:rPr>
          <w:rFonts w:ascii="Arial" w:eastAsia="Times New Roman" w:hAnsi="Arial" w:cs="Arial"/>
          <w:bCs/>
          <w:lang w:eastAsia="en-GB"/>
        </w:rPr>
      </w:pPr>
    </w:p>
    <w:p w:rsidR="00F14ACF" w:rsidRPr="001F2FF9" w:rsidRDefault="00F14ACF" w:rsidP="00F43EB7">
      <w:pPr>
        <w:pStyle w:val="ListParagraph"/>
        <w:numPr>
          <w:ilvl w:val="0"/>
          <w:numId w:val="27"/>
        </w:numPr>
        <w:spacing w:after="0"/>
        <w:rPr>
          <w:rFonts w:ascii="Arial" w:eastAsia="Times New Roman" w:hAnsi="Arial" w:cs="Arial"/>
          <w:bCs/>
          <w:lang w:eastAsia="en-GB"/>
        </w:rPr>
      </w:pPr>
      <w:r>
        <w:rPr>
          <w:rFonts w:ascii="Arial" w:eastAsia="Times New Roman" w:hAnsi="Arial" w:cs="Arial"/>
          <w:bCs/>
          <w:lang w:eastAsia="en-GB"/>
        </w:rPr>
        <w:t>Given the prevalence of the main risk factor for COPD, smoking, in the borough of Wandsworth, the PCT should place continued emphasis on the development of smoking cessation ser</w:t>
      </w:r>
      <w:r w:rsidR="00FC1A29">
        <w:rPr>
          <w:rFonts w:ascii="Arial" w:eastAsia="Times New Roman" w:hAnsi="Arial" w:cs="Arial"/>
          <w:bCs/>
          <w:lang w:eastAsia="en-GB"/>
        </w:rPr>
        <w:t>vices at the primary care level, and also aim to improve health promotion activities in hospitals.</w:t>
      </w:r>
    </w:p>
    <w:p w:rsidR="004E41BC" w:rsidRPr="001F2FF9" w:rsidRDefault="004E41BC" w:rsidP="00575DB3">
      <w:pPr>
        <w:spacing w:after="0"/>
        <w:rPr>
          <w:rFonts w:ascii="Arial" w:eastAsia="Times New Roman" w:hAnsi="Arial" w:cs="Arial"/>
          <w:bCs/>
          <w:lang w:eastAsia="en-GB"/>
        </w:rPr>
      </w:pPr>
    </w:p>
    <w:p w:rsidR="00E8586A" w:rsidRDefault="00E8586A">
      <w:pPr>
        <w:rPr>
          <w:rFonts w:ascii="Arial" w:eastAsia="Times New Roman" w:hAnsi="Arial" w:cs="Arial"/>
          <w:b/>
          <w:bCs/>
          <w:lang w:eastAsia="en-GB"/>
        </w:rPr>
      </w:pPr>
      <w:r>
        <w:rPr>
          <w:rFonts w:ascii="Arial" w:eastAsia="Times New Roman" w:hAnsi="Arial" w:cs="Arial"/>
          <w:b/>
          <w:bCs/>
          <w:lang w:eastAsia="en-GB"/>
        </w:rPr>
        <w:br w:type="page"/>
      </w:r>
    </w:p>
    <w:p w:rsidR="00E55BCD" w:rsidRDefault="0088200E" w:rsidP="00575DB3">
      <w:pPr>
        <w:pStyle w:val="Heading1"/>
        <w:spacing w:line="276" w:lineRule="auto"/>
      </w:pPr>
      <w:bookmarkStart w:id="57" w:name="_Toc256345768"/>
      <w:r>
        <w:lastRenderedPageBreak/>
        <w:t>A</w:t>
      </w:r>
      <w:r w:rsidR="00960A6D">
        <w:t>ppendix 1: Management Protocols NICE</w:t>
      </w:r>
      <w:bookmarkEnd w:id="57"/>
    </w:p>
    <w:p w:rsidR="0023568A" w:rsidRDefault="0023568A" w:rsidP="00622BED">
      <w:pPr>
        <w:pStyle w:val="Heading2"/>
      </w:pPr>
      <w:r>
        <w:t>Diagnosis</w:t>
      </w:r>
    </w:p>
    <w:p w:rsidR="0023568A" w:rsidRDefault="0023568A" w:rsidP="00575DB3">
      <w:pPr>
        <w:spacing w:after="0"/>
        <w:rPr>
          <w:rFonts w:ascii="Arial" w:eastAsia="Times New Roman" w:hAnsi="Arial" w:cs="Arial"/>
          <w:b/>
          <w:bCs/>
          <w:lang w:eastAsia="en-GB"/>
        </w:rPr>
      </w:pPr>
    </w:p>
    <w:p w:rsidR="0023568A" w:rsidRDefault="0023568A" w:rsidP="00575DB3">
      <w:pPr>
        <w:spacing w:after="0"/>
        <w:rPr>
          <w:rFonts w:ascii="Arial" w:eastAsia="Times New Roman" w:hAnsi="Arial" w:cs="Arial"/>
          <w:b/>
          <w:bCs/>
          <w:lang w:eastAsia="en-GB"/>
        </w:rPr>
      </w:pPr>
      <w:r w:rsidRPr="0023568A">
        <w:rPr>
          <w:rFonts w:ascii="Arial" w:eastAsia="Times New Roman" w:hAnsi="Arial" w:cs="Arial"/>
          <w:b/>
          <w:bCs/>
          <w:noProof/>
          <w:lang w:eastAsia="en-GB"/>
        </w:rPr>
        <w:drawing>
          <wp:inline distT="0" distB="0" distL="0" distR="0">
            <wp:extent cx="5731510" cy="5216684"/>
            <wp:effectExtent l="19050" t="0" r="254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5731510" cy="5216684"/>
                    </a:xfrm>
                    <a:prstGeom prst="rect">
                      <a:avLst/>
                    </a:prstGeom>
                    <a:noFill/>
                    <a:ln w="9525">
                      <a:noFill/>
                      <a:miter lim="800000"/>
                      <a:headEnd/>
                      <a:tailEnd/>
                    </a:ln>
                  </pic:spPr>
                </pic:pic>
              </a:graphicData>
            </a:graphic>
          </wp:inline>
        </w:drawing>
      </w:r>
    </w:p>
    <w:p w:rsidR="0023568A" w:rsidRDefault="0023568A" w:rsidP="00575DB3">
      <w:pPr>
        <w:spacing w:after="0"/>
        <w:rPr>
          <w:rFonts w:ascii="Arial" w:eastAsia="Times New Roman" w:hAnsi="Arial" w:cs="Arial"/>
          <w:b/>
          <w:bCs/>
          <w:lang w:eastAsia="en-GB"/>
        </w:rPr>
      </w:pPr>
    </w:p>
    <w:p w:rsidR="0023568A" w:rsidRDefault="0023568A" w:rsidP="00575DB3">
      <w:pPr>
        <w:spacing w:after="0"/>
        <w:rPr>
          <w:rFonts w:ascii="Arial" w:eastAsia="Times New Roman" w:hAnsi="Arial" w:cs="Arial"/>
          <w:b/>
          <w:bCs/>
          <w:lang w:eastAsia="en-GB"/>
        </w:rPr>
      </w:pPr>
    </w:p>
    <w:p w:rsidR="0023568A" w:rsidRDefault="0023568A" w:rsidP="00575DB3">
      <w:pPr>
        <w:spacing w:after="0"/>
        <w:rPr>
          <w:rFonts w:ascii="Arial" w:eastAsia="Times New Roman" w:hAnsi="Arial" w:cs="Arial"/>
          <w:b/>
          <w:bCs/>
          <w:lang w:eastAsia="en-GB"/>
        </w:rPr>
      </w:pPr>
    </w:p>
    <w:p w:rsidR="00960A6D" w:rsidRPr="00433711" w:rsidRDefault="00960A6D" w:rsidP="00575DB3">
      <w:pPr>
        <w:spacing w:after="0"/>
        <w:rPr>
          <w:rFonts w:ascii="Arial" w:eastAsia="Times New Roman" w:hAnsi="Arial" w:cs="Arial"/>
          <w:b/>
          <w:bCs/>
          <w:lang w:eastAsia="en-GB"/>
        </w:rPr>
      </w:pPr>
    </w:p>
    <w:p w:rsidR="00C41719" w:rsidRPr="00433711" w:rsidRDefault="00C41719" w:rsidP="00575DB3">
      <w:pPr>
        <w:spacing w:after="0"/>
        <w:rPr>
          <w:rFonts w:ascii="Arial" w:eastAsia="Times New Roman" w:hAnsi="Arial" w:cs="Arial"/>
          <w:b/>
          <w:bCs/>
          <w:lang w:eastAsia="en-GB"/>
        </w:rPr>
      </w:pPr>
    </w:p>
    <w:p w:rsidR="0023568A" w:rsidRDefault="0023568A" w:rsidP="00575DB3">
      <w:pPr>
        <w:spacing w:after="0"/>
        <w:rPr>
          <w:rFonts w:ascii="Arial" w:eastAsia="Times New Roman" w:hAnsi="Arial" w:cs="Arial"/>
          <w:b/>
          <w:bCs/>
          <w:lang w:eastAsia="en-GB"/>
        </w:rPr>
      </w:pPr>
    </w:p>
    <w:p w:rsidR="0023568A" w:rsidRDefault="0023568A" w:rsidP="00575DB3">
      <w:pPr>
        <w:spacing w:after="0"/>
        <w:rPr>
          <w:rFonts w:ascii="Arial" w:eastAsia="Times New Roman" w:hAnsi="Arial" w:cs="Arial"/>
          <w:b/>
          <w:bCs/>
          <w:lang w:eastAsia="en-GB"/>
        </w:rPr>
      </w:pPr>
    </w:p>
    <w:p w:rsidR="0023568A" w:rsidRDefault="0023568A" w:rsidP="00575DB3">
      <w:pPr>
        <w:spacing w:after="0"/>
        <w:rPr>
          <w:rFonts w:ascii="Arial" w:eastAsia="Times New Roman" w:hAnsi="Arial" w:cs="Arial"/>
          <w:b/>
          <w:bCs/>
          <w:lang w:eastAsia="en-GB"/>
        </w:rPr>
      </w:pPr>
    </w:p>
    <w:p w:rsidR="0023568A" w:rsidRDefault="0023568A" w:rsidP="00575DB3">
      <w:pPr>
        <w:spacing w:after="0"/>
        <w:rPr>
          <w:rFonts w:ascii="Arial" w:eastAsia="Times New Roman" w:hAnsi="Arial" w:cs="Arial"/>
          <w:b/>
          <w:bCs/>
          <w:lang w:eastAsia="en-GB"/>
        </w:rPr>
      </w:pPr>
    </w:p>
    <w:p w:rsidR="0023568A" w:rsidRDefault="0023568A" w:rsidP="00575DB3">
      <w:pPr>
        <w:spacing w:after="0"/>
        <w:rPr>
          <w:rFonts w:ascii="Arial" w:eastAsia="Times New Roman" w:hAnsi="Arial" w:cs="Arial"/>
          <w:b/>
          <w:bCs/>
          <w:lang w:eastAsia="en-GB"/>
        </w:rPr>
      </w:pPr>
    </w:p>
    <w:p w:rsidR="0023568A" w:rsidRDefault="0023568A" w:rsidP="00575DB3">
      <w:pPr>
        <w:spacing w:after="0"/>
        <w:rPr>
          <w:rFonts w:ascii="Arial" w:eastAsia="Times New Roman" w:hAnsi="Arial" w:cs="Arial"/>
          <w:b/>
          <w:bCs/>
          <w:lang w:eastAsia="en-GB"/>
        </w:rPr>
      </w:pPr>
    </w:p>
    <w:p w:rsidR="0023568A" w:rsidRDefault="0023568A" w:rsidP="00575DB3">
      <w:pPr>
        <w:spacing w:after="0"/>
        <w:rPr>
          <w:rFonts w:ascii="Arial" w:eastAsia="Times New Roman" w:hAnsi="Arial" w:cs="Arial"/>
          <w:b/>
          <w:bCs/>
          <w:lang w:eastAsia="en-GB"/>
        </w:rPr>
      </w:pPr>
    </w:p>
    <w:p w:rsidR="008D6ED0" w:rsidRDefault="008D6ED0">
      <w:pPr>
        <w:rPr>
          <w:rFonts w:ascii="Arial" w:eastAsia="Times New Roman" w:hAnsi="Arial" w:cs="Arial"/>
          <w:b/>
          <w:bCs/>
          <w:lang w:eastAsia="en-GB"/>
        </w:rPr>
      </w:pPr>
      <w:r>
        <w:rPr>
          <w:rFonts w:ascii="Arial" w:eastAsia="Times New Roman" w:hAnsi="Arial" w:cs="Arial"/>
          <w:b/>
          <w:bCs/>
          <w:lang w:eastAsia="en-GB"/>
        </w:rPr>
        <w:br w:type="page"/>
      </w:r>
    </w:p>
    <w:p w:rsidR="002E5B89" w:rsidRPr="00433711" w:rsidRDefault="0023568A" w:rsidP="00622BED">
      <w:pPr>
        <w:pStyle w:val="Heading2"/>
      </w:pPr>
      <w:r>
        <w:lastRenderedPageBreak/>
        <w:t>Management of Acute Exacerbations</w:t>
      </w:r>
    </w:p>
    <w:p w:rsidR="00643BBA" w:rsidRPr="00433711" w:rsidRDefault="0023568A" w:rsidP="00575DB3">
      <w:pPr>
        <w:spacing w:after="0"/>
        <w:rPr>
          <w:rFonts w:ascii="Arial" w:eastAsia="Times New Roman" w:hAnsi="Arial" w:cs="Arial"/>
          <w:b/>
          <w:bCs/>
          <w:lang w:eastAsia="en-GB"/>
        </w:rPr>
      </w:pPr>
      <w:r w:rsidRPr="0023568A">
        <w:rPr>
          <w:rFonts w:ascii="Arial" w:eastAsia="Times New Roman" w:hAnsi="Arial" w:cs="Arial"/>
          <w:b/>
          <w:bCs/>
          <w:noProof/>
          <w:lang w:eastAsia="en-GB"/>
        </w:rPr>
        <w:drawing>
          <wp:inline distT="0" distB="0" distL="0" distR="0">
            <wp:extent cx="6010814" cy="5441077"/>
            <wp:effectExtent l="19050" t="0" r="8986"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6017085" cy="5446754"/>
                    </a:xfrm>
                    <a:prstGeom prst="rect">
                      <a:avLst/>
                    </a:prstGeom>
                    <a:noFill/>
                    <a:ln w="9525">
                      <a:noFill/>
                      <a:miter lim="800000"/>
                      <a:headEnd/>
                      <a:tailEnd/>
                    </a:ln>
                  </pic:spPr>
                </pic:pic>
              </a:graphicData>
            </a:graphic>
          </wp:inline>
        </w:drawing>
      </w:r>
    </w:p>
    <w:p w:rsidR="00643BBA" w:rsidRPr="00433711" w:rsidRDefault="00643BBA" w:rsidP="00575DB3">
      <w:pPr>
        <w:spacing w:after="0"/>
        <w:rPr>
          <w:rFonts w:ascii="Arial" w:eastAsia="Times New Roman" w:hAnsi="Arial" w:cs="Arial"/>
          <w:b/>
          <w:bCs/>
          <w:lang w:eastAsia="en-GB"/>
        </w:rPr>
      </w:pPr>
    </w:p>
    <w:p w:rsidR="00643BBA" w:rsidRPr="00433711" w:rsidRDefault="00643BBA" w:rsidP="00575DB3">
      <w:pPr>
        <w:spacing w:after="0"/>
        <w:rPr>
          <w:rFonts w:ascii="Arial" w:eastAsia="Times New Roman" w:hAnsi="Arial" w:cs="Arial"/>
          <w:b/>
          <w:bCs/>
          <w:lang w:eastAsia="en-GB"/>
        </w:rPr>
      </w:pPr>
    </w:p>
    <w:p w:rsidR="00643BBA" w:rsidRPr="00433711" w:rsidRDefault="00643BBA" w:rsidP="00575DB3">
      <w:pPr>
        <w:spacing w:after="0"/>
        <w:rPr>
          <w:rFonts w:ascii="Arial" w:eastAsia="Times New Roman" w:hAnsi="Arial" w:cs="Arial"/>
          <w:b/>
          <w:bCs/>
          <w:lang w:eastAsia="en-GB"/>
        </w:rPr>
      </w:pPr>
    </w:p>
    <w:p w:rsidR="00643BBA" w:rsidRPr="00433711" w:rsidRDefault="00643BBA" w:rsidP="00575DB3">
      <w:pPr>
        <w:spacing w:after="0"/>
        <w:rPr>
          <w:rFonts w:ascii="Arial" w:eastAsia="Times New Roman" w:hAnsi="Arial" w:cs="Arial"/>
          <w:b/>
          <w:bCs/>
          <w:lang w:eastAsia="en-GB"/>
        </w:rPr>
      </w:pPr>
    </w:p>
    <w:p w:rsidR="00643BBA" w:rsidRPr="00433711" w:rsidRDefault="00643BBA" w:rsidP="00575DB3">
      <w:pPr>
        <w:spacing w:after="0"/>
        <w:rPr>
          <w:rFonts w:ascii="Arial" w:eastAsia="Times New Roman" w:hAnsi="Arial" w:cs="Arial"/>
          <w:b/>
          <w:bCs/>
          <w:lang w:eastAsia="en-GB"/>
        </w:rPr>
      </w:pPr>
    </w:p>
    <w:p w:rsidR="0023568A" w:rsidRDefault="0023568A" w:rsidP="00575DB3">
      <w:pPr>
        <w:rPr>
          <w:rFonts w:ascii="Arial" w:eastAsia="Times New Roman" w:hAnsi="Arial" w:cs="Arial"/>
          <w:b/>
          <w:bCs/>
          <w:lang w:eastAsia="en-GB"/>
        </w:rPr>
      </w:pPr>
      <w:r>
        <w:rPr>
          <w:rFonts w:ascii="Arial" w:eastAsia="Times New Roman" w:hAnsi="Arial" w:cs="Arial"/>
          <w:b/>
          <w:bCs/>
          <w:lang w:eastAsia="en-GB"/>
        </w:rPr>
        <w:br w:type="page"/>
      </w:r>
    </w:p>
    <w:p w:rsidR="0023568A" w:rsidRDefault="0023568A" w:rsidP="00575DB3">
      <w:pPr>
        <w:pStyle w:val="Heading1"/>
        <w:spacing w:line="276" w:lineRule="auto"/>
      </w:pPr>
      <w:bookmarkStart w:id="58" w:name="_Toc256345769"/>
      <w:r>
        <w:lastRenderedPageBreak/>
        <w:t>Appendix 2: Management Protocols NHSW</w:t>
      </w:r>
      <w:bookmarkEnd w:id="58"/>
    </w:p>
    <w:p w:rsidR="0023568A" w:rsidRDefault="0023568A" w:rsidP="00770E50">
      <w:pPr>
        <w:pStyle w:val="Heading2"/>
      </w:pPr>
      <w:bookmarkStart w:id="59" w:name="_Toc256345770"/>
      <w:r>
        <w:t>NHSW protocol for the management of stable COPD</w:t>
      </w:r>
      <w:bookmarkEnd w:id="59"/>
    </w:p>
    <w:p w:rsidR="0023568A" w:rsidRPr="00751528" w:rsidRDefault="0023568A" w:rsidP="00751528">
      <w:pPr>
        <w:pStyle w:val="Caption"/>
      </w:pPr>
      <w:r w:rsidRPr="00751528">
        <w:t xml:space="preserve">Figure </w:t>
      </w:r>
      <w:fldSimple w:instr=" SEQ Figure \* ARABIC ">
        <w:r w:rsidR="00652BDF">
          <w:rPr>
            <w:noProof/>
          </w:rPr>
          <w:t>31</w:t>
        </w:r>
      </w:fldSimple>
    </w:p>
    <w:p w:rsidR="0023568A" w:rsidRPr="00433711" w:rsidRDefault="0023568A" w:rsidP="00575DB3">
      <w:pPr>
        <w:spacing w:after="0"/>
        <w:rPr>
          <w:rFonts w:ascii="Arial" w:eastAsia="Times New Roman" w:hAnsi="Arial" w:cs="Arial"/>
          <w:b/>
          <w:lang w:eastAsia="en-GB"/>
        </w:rPr>
      </w:pPr>
      <w:r w:rsidRPr="00433711">
        <w:rPr>
          <w:rFonts w:ascii="Arial" w:eastAsia="Times New Roman" w:hAnsi="Arial" w:cs="Arial"/>
          <w:b/>
          <w:noProof/>
          <w:lang w:eastAsia="en-GB"/>
        </w:rPr>
        <w:drawing>
          <wp:inline distT="0" distB="0" distL="0" distR="0">
            <wp:extent cx="5609240" cy="6979735"/>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5615958" cy="6988094"/>
                    </a:xfrm>
                    <a:prstGeom prst="rect">
                      <a:avLst/>
                    </a:prstGeom>
                    <a:noFill/>
                    <a:ln w="9525">
                      <a:noFill/>
                      <a:miter lim="800000"/>
                      <a:headEnd/>
                      <a:tailEnd/>
                    </a:ln>
                  </pic:spPr>
                </pic:pic>
              </a:graphicData>
            </a:graphic>
          </wp:inline>
        </w:drawing>
      </w:r>
    </w:p>
    <w:p w:rsidR="0023568A" w:rsidRPr="00433711" w:rsidRDefault="0023568A" w:rsidP="00575DB3">
      <w:pPr>
        <w:spacing w:after="0"/>
        <w:rPr>
          <w:rFonts w:ascii="Arial" w:eastAsia="Times New Roman" w:hAnsi="Arial" w:cs="Arial"/>
          <w:b/>
          <w:lang w:eastAsia="en-GB"/>
        </w:rPr>
      </w:pPr>
    </w:p>
    <w:p w:rsidR="0023568A" w:rsidRPr="00433711" w:rsidRDefault="0023568A" w:rsidP="00575DB3">
      <w:pPr>
        <w:spacing w:after="0"/>
        <w:rPr>
          <w:rFonts w:ascii="Arial" w:eastAsia="Times New Roman" w:hAnsi="Arial" w:cs="Arial"/>
          <w:b/>
          <w:lang w:eastAsia="en-GB"/>
        </w:rPr>
      </w:pPr>
    </w:p>
    <w:p w:rsidR="0023568A" w:rsidRPr="00433711" w:rsidRDefault="0023568A" w:rsidP="00575DB3">
      <w:pPr>
        <w:spacing w:after="0"/>
        <w:rPr>
          <w:rFonts w:ascii="Arial" w:eastAsia="Times New Roman" w:hAnsi="Arial" w:cs="Arial"/>
          <w:b/>
          <w:lang w:eastAsia="en-GB"/>
        </w:rPr>
      </w:pPr>
    </w:p>
    <w:p w:rsidR="0023568A" w:rsidRPr="00433711" w:rsidRDefault="0023568A" w:rsidP="00575DB3">
      <w:pPr>
        <w:spacing w:after="0"/>
        <w:rPr>
          <w:rFonts w:ascii="Arial" w:eastAsia="Times New Roman" w:hAnsi="Arial" w:cs="Arial"/>
          <w:b/>
          <w:lang w:eastAsia="en-GB"/>
        </w:rPr>
      </w:pPr>
    </w:p>
    <w:p w:rsidR="0023568A" w:rsidRPr="00433711" w:rsidRDefault="0023568A" w:rsidP="00575DB3">
      <w:pPr>
        <w:spacing w:after="0"/>
        <w:rPr>
          <w:rFonts w:ascii="Arial" w:eastAsia="Times New Roman" w:hAnsi="Arial" w:cs="Arial"/>
          <w:b/>
          <w:lang w:eastAsia="en-GB"/>
        </w:rPr>
      </w:pPr>
    </w:p>
    <w:p w:rsidR="0023568A" w:rsidRDefault="0023568A" w:rsidP="00770E50">
      <w:pPr>
        <w:pStyle w:val="Heading2"/>
      </w:pPr>
      <w:bookmarkStart w:id="60" w:name="_Toc256345771"/>
      <w:r>
        <w:lastRenderedPageBreak/>
        <w:t>NHSW protocol for the management of exacerbations of COPD</w:t>
      </w:r>
      <w:bookmarkEnd w:id="60"/>
    </w:p>
    <w:p w:rsidR="0023568A" w:rsidRPr="00433711" w:rsidRDefault="0023568A" w:rsidP="00575DB3">
      <w:pPr>
        <w:spacing w:after="0"/>
        <w:rPr>
          <w:rFonts w:ascii="Arial" w:eastAsia="Times New Roman" w:hAnsi="Arial" w:cs="Arial"/>
          <w:b/>
          <w:lang w:eastAsia="en-GB"/>
        </w:rPr>
      </w:pPr>
    </w:p>
    <w:p w:rsidR="0023568A" w:rsidRPr="00751528" w:rsidRDefault="0023568A" w:rsidP="00751528">
      <w:pPr>
        <w:pStyle w:val="Caption"/>
      </w:pPr>
      <w:r w:rsidRPr="00751528">
        <w:t xml:space="preserve">Figure </w:t>
      </w:r>
      <w:fldSimple w:instr=" SEQ Figure \* ARABIC ">
        <w:r w:rsidR="00652BDF">
          <w:rPr>
            <w:noProof/>
          </w:rPr>
          <w:t>32</w:t>
        </w:r>
      </w:fldSimple>
    </w:p>
    <w:p w:rsidR="0023568A" w:rsidRPr="00433711" w:rsidRDefault="0023568A" w:rsidP="00575DB3">
      <w:pPr>
        <w:spacing w:after="0"/>
        <w:rPr>
          <w:rFonts w:ascii="Arial" w:eastAsia="Times New Roman" w:hAnsi="Arial" w:cs="Arial"/>
          <w:b/>
          <w:lang w:eastAsia="en-GB"/>
        </w:rPr>
      </w:pPr>
      <w:r w:rsidRPr="00433711">
        <w:rPr>
          <w:rFonts w:ascii="Arial" w:eastAsia="Times New Roman" w:hAnsi="Arial" w:cs="Arial"/>
          <w:b/>
          <w:noProof/>
          <w:lang w:eastAsia="en-GB"/>
        </w:rPr>
        <w:drawing>
          <wp:inline distT="0" distB="0" distL="0" distR="0">
            <wp:extent cx="5731510" cy="6479015"/>
            <wp:effectExtent l="19050" t="0" r="254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srcRect/>
                    <a:stretch>
                      <a:fillRect/>
                    </a:stretch>
                  </pic:blipFill>
                  <pic:spPr bwMode="auto">
                    <a:xfrm>
                      <a:off x="0" y="0"/>
                      <a:ext cx="5731510" cy="6479015"/>
                    </a:xfrm>
                    <a:prstGeom prst="rect">
                      <a:avLst/>
                    </a:prstGeom>
                    <a:noFill/>
                    <a:ln w="9525">
                      <a:noFill/>
                      <a:miter lim="800000"/>
                      <a:headEnd/>
                      <a:tailEnd/>
                    </a:ln>
                  </pic:spPr>
                </pic:pic>
              </a:graphicData>
            </a:graphic>
          </wp:inline>
        </w:drawing>
      </w:r>
    </w:p>
    <w:p w:rsidR="0023568A" w:rsidRPr="00433711" w:rsidRDefault="0023568A" w:rsidP="00575DB3">
      <w:pPr>
        <w:spacing w:after="0"/>
        <w:rPr>
          <w:rFonts w:ascii="Arial" w:eastAsia="Times New Roman" w:hAnsi="Arial" w:cs="Arial"/>
          <w:b/>
          <w:lang w:eastAsia="en-GB"/>
        </w:rPr>
      </w:pPr>
    </w:p>
    <w:p w:rsidR="00643BBA" w:rsidRPr="00433711" w:rsidRDefault="00643BBA" w:rsidP="00575DB3">
      <w:pPr>
        <w:spacing w:after="0"/>
        <w:rPr>
          <w:rFonts w:ascii="Arial" w:eastAsia="Times New Roman" w:hAnsi="Arial" w:cs="Arial"/>
          <w:b/>
          <w:bCs/>
          <w:lang w:eastAsia="en-GB"/>
        </w:rPr>
      </w:pPr>
    </w:p>
    <w:p w:rsidR="00643BBA" w:rsidRPr="00433711" w:rsidRDefault="00643BBA" w:rsidP="00575DB3">
      <w:pPr>
        <w:spacing w:after="0"/>
        <w:rPr>
          <w:rFonts w:ascii="Arial" w:eastAsia="Times New Roman" w:hAnsi="Arial" w:cs="Arial"/>
          <w:b/>
          <w:bCs/>
          <w:lang w:eastAsia="en-GB"/>
        </w:rPr>
      </w:pPr>
    </w:p>
    <w:p w:rsidR="00643BBA" w:rsidRPr="00433711" w:rsidRDefault="00643BBA" w:rsidP="00575DB3">
      <w:pPr>
        <w:spacing w:after="0"/>
        <w:rPr>
          <w:rFonts w:ascii="Arial" w:eastAsia="Times New Roman" w:hAnsi="Arial" w:cs="Arial"/>
          <w:b/>
          <w:bCs/>
          <w:lang w:eastAsia="en-GB"/>
        </w:rPr>
      </w:pPr>
    </w:p>
    <w:p w:rsidR="00643BBA" w:rsidRPr="00433711" w:rsidRDefault="00643BBA" w:rsidP="00575DB3">
      <w:pPr>
        <w:spacing w:after="0"/>
        <w:rPr>
          <w:rFonts w:ascii="Arial" w:eastAsia="Times New Roman" w:hAnsi="Arial" w:cs="Arial"/>
          <w:b/>
          <w:bCs/>
          <w:lang w:eastAsia="en-GB"/>
        </w:rPr>
      </w:pPr>
    </w:p>
    <w:p w:rsidR="00643BBA" w:rsidRPr="00433711" w:rsidRDefault="00643BBA" w:rsidP="00575DB3">
      <w:pPr>
        <w:spacing w:after="0"/>
        <w:rPr>
          <w:rFonts w:ascii="Arial" w:eastAsia="Times New Roman" w:hAnsi="Arial" w:cs="Arial"/>
          <w:b/>
          <w:bCs/>
          <w:lang w:eastAsia="en-GB"/>
        </w:rPr>
      </w:pPr>
    </w:p>
    <w:p w:rsidR="00643BBA" w:rsidRPr="00433711" w:rsidRDefault="00643BBA" w:rsidP="00575DB3">
      <w:pPr>
        <w:spacing w:after="0"/>
        <w:rPr>
          <w:rFonts w:ascii="Arial" w:eastAsia="Times New Roman" w:hAnsi="Arial" w:cs="Arial"/>
          <w:b/>
          <w:bCs/>
          <w:lang w:eastAsia="en-GB"/>
        </w:rPr>
      </w:pPr>
    </w:p>
    <w:p w:rsidR="00643BBA" w:rsidRPr="00433711" w:rsidRDefault="00643BBA" w:rsidP="00575DB3">
      <w:pPr>
        <w:spacing w:after="0"/>
        <w:rPr>
          <w:rFonts w:ascii="Arial" w:eastAsia="Times New Roman" w:hAnsi="Arial" w:cs="Arial"/>
          <w:b/>
          <w:bCs/>
          <w:lang w:eastAsia="en-GB"/>
        </w:rPr>
      </w:pPr>
    </w:p>
    <w:p w:rsidR="00643BBA" w:rsidRDefault="00643BBA" w:rsidP="00040119">
      <w:pPr>
        <w:spacing w:after="0"/>
        <w:rPr>
          <w:rFonts w:ascii="Arial" w:eastAsia="Times New Roman" w:hAnsi="Arial" w:cs="Arial"/>
          <w:b/>
          <w:bCs/>
          <w:lang w:eastAsia="en-GB"/>
        </w:rPr>
      </w:pPr>
    </w:p>
    <w:p w:rsidR="009922E0" w:rsidRDefault="009922E0" w:rsidP="00D52357">
      <w:pPr>
        <w:pStyle w:val="Heading2"/>
      </w:pPr>
      <w:r>
        <w:lastRenderedPageBreak/>
        <w:t>Acknowledgements</w:t>
      </w:r>
    </w:p>
    <w:p w:rsidR="00D52357" w:rsidRDefault="00D52357"/>
    <w:p w:rsidR="009922E0" w:rsidRDefault="009922E0">
      <w:r>
        <w:t>We would like to thank the following who gave their time to contribute towards the production of this report:</w:t>
      </w:r>
    </w:p>
    <w:p w:rsidR="00D52357" w:rsidRPr="00D52357" w:rsidRDefault="00D52357" w:rsidP="009922E0">
      <w:pPr>
        <w:rPr>
          <w:rFonts w:ascii="Arial" w:hAnsi="Arial" w:cs="Arial"/>
        </w:rPr>
      </w:pPr>
      <w:r w:rsidRPr="00D52357">
        <w:rPr>
          <w:rFonts w:ascii="Arial" w:hAnsi="Arial" w:cs="Arial"/>
        </w:rPr>
        <w:t xml:space="preserve">Jo Jackson, </w:t>
      </w:r>
      <w:r w:rsidRPr="00D52357">
        <w:rPr>
          <w:rFonts w:ascii="Arial" w:hAnsi="Arial" w:cs="Arial"/>
          <w:bCs/>
        </w:rPr>
        <w:t>Head of Urgent Care, Community Services Wandsworth</w:t>
      </w:r>
    </w:p>
    <w:p w:rsidR="00D52357" w:rsidRPr="00D52357" w:rsidRDefault="00D52357">
      <w:pPr>
        <w:rPr>
          <w:rFonts w:ascii="Arial" w:hAnsi="Arial" w:cs="Arial"/>
        </w:rPr>
      </w:pPr>
      <w:r w:rsidRPr="00D52357">
        <w:rPr>
          <w:rFonts w:ascii="Arial" w:hAnsi="Arial" w:cs="Arial"/>
        </w:rPr>
        <w:t>Julie Mariaki, Community Respiratory Specialist Nurse, NHS Wandsworth</w:t>
      </w:r>
    </w:p>
    <w:p w:rsidR="00D52357" w:rsidRPr="00D52357" w:rsidRDefault="00D52357">
      <w:pPr>
        <w:rPr>
          <w:rFonts w:ascii="Arial" w:hAnsi="Arial" w:cs="Arial"/>
        </w:rPr>
      </w:pPr>
      <w:r>
        <w:rPr>
          <w:rFonts w:ascii="Arial" w:hAnsi="Arial" w:cs="Arial"/>
        </w:rPr>
        <w:t>Me</w:t>
      </w:r>
      <w:r w:rsidRPr="00D52357">
        <w:rPr>
          <w:rFonts w:ascii="Arial" w:hAnsi="Arial" w:cs="Arial"/>
        </w:rPr>
        <w:t>lissa Cottington, Public Health Research Officer, NHS Wandsworth</w:t>
      </w:r>
    </w:p>
    <w:p w:rsidR="00D52357" w:rsidRPr="00D52357" w:rsidRDefault="00D52357">
      <w:pPr>
        <w:rPr>
          <w:rFonts w:ascii="Arial" w:hAnsi="Arial" w:cs="Arial"/>
        </w:rPr>
      </w:pPr>
      <w:r w:rsidRPr="00D52357">
        <w:rPr>
          <w:rFonts w:ascii="Arial" w:hAnsi="Arial" w:cs="Arial"/>
        </w:rPr>
        <w:t>Nikki Davies, Community Respiratory Specialist Nurse, NHS Wandsworth</w:t>
      </w:r>
    </w:p>
    <w:p w:rsidR="00D52357" w:rsidRPr="00D52357" w:rsidRDefault="00D52357">
      <w:pPr>
        <w:rPr>
          <w:rFonts w:ascii="Arial" w:hAnsi="Arial" w:cs="Arial"/>
        </w:rPr>
      </w:pPr>
      <w:r w:rsidRPr="00D52357">
        <w:rPr>
          <w:rFonts w:ascii="Arial" w:hAnsi="Arial" w:cs="Arial"/>
        </w:rPr>
        <w:t>Piers Simey, Public Health Registrar, St George’s Healthcare Trust</w:t>
      </w:r>
    </w:p>
    <w:p w:rsidR="00D52357" w:rsidRPr="00D52357" w:rsidRDefault="00D52357">
      <w:pPr>
        <w:rPr>
          <w:rFonts w:ascii="Arial" w:hAnsi="Arial" w:cs="Arial"/>
        </w:rPr>
      </w:pPr>
      <w:r w:rsidRPr="00D52357">
        <w:rPr>
          <w:rFonts w:ascii="Arial" w:hAnsi="Arial" w:cs="Arial"/>
        </w:rPr>
        <w:t xml:space="preserve">Sam </w:t>
      </w:r>
      <w:proofErr w:type="spellStart"/>
      <w:r w:rsidRPr="00D52357">
        <w:rPr>
          <w:rFonts w:ascii="Arial" w:hAnsi="Arial" w:cs="Arial"/>
        </w:rPr>
        <w:t>Prigmore</w:t>
      </w:r>
      <w:proofErr w:type="spellEnd"/>
      <w:r w:rsidRPr="00D52357">
        <w:rPr>
          <w:rFonts w:ascii="Arial" w:hAnsi="Arial" w:cs="Arial"/>
        </w:rPr>
        <w:t>, Respiratory Nurse Consultant, St George’s Healthcare Trust</w:t>
      </w:r>
    </w:p>
    <w:p w:rsidR="00D52357" w:rsidRPr="00D52357" w:rsidRDefault="00D52357">
      <w:pPr>
        <w:rPr>
          <w:rFonts w:ascii="Arial" w:hAnsi="Arial" w:cs="Arial"/>
        </w:rPr>
      </w:pPr>
      <w:r w:rsidRPr="00D52357">
        <w:rPr>
          <w:rFonts w:ascii="Arial" w:hAnsi="Arial" w:cs="Arial"/>
        </w:rPr>
        <w:t>Sara Corben, Public Health Consultant, NHS Croydon</w:t>
      </w:r>
    </w:p>
    <w:p w:rsidR="00D52357" w:rsidRPr="00D52357" w:rsidRDefault="00D52357">
      <w:pPr>
        <w:rPr>
          <w:rFonts w:ascii="Arial" w:hAnsi="Arial" w:cs="Arial"/>
        </w:rPr>
      </w:pPr>
      <w:r w:rsidRPr="00D52357">
        <w:rPr>
          <w:rFonts w:ascii="Arial" w:hAnsi="Arial" w:cs="Arial"/>
        </w:rPr>
        <w:t xml:space="preserve">Seth Rankin, General Practitioner, Wandsworth Medical Centre </w:t>
      </w:r>
    </w:p>
    <w:p w:rsidR="00D52357" w:rsidRPr="00D52357" w:rsidRDefault="00D52357" w:rsidP="009922E0">
      <w:pPr>
        <w:rPr>
          <w:rFonts w:ascii="Arial" w:hAnsi="Arial" w:cs="Arial"/>
        </w:rPr>
      </w:pPr>
      <w:r w:rsidRPr="00D52357">
        <w:rPr>
          <w:rFonts w:ascii="Arial" w:hAnsi="Arial" w:cs="Arial"/>
        </w:rPr>
        <w:t xml:space="preserve">Vanessa Flagg, Long Term Conditions Development Manager, NHS Wandsworth </w:t>
      </w:r>
    </w:p>
    <w:p w:rsidR="00D52357" w:rsidRPr="00D52357" w:rsidRDefault="00D52357">
      <w:pPr>
        <w:rPr>
          <w:rFonts w:ascii="Arial" w:hAnsi="Arial" w:cs="Arial"/>
        </w:rPr>
      </w:pPr>
      <w:r w:rsidRPr="00D52357">
        <w:rPr>
          <w:rFonts w:ascii="Arial" w:hAnsi="Arial" w:cs="Arial"/>
        </w:rPr>
        <w:t>Wendy Kong, Community Respiratory Specialist Nurse, NHS Wandsworth</w:t>
      </w:r>
    </w:p>
    <w:p w:rsidR="009922E0" w:rsidRDefault="009922E0"/>
    <w:p w:rsidR="009922E0" w:rsidRDefault="009922E0">
      <w:pPr>
        <w:rPr>
          <w:rFonts w:ascii="Arial" w:eastAsia="Times New Roman" w:hAnsi="Arial" w:cs="Times New Roman"/>
          <w:b/>
          <w:bCs/>
          <w:color w:val="1F497D" w:themeColor="text2"/>
          <w:kern w:val="36"/>
          <w:sz w:val="28"/>
          <w:szCs w:val="29"/>
          <w:lang w:eastAsia="en-GB"/>
        </w:rPr>
      </w:pPr>
      <w:r>
        <w:br w:type="page"/>
      </w:r>
    </w:p>
    <w:p w:rsidR="00040119" w:rsidRPr="00433711" w:rsidRDefault="00040119" w:rsidP="00040119">
      <w:pPr>
        <w:pStyle w:val="Heading1"/>
      </w:pPr>
      <w:r>
        <w:lastRenderedPageBreak/>
        <w:t>References</w:t>
      </w:r>
    </w:p>
    <w:sectPr w:rsidR="00040119" w:rsidRPr="00433711" w:rsidSect="00BB5D5C">
      <w:headerReference w:type="default" r:id="rId46"/>
      <w:footerReference w:type="default" r:id="rId47"/>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AF" w:rsidRDefault="00760AAF" w:rsidP="00EC3096">
      <w:pPr>
        <w:spacing w:after="0" w:line="240" w:lineRule="auto"/>
      </w:pPr>
      <w:r>
        <w:separator/>
      </w:r>
    </w:p>
  </w:endnote>
  <w:endnote w:type="continuationSeparator" w:id="0">
    <w:p w:rsidR="00760AAF" w:rsidRDefault="00760AAF" w:rsidP="00EC3096">
      <w:pPr>
        <w:spacing w:after="0" w:line="240" w:lineRule="auto"/>
      </w:pPr>
      <w:r>
        <w:continuationSeparator/>
      </w:r>
    </w:p>
  </w:endnote>
  <w:endnote w:id="1">
    <w:p w:rsidR="00760AAF" w:rsidRDefault="00760AAF" w:rsidP="008D6ED0">
      <w:pPr>
        <w:pStyle w:val="EndnoteText"/>
        <w:rPr>
          <w:rFonts w:asciiTheme="minorHAnsi" w:hAnsiTheme="minorHAnsi" w:cs="Arial"/>
          <w:sz w:val="24"/>
          <w:szCs w:val="24"/>
          <w:lang w:val="en-GB"/>
        </w:rPr>
      </w:pPr>
      <w:r w:rsidRPr="00A60B12">
        <w:rPr>
          <w:rStyle w:val="EndnoteReference"/>
          <w:rFonts w:ascii="Arial" w:hAnsi="Arial" w:cs="Arial"/>
          <w:sz w:val="22"/>
          <w:szCs w:val="22"/>
        </w:rPr>
        <w:endnoteRef/>
      </w:r>
      <w:r w:rsidRPr="00A60B12">
        <w:rPr>
          <w:rFonts w:ascii="Arial" w:hAnsi="Arial" w:cs="Arial"/>
          <w:sz w:val="22"/>
          <w:szCs w:val="22"/>
        </w:rPr>
        <w:t xml:space="preserve"> </w:t>
      </w:r>
      <w:r>
        <w:rPr>
          <w:rFonts w:asciiTheme="minorHAnsi" w:hAnsiTheme="minorHAnsi" w:cs="Arial"/>
          <w:sz w:val="24"/>
          <w:szCs w:val="24"/>
          <w:lang w:val="en-GB"/>
        </w:rPr>
        <w:t>World Health Organization: COPD Definition (A</w:t>
      </w:r>
      <w:r w:rsidRPr="008D6ED0">
        <w:rPr>
          <w:rFonts w:asciiTheme="minorHAnsi" w:hAnsiTheme="minorHAnsi" w:cs="Arial"/>
          <w:sz w:val="24"/>
          <w:szCs w:val="24"/>
          <w:lang w:val="en-GB"/>
        </w:rPr>
        <w:t xml:space="preserve">ccessed </w:t>
      </w:r>
      <w:r>
        <w:rPr>
          <w:rFonts w:asciiTheme="minorHAnsi" w:hAnsiTheme="minorHAnsi" w:cs="Arial"/>
          <w:sz w:val="24"/>
          <w:szCs w:val="24"/>
          <w:lang w:val="en-GB"/>
        </w:rPr>
        <w:t xml:space="preserve"> on </w:t>
      </w:r>
      <w:r w:rsidRPr="008D6ED0">
        <w:rPr>
          <w:rFonts w:asciiTheme="minorHAnsi" w:hAnsiTheme="minorHAnsi" w:cs="Arial"/>
          <w:sz w:val="24"/>
          <w:szCs w:val="24"/>
          <w:lang w:val="en-GB"/>
        </w:rPr>
        <w:t>30/10/09</w:t>
      </w:r>
      <w:r>
        <w:rPr>
          <w:rFonts w:asciiTheme="minorHAnsi" w:hAnsiTheme="minorHAnsi" w:cs="Arial"/>
          <w:sz w:val="24"/>
          <w:szCs w:val="24"/>
          <w:lang w:val="en-GB"/>
        </w:rPr>
        <w:t>:</w:t>
      </w:r>
    </w:p>
    <w:p w:rsidR="00760AAF" w:rsidRPr="008D6ED0" w:rsidRDefault="00924AF3" w:rsidP="008D6ED0">
      <w:pPr>
        <w:pStyle w:val="EndnoteText"/>
        <w:rPr>
          <w:rFonts w:asciiTheme="minorHAnsi" w:hAnsiTheme="minorHAnsi" w:cs="Arial"/>
          <w:sz w:val="24"/>
          <w:szCs w:val="24"/>
          <w:lang w:val="en-GB"/>
        </w:rPr>
      </w:pPr>
      <w:hyperlink r:id="rId1" w:history="1">
        <w:r w:rsidR="00760AAF" w:rsidRPr="008D6ED0">
          <w:rPr>
            <w:rStyle w:val="Hyperlink"/>
            <w:rFonts w:asciiTheme="minorHAnsi" w:hAnsiTheme="minorHAnsi" w:cs="Arial"/>
            <w:color w:val="auto"/>
            <w:sz w:val="24"/>
            <w:szCs w:val="24"/>
            <w:u w:val="none"/>
            <w:lang w:val="en-GB"/>
          </w:rPr>
          <w:t>http://www.who.int/respiratory/copd/definition/en/index.html</w:t>
        </w:r>
      </w:hyperlink>
      <w:r w:rsidR="00760AAF">
        <w:rPr>
          <w:rFonts w:asciiTheme="minorHAnsi" w:hAnsiTheme="minorHAnsi" w:cs="Arial"/>
          <w:sz w:val="24"/>
          <w:szCs w:val="24"/>
          <w:lang w:val="en-GB"/>
        </w:rPr>
        <w:t>)</w:t>
      </w:r>
    </w:p>
  </w:endnote>
  <w:endnote w:id="2">
    <w:p w:rsidR="00760AAF" w:rsidRPr="008D6ED0" w:rsidRDefault="00760AAF" w:rsidP="008D6ED0">
      <w:pPr>
        <w:pStyle w:val="EndnoteText"/>
        <w:rPr>
          <w:rFonts w:asciiTheme="minorHAnsi" w:hAnsiTheme="minorHAnsi" w:cs="Arial"/>
          <w:sz w:val="24"/>
          <w:szCs w:val="24"/>
          <w:lang w:val="en-GB"/>
        </w:rPr>
      </w:pPr>
      <w:r w:rsidRPr="008D6ED0">
        <w:rPr>
          <w:rStyle w:val="EndnoteReference"/>
          <w:rFonts w:asciiTheme="minorHAnsi" w:hAnsiTheme="minorHAnsi" w:cs="Arial"/>
          <w:sz w:val="24"/>
          <w:szCs w:val="24"/>
        </w:rPr>
        <w:endnoteRef/>
      </w:r>
      <w:r w:rsidRPr="008D6ED0">
        <w:rPr>
          <w:rFonts w:asciiTheme="minorHAnsi" w:hAnsiTheme="minorHAnsi" w:cs="Arial"/>
          <w:sz w:val="24"/>
          <w:szCs w:val="24"/>
        </w:rPr>
        <w:t xml:space="preserve"> </w:t>
      </w:r>
      <w:proofErr w:type="spellStart"/>
      <w:r w:rsidRPr="00622BED">
        <w:rPr>
          <w:rFonts w:asciiTheme="minorHAnsi" w:hAnsiTheme="minorHAnsi" w:cs="Arial"/>
          <w:sz w:val="24"/>
          <w:szCs w:val="24"/>
        </w:rPr>
        <w:t>Gruffydd</w:t>
      </w:r>
      <w:proofErr w:type="spellEnd"/>
      <w:r w:rsidRPr="00622BED">
        <w:rPr>
          <w:rFonts w:asciiTheme="minorHAnsi" w:hAnsiTheme="minorHAnsi" w:cs="Arial"/>
          <w:sz w:val="24"/>
          <w:szCs w:val="24"/>
        </w:rPr>
        <w:t xml:space="preserve">-Jones K. </w:t>
      </w:r>
      <w:hyperlink r:id="rId2" w:history="1">
        <w:proofErr w:type="gramStart"/>
        <w:r w:rsidRPr="00622BED">
          <w:rPr>
            <w:rFonts w:asciiTheme="minorHAnsi" w:hAnsiTheme="minorHAnsi" w:cs="Arial"/>
            <w:sz w:val="24"/>
            <w:szCs w:val="24"/>
          </w:rPr>
          <w:t>A</w:t>
        </w:r>
        <w:proofErr w:type="gramEnd"/>
        <w:r w:rsidRPr="00622BED">
          <w:rPr>
            <w:rFonts w:asciiTheme="minorHAnsi" w:hAnsiTheme="minorHAnsi" w:cs="Arial"/>
            <w:sz w:val="24"/>
            <w:szCs w:val="24"/>
          </w:rPr>
          <w:t xml:space="preserve"> national strategy for the management of chronic obstructive pulmonary disease (COPD) in England: aiming to improve the quality of care for patients.</w:t>
        </w:r>
      </w:hyperlink>
      <w:r w:rsidRPr="00622BED">
        <w:rPr>
          <w:rFonts w:asciiTheme="minorHAnsi" w:hAnsiTheme="minorHAnsi" w:cs="Arial"/>
          <w:sz w:val="24"/>
          <w:szCs w:val="24"/>
        </w:rPr>
        <w:t xml:space="preserve"> </w:t>
      </w:r>
      <w:r w:rsidRPr="00622BED">
        <w:rPr>
          <w:rStyle w:val="jrnl"/>
          <w:rFonts w:asciiTheme="minorHAnsi" w:hAnsiTheme="minorHAnsi" w:cs="Arial"/>
          <w:sz w:val="24"/>
          <w:szCs w:val="24"/>
        </w:rPr>
        <w:t xml:space="preserve">Prim Care </w:t>
      </w:r>
      <w:proofErr w:type="spellStart"/>
      <w:r w:rsidRPr="00622BED">
        <w:rPr>
          <w:rStyle w:val="jrnl"/>
          <w:rFonts w:asciiTheme="minorHAnsi" w:hAnsiTheme="minorHAnsi" w:cs="Arial"/>
          <w:sz w:val="24"/>
          <w:szCs w:val="24"/>
        </w:rPr>
        <w:t>Respir</w:t>
      </w:r>
      <w:proofErr w:type="spellEnd"/>
      <w:r w:rsidRPr="00622BED">
        <w:rPr>
          <w:rStyle w:val="jrnl"/>
          <w:rFonts w:asciiTheme="minorHAnsi" w:hAnsiTheme="minorHAnsi" w:cs="Arial"/>
          <w:sz w:val="24"/>
          <w:szCs w:val="24"/>
        </w:rPr>
        <w:t xml:space="preserve"> J</w:t>
      </w:r>
      <w:r w:rsidRPr="00622BED">
        <w:rPr>
          <w:rStyle w:val="src1"/>
          <w:rFonts w:asciiTheme="minorHAnsi" w:hAnsiTheme="minorHAnsi" w:cs="Arial"/>
          <w:sz w:val="24"/>
          <w:szCs w:val="24"/>
        </w:rPr>
        <w:t>. 2008 Dec</w:t>
      </w:r>
      <w:proofErr w:type="gramStart"/>
      <w:r w:rsidRPr="00622BED">
        <w:rPr>
          <w:rStyle w:val="src1"/>
          <w:rFonts w:asciiTheme="minorHAnsi" w:hAnsiTheme="minorHAnsi" w:cs="Arial"/>
          <w:sz w:val="24"/>
          <w:szCs w:val="24"/>
        </w:rPr>
        <w:t>;17</w:t>
      </w:r>
      <w:proofErr w:type="gramEnd"/>
      <w:r w:rsidRPr="00622BED">
        <w:rPr>
          <w:rStyle w:val="src1"/>
          <w:rFonts w:asciiTheme="minorHAnsi" w:hAnsiTheme="minorHAnsi" w:cs="Arial"/>
          <w:sz w:val="24"/>
          <w:szCs w:val="24"/>
        </w:rPr>
        <w:t xml:space="preserve"> </w:t>
      </w:r>
      <w:proofErr w:type="spellStart"/>
      <w:r w:rsidRPr="00622BED">
        <w:rPr>
          <w:rStyle w:val="src1"/>
          <w:rFonts w:asciiTheme="minorHAnsi" w:hAnsiTheme="minorHAnsi" w:cs="Arial"/>
          <w:sz w:val="24"/>
          <w:szCs w:val="24"/>
        </w:rPr>
        <w:t>Suppl</w:t>
      </w:r>
      <w:proofErr w:type="spellEnd"/>
      <w:r w:rsidRPr="00622BED">
        <w:rPr>
          <w:rStyle w:val="src1"/>
          <w:rFonts w:asciiTheme="minorHAnsi" w:hAnsiTheme="minorHAnsi" w:cs="Arial"/>
          <w:sz w:val="24"/>
          <w:szCs w:val="24"/>
        </w:rPr>
        <w:t xml:space="preserve"> 1:S1-8.</w:t>
      </w:r>
    </w:p>
  </w:endnote>
  <w:endnote w:id="3">
    <w:p w:rsidR="00760AAF" w:rsidRPr="008D6ED0" w:rsidRDefault="00760AAF" w:rsidP="008D6ED0">
      <w:pPr>
        <w:pStyle w:val="Heading1"/>
        <w:shd w:val="clear" w:color="auto" w:fill="FFFFFF"/>
        <w:spacing w:before="0" w:beforeAutospacing="0" w:after="0" w:afterAutospacing="0"/>
        <w:rPr>
          <w:rFonts w:asciiTheme="minorHAnsi" w:hAnsiTheme="minorHAnsi" w:cs="Arial"/>
          <w:b w:val="0"/>
          <w:color w:val="auto"/>
          <w:sz w:val="24"/>
          <w:szCs w:val="24"/>
        </w:rPr>
      </w:pPr>
      <w:r w:rsidRPr="008D6ED0">
        <w:rPr>
          <w:rStyle w:val="EndnoteReference"/>
          <w:rFonts w:asciiTheme="minorHAnsi" w:hAnsiTheme="minorHAnsi" w:cs="Arial"/>
          <w:b w:val="0"/>
          <w:color w:val="auto"/>
          <w:sz w:val="24"/>
          <w:szCs w:val="24"/>
        </w:rPr>
        <w:endnoteRef/>
      </w:r>
      <w:r w:rsidRPr="008D6ED0">
        <w:rPr>
          <w:rFonts w:asciiTheme="minorHAnsi" w:hAnsiTheme="minorHAnsi" w:cs="Arial"/>
          <w:b w:val="0"/>
          <w:color w:val="auto"/>
          <w:sz w:val="24"/>
          <w:szCs w:val="24"/>
        </w:rPr>
        <w:t xml:space="preserve"> </w:t>
      </w:r>
      <w:hyperlink r:id="rId3" w:history="1">
        <w:proofErr w:type="spellStart"/>
        <w:r w:rsidRPr="008D6ED0">
          <w:rPr>
            <w:rStyle w:val="Hyperlink"/>
            <w:rFonts w:asciiTheme="minorHAnsi" w:hAnsiTheme="minorHAnsi" w:cs="Arial"/>
            <w:b w:val="0"/>
            <w:color w:val="auto"/>
            <w:sz w:val="24"/>
            <w:szCs w:val="24"/>
            <w:u w:val="none"/>
          </w:rPr>
          <w:t>Nacul</w:t>
        </w:r>
        <w:proofErr w:type="spellEnd"/>
        <w:r w:rsidRPr="008D6ED0">
          <w:rPr>
            <w:rStyle w:val="Hyperlink"/>
            <w:rFonts w:asciiTheme="minorHAnsi" w:hAnsiTheme="minorHAnsi" w:cs="Arial"/>
            <w:b w:val="0"/>
            <w:color w:val="auto"/>
            <w:sz w:val="24"/>
            <w:szCs w:val="24"/>
            <w:u w:val="none"/>
          </w:rPr>
          <w:t xml:space="preserve"> LC</w:t>
        </w:r>
      </w:hyperlink>
      <w:r w:rsidRPr="008D6ED0">
        <w:rPr>
          <w:rFonts w:asciiTheme="minorHAnsi" w:hAnsiTheme="minorHAnsi" w:cs="Arial"/>
          <w:b w:val="0"/>
          <w:color w:val="auto"/>
          <w:sz w:val="24"/>
          <w:szCs w:val="24"/>
        </w:rPr>
        <w:t xml:space="preserve">, </w:t>
      </w:r>
      <w:hyperlink r:id="rId4" w:history="1">
        <w:proofErr w:type="spellStart"/>
        <w:r w:rsidRPr="008D6ED0">
          <w:rPr>
            <w:rStyle w:val="Hyperlink"/>
            <w:rFonts w:asciiTheme="minorHAnsi" w:hAnsiTheme="minorHAnsi" w:cs="Arial"/>
            <w:b w:val="0"/>
            <w:color w:val="auto"/>
            <w:sz w:val="24"/>
            <w:szCs w:val="24"/>
            <w:u w:val="none"/>
          </w:rPr>
          <w:t>Soljak</w:t>
        </w:r>
        <w:proofErr w:type="spellEnd"/>
        <w:r w:rsidRPr="008D6ED0">
          <w:rPr>
            <w:rStyle w:val="Hyperlink"/>
            <w:rFonts w:asciiTheme="minorHAnsi" w:hAnsiTheme="minorHAnsi" w:cs="Arial"/>
            <w:b w:val="0"/>
            <w:color w:val="auto"/>
            <w:sz w:val="24"/>
            <w:szCs w:val="24"/>
            <w:u w:val="none"/>
          </w:rPr>
          <w:t xml:space="preserve"> M</w:t>
        </w:r>
      </w:hyperlink>
      <w:r w:rsidRPr="008D6ED0">
        <w:rPr>
          <w:rFonts w:asciiTheme="minorHAnsi" w:hAnsiTheme="minorHAnsi" w:cs="Arial"/>
          <w:b w:val="0"/>
          <w:color w:val="auto"/>
          <w:sz w:val="24"/>
          <w:szCs w:val="24"/>
        </w:rPr>
        <w:t xml:space="preserve">, </w:t>
      </w:r>
      <w:hyperlink r:id="rId5" w:history="1">
        <w:r w:rsidRPr="008D6ED0">
          <w:rPr>
            <w:rStyle w:val="Hyperlink"/>
            <w:rFonts w:asciiTheme="minorHAnsi" w:hAnsiTheme="minorHAnsi" w:cs="Arial"/>
            <w:b w:val="0"/>
            <w:color w:val="auto"/>
            <w:sz w:val="24"/>
            <w:szCs w:val="24"/>
            <w:u w:val="none"/>
          </w:rPr>
          <w:t>Meade T</w:t>
        </w:r>
      </w:hyperlink>
      <w:r w:rsidRPr="008D6ED0">
        <w:rPr>
          <w:rFonts w:asciiTheme="minorHAnsi" w:hAnsiTheme="minorHAnsi" w:cs="Arial"/>
          <w:b w:val="0"/>
          <w:color w:val="auto"/>
          <w:sz w:val="24"/>
          <w:szCs w:val="24"/>
        </w:rPr>
        <w:t>.</w:t>
      </w:r>
      <w:r w:rsidRPr="008D6ED0">
        <w:rPr>
          <w:rFonts w:asciiTheme="minorHAnsi" w:hAnsiTheme="minorHAnsi" w:cs="Arial"/>
          <w:b w:val="0"/>
          <w:bCs w:val="0"/>
          <w:color w:val="auto"/>
          <w:sz w:val="24"/>
          <w:szCs w:val="24"/>
        </w:rPr>
        <w:t xml:space="preserve"> Model for estimating the population prevalence of chronic obstructive pulmonary disease: cross sectional data from the Health Survey for England. </w:t>
      </w:r>
      <w:hyperlink r:id="rId6" w:tooltip="Population health metrics." w:history="1">
        <w:proofErr w:type="spellStart"/>
        <w:proofErr w:type="gramStart"/>
        <w:r w:rsidRPr="008D6ED0">
          <w:rPr>
            <w:rStyle w:val="Hyperlink"/>
            <w:rFonts w:asciiTheme="minorHAnsi" w:hAnsiTheme="minorHAnsi" w:cs="Arial"/>
            <w:b w:val="0"/>
            <w:color w:val="auto"/>
            <w:sz w:val="24"/>
            <w:szCs w:val="24"/>
            <w:u w:val="none"/>
          </w:rPr>
          <w:t>Popul</w:t>
        </w:r>
        <w:proofErr w:type="spellEnd"/>
        <w:r w:rsidRPr="008D6ED0">
          <w:rPr>
            <w:rStyle w:val="Hyperlink"/>
            <w:rFonts w:asciiTheme="minorHAnsi" w:hAnsiTheme="minorHAnsi" w:cs="Arial"/>
            <w:b w:val="0"/>
            <w:color w:val="auto"/>
            <w:sz w:val="24"/>
            <w:szCs w:val="24"/>
            <w:u w:val="none"/>
          </w:rPr>
          <w:t xml:space="preserve"> Health </w:t>
        </w:r>
        <w:proofErr w:type="spellStart"/>
        <w:r w:rsidRPr="008D6ED0">
          <w:rPr>
            <w:rStyle w:val="Hyperlink"/>
            <w:rFonts w:asciiTheme="minorHAnsi" w:hAnsiTheme="minorHAnsi" w:cs="Arial"/>
            <w:b w:val="0"/>
            <w:color w:val="auto"/>
            <w:sz w:val="24"/>
            <w:szCs w:val="24"/>
            <w:u w:val="none"/>
          </w:rPr>
          <w:t>Metr</w:t>
        </w:r>
        <w:proofErr w:type="spellEnd"/>
        <w:r w:rsidRPr="008D6ED0">
          <w:rPr>
            <w:rStyle w:val="Hyperlink"/>
            <w:rFonts w:asciiTheme="minorHAnsi" w:hAnsiTheme="minorHAnsi" w:cs="Arial"/>
            <w:b w:val="0"/>
            <w:color w:val="auto"/>
            <w:sz w:val="24"/>
            <w:szCs w:val="24"/>
            <w:u w:val="none"/>
          </w:rPr>
          <w:t>.</w:t>
        </w:r>
        <w:proofErr w:type="gramEnd"/>
      </w:hyperlink>
      <w:r w:rsidRPr="008D6ED0">
        <w:rPr>
          <w:rFonts w:asciiTheme="minorHAnsi" w:hAnsiTheme="minorHAnsi" w:cs="Arial"/>
          <w:b w:val="0"/>
          <w:color w:val="auto"/>
          <w:sz w:val="24"/>
          <w:szCs w:val="24"/>
        </w:rPr>
        <w:t xml:space="preserve"> 2007 Sep 26</w:t>
      </w:r>
      <w:proofErr w:type="gramStart"/>
      <w:r w:rsidRPr="008D6ED0">
        <w:rPr>
          <w:rFonts w:asciiTheme="minorHAnsi" w:hAnsiTheme="minorHAnsi" w:cs="Arial"/>
          <w:b w:val="0"/>
          <w:color w:val="auto"/>
          <w:sz w:val="24"/>
          <w:szCs w:val="24"/>
        </w:rPr>
        <w:t>;5:8</w:t>
      </w:r>
      <w:proofErr w:type="gramEnd"/>
      <w:r w:rsidRPr="008D6ED0">
        <w:rPr>
          <w:rFonts w:asciiTheme="minorHAnsi" w:hAnsiTheme="minorHAnsi" w:cs="Arial"/>
          <w:b w:val="0"/>
          <w:color w:val="auto"/>
          <w:sz w:val="24"/>
          <w:szCs w:val="24"/>
        </w:rPr>
        <w:t>.</w:t>
      </w:r>
    </w:p>
  </w:endnote>
  <w:endnote w:id="4">
    <w:p w:rsidR="00760AAF" w:rsidRPr="008D6ED0" w:rsidRDefault="00760AAF" w:rsidP="008D6ED0">
      <w:pPr>
        <w:pStyle w:val="EndnoteText"/>
        <w:rPr>
          <w:rFonts w:asciiTheme="minorHAnsi" w:hAnsiTheme="minorHAnsi" w:cs="Arial"/>
          <w:sz w:val="24"/>
          <w:szCs w:val="24"/>
          <w:lang w:val="en-GB"/>
        </w:rPr>
      </w:pPr>
      <w:r w:rsidRPr="008D6ED0">
        <w:rPr>
          <w:rStyle w:val="EndnoteReference"/>
          <w:rFonts w:asciiTheme="minorHAnsi" w:hAnsiTheme="minorHAnsi" w:cs="Arial"/>
          <w:sz w:val="24"/>
          <w:szCs w:val="24"/>
        </w:rPr>
        <w:endnoteRef/>
      </w:r>
      <w:r w:rsidRPr="008D6ED0">
        <w:rPr>
          <w:rFonts w:asciiTheme="minorHAnsi" w:hAnsiTheme="minorHAnsi" w:cs="Arial"/>
          <w:sz w:val="24"/>
          <w:szCs w:val="24"/>
        </w:rPr>
        <w:t xml:space="preserve"> </w:t>
      </w:r>
      <w:r>
        <w:rPr>
          <w:rFonts w:asciiTheme="minorHAnsi" w:hAnsiTheme="minorHAnsi" w:cs="Arial"/>
          <w:sz w:val="24"/>
          <w:szCs w:val="24"/>
        </w:rPr>
        <w:t xml:space="preserve">Corben S. </w:t>
      </w:r>
      <w:r w:rsidRPr="008D6ED0">
        <w:rPr>
          <w:rFonts w:asciiTheme="minorHAnsi" w:hAnsiTheme="minorHAnsi" w:cs="Arial"/>
          <w:sz w:val="24"/>
          <w:szCs w:val="24"/>
        </w:rPr>
        <w:t>Croydon</w:t>
      </w:r>
      <w:r>
        <w:rPr>
          <w:rFonts w:asciiTheme="minorHAnsi" w:hAnsiTheme="minorHAnsi" w:cs="Arial"/>
          <w:sz w:val="24"/>
          <w:szCs w:val="24"/>
        </w:rPr>
        <w:t xml:space="preserve"> Primary Care Trust.  </w:t>
      </w:r>
    </w:p>
  </w:endnote>
  <w:endnote w:id="5">
    <w:p w:rsidR="00760AAF" w:rsidRPr="008D6ED0" w:rsidRDefault="00760AAF" w:rsidP="008D6ED0">
      <w:pPr>
        <w:pStyle w:val="EndnoteText"/>
        <w:rPr>
          <w:rFonts w:asciiTheme="minorHAnsi" w:hAnsiTheme="minorHAnsi" w:cs="Arial"/>
          <w:sz w:val="24"/>
          <w:szCs w:val="24"/>
          <w:lang w:val="en-GB"/>
        </w:rPr>
      </w:pPr>
      <w:r w:rsidRPr="008D6ED0">
        <w:rPr>
          <w:rStyle w:val="EndnoteReference"/>
          <w:rFonts w:asciiTheme="minorHAnsi" w:hAnsiTheme="minorHAnsi" w:cs="Arial"/>
          <w:sz w:val="24"/>
          <w:szCs w:val="24"/>
        </w:rPr>
        <w:endnoteRef/>
      </w:r>
      <w:r w:rsidRPr="008D6ED0">
        <w:rPr>
          <w:rFonts w:asciiTheme="minorHAnsi" w:hAnsiTheme="minorHAnsi" w:cs="Arial"/>
          <w:sz w:val="24"/>
          <w:szCs w:val="24"/>
        </w:rPr>
        <w:t xml:space="preserve"> </w:t>
      </w:r>
      <w:hyperlink r:id="rId7" w:history="1">
        <w:proofErr w:type="spellStart"/>
        <w:r w:rsidRPr="008D6ED0">
          <w:rPr>
            <w:rStyle w:val="Hyperlink"/>
            <w:rFonts w:asciiTheme="minorHAnsi" w:hAnsiTheme="minorHAnsi" w:cs="Arial"/>
            <w:color w:val="auto"/>
            <w:sz w:val="24"/>
            <w:szCs w:val="24"/>
            <w:u w:val="none"/>
          </w:rPr>
          <w:t>Nacul</w:t>
        </w:r>
        <w:proofErr w:type="spellEnd"/>
        <w:r w:rsidRPr="008D6ED0">
          <w:rPr>
            <w:rStyle w:val="Hyperlink"/>
            <w:rFonts w:asciiTheme="minorHAnsi" w:hAnsiTheme="minorHAnsi" w:cs="Arial"/>
            <w:color w:val="auto"/>
            <w:sz w:val="24"/>
            <w:szCs w:val="24"/>
            <w:u w:val="none"/>
          </w:rPr>
          <w:t xml:space="preserve"> LC</w:t>
        </w:r>
      </w:hyperlink>
      <w:r w:rsidRPr="008D6ED0">
        <w:rPr>
          <w:rFonts w:asciiTheme="minorHAnsi" w:hAnsiTheme="minorHAnsi" w:cs="Arial"/>
          <w:sz w:val="24"/>
          <w:szCs w:val="24"/>
        </w:rPr>
        <w:t xml:space="preserve">, </w:t>
      </w:r>
      <w:hyperlink r:id="rId8" w:history="1">
        <w:proofErr w:type="spellStart"/>
        <w:r w:rsidRPr="008D6ED0">
          <w:rPr>
            <w:rStyle w:val="Hyperlink"/>
            <w:rFonts w:asciiTheme="minorHAnsi" w:hAnsiTheme="minorHAnsi" w:cs="Arial"/>
            <w:color w:val="auto"/>
            <w:sz w:val="24"/>
            <w:szCs w:val="24"/>
            <w:u w:val="none"/>
          </w:rPr>
          <w:t>Soljak</w:t>
        </w:r>
        <w:proofErr w:type="spellEnd"/>
        <w:r w:rsidRPr="008D6ED0">
          <w:rPr>
            <w:rStyle w:val="Hyperlink"/>
            <w:rFonts w:asciiTheme="minorHAnsi" w:hAnsiTheme="minorHAnsi" w:cs="Arial"/>
            <w:color w:val="auto"/>
            <w:sz w:val="24"/>
            <w:szCs w:val="24"/>
            <w:u w:val="none"/>
          </w:rPr>
          <w:t xml:space="preserve"> M</w:t>
        </w:r>
      </w:hyperlink>
      <w:r w:rsidRPr="008D6ED0">
        <w:rPr>
          <w:rFonts w:asciiTheme="minorHAnsi" w:hAnsiTheme="minorHAnsi" w:cs="Arial"/>
          <w:sz w:val="24"/>
          <w:szCs w:val="24"/>
        </w:rPr>
        <w:t xml:space="preserve">, </w:t>
      </w:r>
      <w:hyperlink r:id="rId9" w:history="1">
        <w:r w:rsidRPr="008D6ED0">
          <w:rPr>
            <w:rStyle w:val="Hyperlink"/>
            <w:rFonts w:asciiTheme="minorHAnsi" w:hAnsiTheme="minorHAnsi" w:cs="Arial"/>
            <w:color w:val="auto"/>
            <w:sz w:val="24"/>
            <w:szCs w:val="24"/>
            <w:u w:val="none"/>
          </w:rPr>
          <w:t>Meade T</w:t>
        </w:r>
      </w:hyperlink>
      <w:r w:rsidRPr="008D6ED0">
        <w:rPr>
          <w:rFonts w:asciiTheme="minorHAnsi" w:hAnsiTheme="minorHAnsi" w:cs="Arial"/>
          <w:sz w:val="24"/>
          <w:szCs w:val="24"/>
        </w:rPr>
        <w:t>.</w:t>
      </w:r>
      <w:r w:rsidRPr="008D6ED0">
        <w:rPr>
          <w:rFonts w:asciiTheme="minorHAnsi" w:hAnsiTheme="minorHAnsi" w:cs="Arial"/>
          <w:bCs/>
          <w:sz w:val="24"/>
          <w:szCs w:val="24"/>
        </w:rPr>
        <w:t xml:space="preserve"> Model for estimating the population prevalence of chronic obstructive pulmonary disease: cross sectional data from the Health Survey for England. </w:t>
      </w:r>
      <w:hyperlink r:id="rId10" w:tooltip="Population health metrics." w:history="1">
        <w:proofErr w:type="spellStart"/>
        <w:proofErr w:type="gramStart"/>
        <w:r w:rsidRPr="008D6ED0">
          <w:rPr>
            <w:rStyle w:val="Hyperlink"/>
            <w:rFonts w:asciiTheme="minorHAnsi" w:hAnsiTheme="minorHAnsi" w:cs="Arial"/>
            <w:color w:val="auto"/>
            <w:sz w:val="24"/>
            <w:szCs w:val="24"/>
            <w:u w:val="none"/>
          </w:rPr>
          <w:t>Popul</w:t>
        </w:r>
        <w:proofErr w:type="spellEnd"/>
        <w:r w:rsidRPr="008D6ED0">
          <w:rPr>
            <w:rStyle w:val="Hyperlink"/>
            <w:rFonts w:asciiTheme="minorHAnsi" w:hAnsiTheme="minorHAnsi" w:cs="Arial"/>
            <w:color w:val="auto"/>
            <w:sz w:val="24"/>
            <w:szCs w:val="24"/>
            <w:u w:val="none"/>
          </w:rPr>
          <w:t xml:space="preserve"> Health </w:t>
        </w:r>
        <w:proofErr w:type="spellStart"/>
        <w:r w:rsidRPr="008D6ED0">
          <w:rPr>
            <w:rStyle w:val="Hyperlink"/>
            <w:rFonts w:asciiTheme="minorHAnsi" w:hAnsiTheme="minorHAnsi" w:cs="Arial"/>
            <w:color w:val="auto"/>
            <w:sz w:val="24"/>
            <w:szCs w:val="24"/>
            <w:u w:val="none"/>
          </w:rPr>
          <w:t>Metr</w:t>
        </w:r>
        <w:proofErr w:type="spellEnd"/>
        <w:r w:rsidRPr="008D6ED0">
          <w:rPr>
            <w:rStyle w:val="Hyperlink"/>
            <w:rFonts w:asciiTheme="minorHAnsi" w:hAnsiTheme="minorHAnsi" w:cs="Arial"/>
            <w:color w:val="auto"/>
            <w:sz w:val="24"/>
            <w:szCs w:val="24"/>
            <w:u w:val="none"/>
          </w:rPr>
          <w:t>.</w:t>
        </w:r>
        <w:proofErr w:type="gramEnd"/>
      </w:hyperlink>
      <w:r w:rsidRPr="008D6ED0">
        <w:rPr>
          <w:rFonts w:asciiTheme="minorHAnsi" w:hAnsiTheme="minorHAnsi" w:cs="Arial"/>
          <w:sz w:val="24"/>
          <w:szCs w:val="24"/>
        </w:rPr>
        <w:t xml:space="preserve"> 2007 Sep 26</w:t>
      </w:r>
      <w:proofErr w:type="gramStart"/>
      <w:r w:rsidRPr="008D6ED0">
        <w:rPr>
          <w:rFonts w:asciiTheme="minorHAnsi" w:hAnsiTheme="minorHAnsi" w:cs="Arial"/>
          <w:sz w:val="24"/>
          <w:szCs w:val="24"/>
        </w:rPr>
        <w:t>;5:8</w:t>
      </w:r>
      <w:proofErr w:type="gramEnd"/>
      <w:r w:rsidRPr="008D6ED0">
        <w:rPr>
          <w:rFonts w:asciiTheme="minorHAnsi" w:hAnsiTheme="minorHAnsi" w:cs="Arial"/>
          <w:sz w:val="24"/>
          <w:szCs w:val="24"/>
        </w:rPr>
        <w:t>.</w:t>
      </w:r>
    </w:p>
  </w:endnote>
  <w:endnote w:id="6">
    <w:p w:rsidR="00760AAF" w:rsidRPr="00867514" w:rsidRDefault="00760AAF" w:rsidP="00867514">
      <w:pPr>
        <w:pStyle w:val="rprtbody1"/>
        <w:shd w:val="clear" w:color="auto" w:fill="FFFFFF"/>
        <w:spacing w:before="0" w:after="0" w:line="276" w:lineRule="auto"/>
        <w:rPr>
          <w:rFonts w:asciiTheme="minorHAnsi" w:hAnsiTheme="minorHAnsi" w:cs="Arial"/>
          <w:sz w:val="24"/>
          <w:szCs w:val="24"/>
        </w:rPr>
      </w:pPr>
      <w:r w:rsidRPr="00867514">
        <w:rPr>
          <w:rStyle w:val="EndnoteReference"/>
          <w:rFonts w:asciiTheme="minorHAnsi" w:hAnsiTheme="minorHAnsi" w:cs="Arial"/>
          <w:sz w:val="24"/>
          <w:szCs w:val="24"/>
        </w:rPr>
        <w:endnoteRef/>
      </w:r>
      <w:r w:rsidRPr="00867514">
        <w:rPr>
          <w:rFonts w:asciiTheme="minorHAnsi" w:hAnsiTheme="minorHAnsi" w:cs="Arial"/>
          <w:sz w:val="24"/>
          <w:szCs w:val="24"/>
        </w:rPr>
        <w:t xml:space="preserve"> </w:t>
      </w:r>
      <w:proofErr w:type="spellStart"/>
      <w:r w:rsidRPr="00867514">
        <w:rPr>
          <w:rFonts w:asciiTheme="minorHAnsi" w:hAnsiTheme="minorHAnsi" w:cs="Arial"/>
          <w:sz w:val="24"/>
          <w:szCs w:val="24"/>
        </w:rPr>
        <w:t>Calverley</w:t>
      </w:r>
      <w:proofErr w:type="spellEnd"/>
      <w:r w:rsidRPr="00867514">
        <w:rPr>
          <w:rFonts w:asciiTheme="minorHAnsi" w:hAnsiTheme="minorHAnsi" w:cs="Arial"/>
          <w:sz w:val="24"/>
          <w:szCs w:val="24"/>
        </w:rPr>
        <w:t xml:space="preserve"> PM. </w:t>
      </w:r>
      <w:hyperlink r:id="rId11" w:history="1">
        <w:r w:rsidRPr="00867514">
          <w:rPr>
            <w:rFonts w:asciiTheme="minorHAnsi" w:hAnsiTheme="minorHAnsi" w:cs="Arial"/>
            <w:sz w:val="24"/>
            <w:szCs w:val="24"/>
          </w:rPr>
          <w:t>COPD: what is the unmet need?</w:t>
        </w:r>
      </w:hyperlink>
      <w:r w:rsidRPr="00867514">
        <w:rPr>
          <w:rFonts w:asciiTheme="minorHAnsi" w:hAnsiTheme="minorHAnsi" w:cs="Arial"/>
          <w:sz w:val="24"/>
          <w:szCs w:val="24"/>
        </w:rPr>
        <w:t xml:space="preserve"> </w:t>
      </w:r>
      <w:proofErr w:type="gramStart"/>
      <w:r w:rsidRPr="00867514">
        <w:rPr>
          <w:rStyle w:val="jrnl"/>
          <w:rFonts w:asciiTheme="minorHAnsi" w:hAnsiTheme="minorHAnsi" w:cs="Arial"/>
          <w:sz w:val="24"/>
          <w:szCs w:val="24"/>
        </w:rPr>
        <w:t xml:space="preserve">Br J </w:t>
      </w:r>
      <w:proofErr w:type="spellStart"/>
      <w:r w:rsidRPr="00867514">
        <w:rPr>
          <w:rStyle w:val="jrnl"/>
          <w:rFonts w:asciiTheme="minorHAnsi" w:hAnsiTheme="minorHAnsi" w:cs="Arial"/>
          <w:sz w:val="24"/>
          <w:szCs w:val="24"/>
        </w:rPr>
        <w:t>Pharmacol</w:t>
      </w:r>
      <w:proofErr w:type="spellEnd"/>
      <w:r w:rsidRPr="00867514">
        <w:rPr>
          <w:rStyle w:val="src1"/>
          <w:rFonts w:asciiTheme="minorHAnsi" w:hAnsiTheme="minorHAnsi" w:cs="Arial"/>
          <w:sz w:val="24"/>
          <w:szCs w:val="24"/>
        </w:rPr>
        <w:t>.</w:t>
      </w:r>
      <w:proofErr w:type="gramEnd"/>
      <w:r w:rsidRPr="00867514">
        <w:rPr>
          <w:rStyle w:val="src1"/>
          <w:rFonts w:asciiTheme="minorHAnsi" w:hAnsiTheme="minorHAnsi" w:cs="Arial"/>
          <w:sz w:val="24"/>
          <w:szCs w:val="24"/>
        </w:rPr>
        <w:t xml:space="preserve"> 2008 Oct</w:t>
      </w:r>
      <w:proofErr w:type="gramStart"/>
      <w:r w:rsidRPr="00867514">
        <w:rPr>
          <w:rStyle w:val="src1"/>
          <w:rFonts w:asciiTheme="minorHAnsi" w:hAnsiTheme="minorHAnsi" w:cs="Arial"/>
          <w:sz w:val="24"/>
          <w:szCs w:val="24"/>
        </w:rPr>
        <w:t>;155</w:t>
      </w:r>
      <w:proofErr w:type="gramEnd"/>
      <w:r w:rsidRPr="00867514">
        <w:rPr>
          <w:rStyle w:val="src1"/>
          <w:rFonts w:asciiTheme="minorHAnsi" w:hAnsiTheme="minorHAnsi" w:cs="Arial"/>
          <w:sz w:val="24"/>
          <w:szCs w:val="24"/>
        </w:rPr>
        <w:t xml:space="preserve">(4):487-93. </w:t>
      </w:r>
      <w:proofErr w:type="spellStart"/>
      <w:r w:rsidRPr="00867514">
        <w:rPr>
          <w:rStyle w:val="src1"/>
          <w:rFonts w:asciiTheme="minorHAnsi" w:hAnsiTheme="minorHAnsi" w:cs="Arial"/>
          <w:sz w:val="24"/>
          <w:szCs w:val="24"/>
        </w:rPr>
        <w:t>Epub</w:t>
      </w:r>
      <w:proofErr w:type="spellEnd"/>
      <w:r w:rsidRPr="00867514">
        <w:rPr>
          <w:rStyle w:val="src1"/>
          <w:rFonts w:asciiTheme="minorHAnsi" w:hAnsiTheme="minorHAnsi" w:cs="Arial"/>
          <w:sz w:val="24"/>
          <w:szCs w:val="24"/>
        </w:rPr>
        <w:t xml:space="preserve"> 2008 Sep 15. </w:t>
      </w:r>
      <w:proofErr w:type="gramStart"/>
      <w:r w:rsidRPr="00867514">
        <w:rPr>
          <w:rStyle w:val="src1"/>
          <w:rFonts w:asciiTheme="minorHAnsi" w:hAnsiTheme="minorHAnsi" w:cs="Arial"/>
          <w:sz w:val="24"/>
          <w:szCs w:val="24"/>
        </w:rPr>
        <w:t>Review.</w:t>
      </w:r>
      <w:proofErr w:type="gramEnd"/>
    </w:p>
  </w:endnote>
  <w:endnote w:id="7">
    <w:p w:rsidR="00760AAF" w:rsidRPr="008D6ED0" w:rsidRDefault="00760AAF" w:rsidP="00622BED">
      <w:pPr>
        <w:pStyle w:val="rprtbody1"/>
        <w:shd w:val="clear" w:color="auto" w:fill="FFFFFF"/>
        <w:spacing w:before="0" w:after="0" w:line="276" w:lineRule="auto"/>
        <w:rPr>
          <w:rFonts w:asciiTheme="minorHAnsi" w:hAnsiTheme="minorHAnsi" w:cs="Arial"/>
          <w:sz w:val="24"/>
          <w:szCs w:val="24"/>
        </w:rPr>
      </w:pPr>
      <w:r w:rsidRPr="00622BED">
        <w:rPr>
          <w:rStyle w:val="EndnoteReference"/>
          <w:rFonts w:ascii="Arial" w:hAnsi="Arial" w:cs="Arial"/>
          <w:sz w:val="24"/>
          <w:szCs w:val="24"/>
        </w:rPr>
        <w:endnoteRef/>
      </w:r>
      <w:r w:rsidRPr="00622BED">
        <w:rPr>
          <w:rFonts w:ascii="Arial" w:hAnsi="Arial" w:cs="Arial"/>
          <w:sz w:val="24"/>
          <w:szCs w:val="24"/>
        </w:rPr>
        <w:t xml:space="preserve"> </w:t>
      </w:r>
      <w:proofErr w:type="spellStart"/>
      <w:r w:rsidRPr="00622BED">
        <w:rPr>
          <w:rFonts w:asciiTheme="minorHAnsi" w:hAnsiTheme="minorHAnsi" w:cs="Arial"/>
          <w:sz w:val="24"/>
          <w:szCs w:val="24"/>
        </w:rPr>
        <w:t>Gruffydd</w:t>
      </w:r>
      <w:proofErr w:type="spellEnd"/>
      <w:r w:rsidRPr="00622BED">
        <w:rPr>
          <w:rFonts w:asciiTheme="minorHAnsi" w:hAnsiTheme="minorHAnsi" w:cs="Arial"/>
          <w:sz w:val="24"/>
          <w:szCs w:val="24"/>
        </w:rPr>
        <w:t xml:space="preserve">-Jones K. </w:t>
      </w:r>
      <w:hyperlink r:id="rId12" w:history="1">
        <w:proofErr w:type="gramStart"/>
        <w:r w:rsidRPr="00622BED">
          <w:rPr>
            <w:rFonts w:asciiTheme="minorHAnsi" w:hAnsiTheme="minorHAnsi" w:cs="Arial"/>
            <w:sz w:val="24"/>
            <w:szCs w:val="24"/>
          </w:rPr>
          <w:t>A</w:t>
        </w:r>
        <w:proofErr w:type="gramEnd"/>
        <w:r w:rsidRPr="00622BED">
          <w:rPr>
            <w:rFonts w:asciiTheme="minorHAnsi" w:hAnsiTheme="minorHAnsi" w:cs="Arial"/>
            <w:sz w:val="24"/>
            <w:szCs w:val="24"/>
          </w:rPr>
          <w:t xml:space="preserve"> national strategy for the management of chronic obstructive pulmonary disease (COPD) in England: aiming to improve the quality of care for patients.</w:t>
        </w:r>
      </w:hyperlink>
      <w:r w:rsidRPr="00622BED">
        <w:rPr>
          <w:rFonts w:asciiTheme="minorHAnsi" w:hAnsiTheme="minorHAnsi" w:cs="Arial"/>
          <w:sz w:val="24"/>
          <w:szCs w:val="24"/>
        </w:rPr>
        <w:t xml:space="preserve"> </w:t>
      </w:r>
      <w:r w:rsidRPr="00622BED">
        <w:rPr>
          <w:rStyle w:val="jrnl"/>
          <w:rFonts w:asciiTheme="minorHAnsi" w:hAnsiTheme="minorHAnsi" w:cs="Arial"/>
          <w:sz w:val="24"/>
          <w:szCs w:val="24"/>
        </w:rPr>
        <w:t xml:space="preserve">Prim Care </w:t>
      </w:r>
      <w:proofErr w:type="spellStart"/>
      <w:r w:rsidRPr="00622BED">
        <w:rPr>
          <w:rStyle w:val="jrnl"/>
          <w:rFonts w:asciiTheme="minorHAnsi" w:hAnsiTheme="minorHAnsi" w:cs="Arial"/>
          <w:sz w:val="24"/>
          <w:szCs w:val="24"/>
        </w:rPr>
        <w:t>Respir</w:t>
      </w:r>
      <w:proofErr w:type="spellEnd"/>
      <w:r w:rsidRPr="00622BED">
        <w:rPr>
          <w:rStyle w:val="jrnl"/>
          <w:rFonts w:asciiTheme="minorHAnsi" w:hAnsiTheme="minorHAnsi" w:cs="Arial"/>
          <w:sz w:val="24"/>
          <w:szCs w:val="24"/>
        </w:rPr>
        <w:t xml:space="preserve"> J</w:t>
      </w:r>
      <w:r w:rsidRPr="00622BED">
        <w:rPr>
          <w:rStyle w:val="src1"/>
          <w:rFonts w:asciiTheme="minorHAnsi" w:hAnsiTheme="minorHAnsi" w:cs="Arial"/>
          <w:sz w:val="24"/>
          <w:szCs w:val="24"/>
        </w:rPr>
        <w:t>. 2008 Dec</w:t>
      </w:r>
      <w:proofErr w:type="gramStart"/>
      <w:r w:rsidRPr="00622BED">
        <w:rPr>
          <w:rStyle w:val="src1"/>
          <w:rFonts w:asciiTheme="minorHAnsi" w:hAnsiTheme="minorHAnsi" w:cs="Arial"/>
          <w:sz w:val="24"/>
          <w:szCs w:val="24"/>
        </w:rPr>
        <w:t>;17</w:t>
      </w:r>
      <w:proofErr w:type="gramEnd"/>
      <w:r w:rsidRPr="00622BED">
        <w:rPr>
          <w:rStyle w:val="src1"/>
          <w:rFonts w:asciiTheme="minorHAnsi" w:hAnsiTheme="minorHAnsi" w:cs="Arial"/>
          <w:sz w:val="24"/>
          <w:szCs w:val="24"/>
        </w:rPr>
        <w:t xml:space="preserve"> </w:t>
      </w:r>
      <w:proofErr w:type="spellStart"/>
      <w:r w:rsidRPr="00622BED">
        <w:rPr>
          <w:rStyle w:val="src1"/>
          <w:rFonts w:asciiTheme="minorHAnsi" w:hAnsiTheme="minorHAnsi" w:cs="Arial"/>
          <w:sz w:val="24"/>
          <w:szCs w:val="24"/>
        </w:rPr>
        <w:t>Suppl</w:t>
      </w:r>
      <w:proofErr w:type="spellEnd"/>
      <w:r w:rsidRPr="00622BED">
        <w:rPr>
          <w:rStyle w:val="src1"/>
          <w:rFonts w:asciiTheme="minorHAnsi" w:hAnsiTheme="minorHAnsi" w:cs="Arial"/>
          <w:sz w:val="24"/>
          <w:szCs w:val="24"/>
        </w:rPr>
        <w:t xml:space="preserve"> 1:S1-8.</w:t>
      </w:r>
    </w:p>
  </w:endnote>
  <w:endnote w:id="8">
    <w:p w:rsidR="00760AAF" w:rsidRPr="008D6ED0" w:rsidRDefault="00760AAF" w:rsidP="008D6ED0">
      <w:pPr>
        <w:pStyle w:val="EndnoteText"/>
        <w:rPr>
          <w:rFonts w:asciiTheme="minorHAnsi" w:hAnsiTheme="minorHAnsi" w:cs="Arial"/>
          <w:sz w:val="24"/>
          <w:szCs w:val="24"/>
          <w:lang w:val="en-GB"/>
        </w:rPr>
      </w:pPr>
      <w:r w:rsidRPr="008D6ED0">
        <w:rPr>
          <w:rStyle w:val="EndnoteReference"/>
          <w:rFonts w:asciiTheme="minorHAnsi" w:hAnsiTheme="minorHAnsi" w:cs="Arial"/>
          <w:sz w:val="24"/>
          <w:szCs w:val="24"/>
        </w:rPr>
        <w:endnoteRef/>
      </w:r>
      <w:r w:rsidRPr="008D6ED0">
        <w:rPr>
          <w:rFonts w:asciiTheme="minorHAnsi" w:hAnsiTheme="minorHAnsi" w:cs="Arial"/>
          <w:sz w:val="24"/>
          <w:szCs w:val="24"/>
        </w:rPr>
        <w:t xml:space="preserve"> </w:t>
      </w:r>
      <w:proofErr w:type="spellStart"/>
      <w:r w:rsidRPr="00867514">
        <w:rPr>
          <w:rFonts w:asciiTheme="minorHAnsi" w:hAnsiTheme="minorHAnsi" w:cs="Arial"/>
          <w:sz w:val="24"/>
          <w:szCs w:val="24"/>
        </w:rPr>
        <w:t>Calverley</w:t>
      </w:r>
      <w:proofErr w:type="spellEnd"/>
      <w:r w:rsidRPr="00867514">
        <w:rPr>
          <w:rFonts w:asciiTheme="minorHAnsi" w:hAnsiTheme="minorHAnsi" w:cs="Arial"/>
          <w:sz w:val="24"/>
          <w:szCs w:val="24"/>
        </w:rPr>
        <w:t xml:space="preserve"> PM. </w:t>
      </w:r>
      <w:hyperlink r:id="rId13" w:history="1">
        <w:r w:rsidRPr="00867514">
          <w:rPr>
            <w:rFonts w:asciiTheme="minorHAnsi" w:hAnsiTheme="minorHAnsi" w:cs="Arial"/>
            <w:sz w:val="24"/>
            <w:szCs w:val="24"/>
          </w:rPr>
          <w:t>COPD: what is the unmet need?</w:t>
        </w:r>
      </w:hyperlink>
      <w:r w:rsidRPr="00867514">
        <w:rPr>
          <w:rFonts w:asciiTheme="minorHAnsi" w:hAnsiTheme="minorHAnsi" w:cs="Arial"/>
          <w:sz w:val="24"/>
          <w:szCs w:val="24"/>
        </w:rPr>
        <w:t xml:space="preserve"> </w:t>
      </w:r>
      <w:proofErr w:type="gramStart"/>
      <w:r w:rsidRPr="00867514">
        <w:rPr>
          <w:rStyle w:val="jrnl"/>
          <w:rFonts w:asciiTheme="minorHAnsi" w:hAnsiTheme="minorHAnsi" w:cs="Arial"/>
          <w:sz w:val="24"/>
          <w:szCs w:val="24"/>
        </w:rPr>
        <w:t xml:space="preserve">Br J </w:t>
      </w:r>
      <w:proofErr w:type="spellStart"/>
      <w:r w:rsidRPr="00867514">
        <w:rPr>
          <w:rStyle w:val="jrnl"/>
          <w:rFonts w:asciiTheme="minorHAnsi" w:hAnsiTheme="minorHAnsi" w:cs="Arial"/>
          <w:sz w:val="24"/>
          <w:szCs w:val="24"/>
        </w:rPr>
        <w:t>Pharmacol</w:t>
      </w:r>
      <w:proofErr w:type="spellEnd"/>
      <w:r w:rsidRPr="00867514">
        <w:rPr>
          <w:rStyle w:val="src1"/>
          <w:rFonts w:asciiTheme="minorHAnsi" w:hAnsiTheme="minorHAnsi" w:cs="Arial"/>
          <w:sz w:val="24"/>
          <w:szCs w:val="24"/>
        </w:rPr>
        <w:t>.</w:t>
      </w:r>
      <w:proofErr w:type="gramEnd"/>
      <w:r w:rsidRPr="00867514">
        <w:rPr>
          <w:rStyle w:val="src1"/>
          <w:rFonts w:asciiTheme="minorHAnsi" w:hAnsiTheme="minorHAnsi" w:cs="Arial"/>
          <w:sz w:val="24"/>
          <w:szCs w:val="24"/>
        </w:rPr>
        <w:t xml:space="preserve"> 2008 Oct</w:t>
      </w:r>
      <w:proofErr w:type="gramStart"/>
      <w:r w:rsidRPr="00867514">
        <w:rPr>
          <w:rStyle w:val="src1"/>
          <w:rFonts w:asciiTheme="minorHAnsi" w:hAnsiTheme="minorHAnsi" w:cs="Arial"/>
          <w:sz w:val="24"/>
          <w:szCs w:val="24"/>
        </w:rPr>
        <w:t>;155</w:t>
      </w:r>
      <w:proofErr w:type="gramEnd"/>
      <w:r w:rsidRPr="00867514">
        <w:rPr>
          <w:rStyle w:val="src1"/>
          <w:rFonts w:asciiTheme="minorHAnsi" w:hAnsiTheme="minorHAnsi" w:cs="Arial"/>
          <w:sz w:val="24"/>
          <w:szCs w:val="24"/>
        </w:rPr>
        <w:t xml:space="preserve">(4):487-93. </w:t>
      </w:r>
      <w:proofErr w:type="spellStart"/>
      <w:r w:rsidRPr="00867514">
        <w:rPr>
          <w:rStyle w:val="src1"/>
          <w:rFonts w:asciiTheme="minorHAnsi" w:hAnsiTheme="minorHAnsi" w:cs="Arial"/>
          <w:sz w:val="24"/>
          <w:szCs w:val="24"/>
        </w:rPr>
        <w:t>Epub</w:t>
      </w:r>
      <w:proofErr w:type="spellEnd"/>
      <w:r w:rsidRPr="00867514">
        <w:rPr>
          <w:rStyle w:val="src1"/>
          <w:rFonts w:asciiTheme="minorHAnsi" w:hAnsiTheme="minorHAnsi" w:cs="Arial"/>
          <w:sz w:val="24"/>
          <w:szCs w:val="24"/>
        </w:rPr>
        <w:t xml:space="preserve"> 2008 Sep 15. </w:t>
      </w:r>
      <w:proofErr w:type="gramStart"/>
      <w:r w:rsidRPr="00867514">
        <w:rPr>
          <w:rStyle w:val="src1"/>
          <w:rFonts w:asciiTheme="minorHAnsi" w:hAnsiTheme="minorHAnsi" w:cs="Arial"/>
          <w:sz w:val="24"/>
          <w:szCs w:val="24"/>
        </w:rPr>
        <w:t>Review.</w:t>
      </w:r>
      <w:proofErr w:type="gramEnd"/>
    </w:p>
  </w:endnote>
  <w:endnote w:id="9">
    <w:p w:rsidR="00760AAF" w:rsidRPr="008D6ED0" w:rsidRDefault="00760AAF" w:rsidP="008D6ED0">
      <w:pPr>
        <w:autoSpaceDE w:val="0"/>
        <w:autoSpaceDN w:val="0"/>
        <w:adjustRightInd w:val="0"/>
        <w:spacing w:after="0" w:line="240" w:lineRule="auto"/>
        <w:rPr>
          <w:rFonts w:cs="Arial"/>
          <w:iCs/>
          <w:sz w:val="24"/>
          <w:szCs w:val="24"/>
        </w:rPr>
      </w:pPr>
      <w:r w:rsidRPr="008D6ED0">
        <w:rPr>
          <w:rStyle w:val="EndnoteReference"/>
          <w:rFonts w:cs="Arial"/>
          <w:sz w:val="24"/>
          <w:szCs w:val="24"/>
        </w:rPr>
        <w:endnoteRef/>
      </w:r>
      <w:r w:rsidRPr="008D6ED0">
        <w:rPr>
          <w:rFonts w:cs="Arial"/>
          <w:sz w:val="24"/>
          <w:szCs w:val="24"/>
        </w:rPr>
        <w:t xml:space="preserve"> Department of Health: </w:t>
      </w:r>
      <w:r w:rsidRPr="008D6ED0">
        <w:rPr>
          <w:rFonts w:cs="Arial"/>
          <w:iCs/>
          <w:sz w:val="24"/>
          <w:szCs w:val="24"/>
        </w:rPr>
        <w:t>Annual Report of the Chief Medical Officer 2004</w:t>
      </w:r>
    </w:p>
    <w:p w:rsidR="00760AAF" w:rsidRPr="008D6ED0" w:rsidRDefault="00760AAF" w:rsidP="008D6ED0">
      <w:pPr>
        <w:pStyle w:val="EndnoteText"/>
        <w:rPr>
          <w:rFonts w:asciiTheme="minorHAnsi" w:hAnsiTheme="minorHAnsi" w:cs="Arial"/>
          <w:sz w:val="24"/>
          <w:szCs w:val="24"/>
        </w:rPr>
      </w:pPr>
      <w:proofErr w:type="gramStart"/>
      <w:r w:rsidRPr="008D6ED0">
        <w:rPr>
          <w:rFonts w:asciiTheme="minorHAnsi" w:hAnsiTheme="minorHAnsi" w:cs="Arial"/>
          <w:iCs/>
          <w:sz w:val="24"/>
          <w:szCs w:val="24"/>
        </w:rPr>
        <w:t>on</w:t>
      </w:r>
      <w:proofErr w:type="gramEnd"/>
      <w:r w:rsidRPr="008D6ED0">
        <w:rPr>
          <w:rFonts w:asciiTheme="minorHAnsi" w:hAnsiTheme="minorHAnsi" w:cs="Arial"/>
          <w:iCs/>
          <w:sz w:val="24"/>
          <w:szCs w:val="24"/>
        </w:rPr>
        <w:t xml:space="preserve"> the state of public health. </w:t>
      </w:r>
      <w:proofErr w:type="gramStart"/>
      <w:r w:rsidRPr="008D6ED0">
        <w:rPr>
          <w:rFonts w:asciiTheme="minorHAnsi" w:hAnsiTheme="minorHAnsi" w:cs="Arial"/>
          <w:iCs/>
          <w:sz w:val="24"/>
          <w:szCs w:val="24"/>
        </w:rPr>
        <w:t xml:space="preserve">London </w:t>
      </w:r>
      <w:r w:rsidRPr="008D6ED0">
        <w:rPr>
          <w:rFonts w:asciiTheme="minorHAnsi" w:hAnsiTheme="minorHAnsi" w:cs="Arial"/>
          <w:sz w:val="24"/>
          <w:szCs w:val="24"/>
        </w:rPr>
        <w:t>;</w:t>
      </w:r>
      <w:proofErr w:type="gramEnd"/>
      <w:r w:rsidRPr="008D6ED0">
        <w:rPr>
          <w:rFonts w:asciiTheme="minorHAnsi" w:hAnsiTheme="minorHAnsi" w:cs="Arial"/>
          <w:sz w:val="24"/>
          <w:szCs w:val="24"/>
        </w:rPr>
        <w:t xml:space="preserve"> 2005.</w:t>
      </w:r>
    </w:p>
  </w:endnote>
  <w:endnote w:id="10">
    <w:p w:rsidR="00760AAF" w:rsidRPr="008D6ED0" w:rsidRDefault="00760AAF" w:rsidP="008D6ED0">
      <w:pPr>
        <w:pStyle w:val="EndnoteText"/>
        <w:rPr>
          <w:rFonts w:asciiTheme="minorHAnsi" w:hAnsiTheme="minorHAnsi" w:cs="Arial"/>
          <w:sz w:val="24"/>
          <w:szCs w:val="24"/>
          <w:lang w:val="en-GB"/>
        </w:rPr>
      </w:pPr>
      <w:r w:rsidRPr="008D6ED0">
        <w:rPr>
          <w:rStyle w:val="EndnoteReference"/>
          <w:rFonts w:asciiTheme="minorHAnsi" w:hAnsiTheme="minorHAnsi" w:cs="Arial"/>
          <w:sz w:val="24"/>
          <w:szCs w:val="24"/>
        </w:rPr>
        <w:endnoteRef/>
      </w:r>
      <w:r w:rsidRPr="008D6ED0">
        <w:rPr>
          <w:rFonts w:asciiTheme="minorHAnsi" w:hAnsiTheme="minorHAnsi" w:cs="Arial"/>
          <w:sz w:val="24"/>
          <w:szCs w:val="24"/>
        </w:rPr>
        <w:t xml:space="preserve"> </w:t>
      </w:r>
      <w:proofErr w:type="spellStart"/>
      <w:r w:rsidRPr="008D6ED0">
        <w:rPr>
          <w:rFonts w:cs="Arial"/>
          <w:sz w:val="24"/>
          <w:szCs w:val="24"/>
        </w:rPr>
        <w:t>Mannino</w:t>
      </w:r>
      <w:proofErr w:type="spellEnd"/>
      <w:r w:rsidRPr="008D6ED0">
        <w:rPr>
          <w:rFonts w:cs="Arial"/>
          <w:sz w:val="24"/>
          <w:szCs w:val="24"/>
        </w:rPr>
        <w:t xml:space="preserve"> DM. COPD: epidemiology, prevalence, morbidity</w:t>
      </w:r>
      <w:r>
        <w:rPr>
          <w:rFonts w:cs="Arial"/>
          <w:sz w:val="24"/>
          <w:szCs w:val="24"/>
        </w:rPr>
        <w:t xml:space="preserve"> </w:t>
      </w:r>
      <w:r w:rsidRPr="008D6ED0">
        <w:rPr>
          <w:rFonts w:cs="Arial"/>
          <w:sz w:val="24"/>
          <w:szCs w:val="24"/>
        </w:rPr>
        <w:t>and mortality, and disease heterogeneity. Chest 2002;</w:t>
      </w:r>
      <w:r>
        <w:rPr>
          <w:rFonts w:cs="Arial"/>
          <w:sz w:val="24"/>
          <w:szCs w:val="24"/>
        </w:rPr>
        <w:t xml:space="preserve"> </w:t>
      </w:r>
      <w:r w:rsidRPr="008D6ED0">
        <w:rPr>
          <w:rFonts w:asciiTheme="minorHAnsi" w:hAnsiTheme="minorHAnsi" w:cs="Arial"/>
          <w:sz w:val="24"/>
          <w:szCs w:val="24"/>
        </w:rPr>
        <w:t>121: Suppl. 5, 121S–126S.</w:t>
      </w:r>
    </w:p>
  </w:endnote>
  <w:endnote w:id="11">
    <w:p w:rsidR="00760AAF" w:rsidRPr="008D6ED0" w:rsidRDefault="00760AAF" w:rsidP="008D6ED0">
      <w:pPr>
        <w:autoSpaceDE w:val="0"/>
        <w:autoSpaceDN w:val="0"/>
        <w:adjustRightInd w:val="0"/>
        <w:spacing w:after="0" w:line="240" w:lineRule="auto"/>
        <w:rPr>
          <w:rFonts w:cs="Arial"/>
          <w:sz w:val="24"/>
          <w:szCs w:val="24"/>
        </w:rPr>
      </w:pPr>
      <w:r w:rsidRPr="008D6ED0">
        <w:rPr>
          <w:rStyle w:val="EndnoteReference"/>
          <w:rFonts w:cs="Arial"/>
          <w:sz w:val="24"/>
          <w:szCs w:val="24"/>
        </w:rPr>
        <w:endnoteRef/>
      </w:r>
      <w:r w:rsidRPr="008D6ED0">
        <w:rPr>
          <w:rFonts w:cs="Arial"/>
          <w:sz w:val="24"/>
          <w:szCs w:val="24"/>
        </w:rPr>
        <w:t xml:space="preserve"> </w:t>
      </w:r>
      <w:proofErr w:type="spellStart"/>
      <w:r w:rsidRPr="008D6ED0">
        <w:rPr>
          <w:rFonts w:cs="Arial"/>
          <w:sz w:val="24"/>
          <w:szCs w:val="24"/>
        </w:rPr>
        <w:t>Hansell</w:t>
      </w:r>
      <w:proofErr w:type="spellEnd"/>
      <w:r w:rsidRPr="008D6ED0">
        <w:rPr>
          <w:rFonts w:cs="Arial"/>
          <w:sz w:val="24"/>
          <w:szCs w:val="24"/>
        </w:rPr>
        <w:t xml:space="preserve"> AL: </w:t>
      </w:r>
      <w:r w:rsidRPr="008D6ED0">
        <w:rPr>
          <w:rFonts w:cs="Arial"/>
          <w:bCs/>
          <w:sz w:val="24"/>
          <w:szCs w:val="24"/>
        </w:rPr>
        <w:t xml:space="preserve">The epidemiology of chronic obstructive pulmonary disease in the UK: spatial and temporal variations. </w:t>
      </w:r>
      <w:proofErr w:type="gramStart"/>
      <w:r w:rsidRPr="008D6ED0">
        <w:rPr>
          <w:rFonts w:cs="Arial"/>
          <w:sz w:val="24"/>
          <w:szCs w:val="24"/>
        </w:rPr>
        <w:t xml:space="preserve">In </w:t>
      </w:r>
      <w:r w:rsidRPr="008D6ED0">
        <w:rPr>
          <w:rFonts w:cs="Arial"/>
          <w:iCs/>
          <w:sz w:val="24"/>
          <w:szCs w:val="24"/>
        </w:rPr>
        <w:t xml:space="preserve">PhD Thesis </w:t>
      </w:r>
      <w:r w:rsidRPr="008D6ED0">
        <w:rPr>
          <w:rFonts w:cs="Arial"/>
          <w:sz w:val="24"/>
          <w:szCs w:val="24"/>
        </w:rPr>
        <w:t>Faculty of Medicine of the University of London, Imperial College, St Mary's Campus; 2004.</w:t>
      </w:r>
      <w:proofErr w:type="gramEnd"/>
    </w:p>
  </w:endnote>
  <w:endnote w:id="12">
    <w:p w:rsidR="00760AAF" w:rsidRPr="008D6ED0" w:rsidRDefault="00760AAF" w:rsidP="008D6ED0">
      <w:pPr>
        <w:autoSpaceDE w:val="0"/>
        <w:autoSpaceDN w:val="0"/>
        <w:adjustRightInd w:val="0"/>
        <w:spacing w:after="0" w:line="240" w:lineRule="auto"/>
        <w:rPr>
          <w:rFonts w:cs="Arial"/>
          <w:sz w:val="24"/>
          <w:szCs w:val="24"/>
        </w:rPr>
      </w:pPr>
      <w:r w:rsidRPr="008D6ED0">
        <w:rPr>
          <w:rStyle w:val="EndnoteReference"/>
          <w:rFonts w:cs="Arial"/>
          <w:sz w:val="24"/>
          <w:szCs w:val="24"/>
        </w:rPr>
        <w:endnoteRef/>
      </w:r>
      <w:r w:rsidRPr="008D6ED0">
        <w:rPr>
          <w:rFonts w:cs="Arial"/>
          <w:sz w:val="24"/>
          <w:szCs w:val="24"/>
        </w:rPr>
        <w:t xml:space="preserve"> </w:t>
      </w:r>
      <w:proofErr w:type="spellStart"/>
      <w:r w:rsidRPr="008D6ED0">
        <w:rPr>
          <w:rFonts w:cs="Arial"/>
          <w:sz w:val="24"/>
          <w:szCs w:val="24"/>
        </w:rPr>
        <w:t>Rushton</w:t>
      </w:r>
      <w:proofErr w:type="spellEnd"/>
      <w:r w:rsidRPr="008D6ED0">
        <w:rPr>
          <w:rFonts w:cs="Arial"/>
          <w:sz w:val="24"/>
          <w:szCs w:val="24"/>
        </w:rPr>
        <w:t xml:space="preserve"> L: </w:t>
      </w:r>
      <w:r w:rsidRPr="008D6ED0">
        <w:rPr>
          <w:rFonts w:cs="Arial"/>
          <w:iCs/>
          <w:sz w:val="24"/>
          <w:szCs w:val="24"/>
        </w:rPr>
        <w:t xml:space="preserve">Review of the literature on chronic bronchitis and emphysema and occupational exposure </w:t>
      </w:r>
      <w:r w:rsidRPr="008D6ED0">
        <w:rPr>
          <w:rFonts w:cs="Arial"/>
          <w:sz w:val="24"/>
          <w:szCs w:val="24"/>
        </w:rPr>
        <w:t>Leicester, UK: Institute of Environmental Health; 2004.</w:t>
      </w:r>
    </w:p>
  </w:endnote>
  <w:endnote w:id="13">
    <w:p w:rsidR="00760AAF" w:rsidRPr="008D6ED0" w:rsidRDefault="00760AAF" w:rsidP="008D6ED0">
      <w:pPr>
        <w:autoSpaceDE w:val="0"/>
        <w:autoSpaceDN w:val="0"/>
        <w:adjustRightInd w:val="0"/>
        <w:spacing w:after="0" w:line="240" w:lineRule="auto"/>
        <w:rPr>
          <w:rFonts w:cs="Arial"/>
          <w:sz w:val="24"/>
          <w:szCs w:val="24"/>
        </w:rPr>
      </w:pPr>
      <w:r w:rsidRPr="008D6ED0">
        <w:rPr>
          <w:rStyle w:val="EndnoteReference"/>
          <w:rFonts w:cs="Arial"/>
          <w:sz w:val="24"/>
          <w:szCs w:val="24"/>
        </w:rPr>
        <w:endnoteRef/>
      </w:r>
      <w:r w:rsidRPr="008D6ED0">
        <w:rPr>
          <w:rFonts w:cs="Arial"/>
          <w:sz w:val="24"/>
          <w:szCs w:val="24"/>
        </w:rPr>
        <w:t xml:space="preserve"> Barnes PJ: </w:t>
      </w:r>
      <w:r w:rsidRPr="008D6ED0">
        <w:rPr>
          <w:rFonts w:cs="Arial"/>
          <w:bCs/>
          <w:sz w:val="24"/>
          <w:szCs w:val="24"/>
        </w:rPr>
        <w:t xml:space="preserve">Molecular genetics of chronic obstructive pulmonary disease. </w:t>
      </w:r>
      <w:r w:rsidRPr="008D6ED0">
        <w:rPr>
          <w:rFonts w:cs="Arial"/>
          <w:iCs/>
          <w:sz w:val="24"/>
          <w:szCs w:val="24"/>
        </w:rPr>
        <w:t xml:space="preserve">Thorax </w:t>
      </w:r>
      <w:r w:rsidRPr="008D6ED0">
        <w:rPr>
          <w:rFonts w:cs="Arial"/>
          <w:sz w:val="24"/>
          <w:szCs w:val="24"/>
        </w:rPr>
        <w:t xml:space="preserve">1999, </w:t>
      </w:r>
      <w:r w:rsidRPr="008D6ED0">
        <w:rPr>
          <w:rFonts w:cs="Arial"/>
          <w:bCs/>
          <w:sz w:val="24"/>
          <w:szCs w:val="24"/>
        </w:rPr>
        <w:t>54:</w:t>
      </w:r>
      <w:r w:rsidRPr="008D6ED0">
        <w:rPr>
          <w:rFonts w:cs="Arial"/>
          <w:sz w:val="24"/>
          <w:szCs w:val="24"/>
        </w:rPr>
        <w:t>245-52.</w:t>
      </w:r>
    </w:p>
  </w:endnote>
  <w:endnote w:id="14">
    <w:p w:rsidR="00760AAF" w:rsidRPr="008D6ED0" w:rsidRDefault="00760AAF" w:rsidP="008D6ED0">
      <w:pPr>
        <w:autoSpaceDE w:val="0"/>
        <w:autoSpaceDN w:val="0"/>
        <w:adjustRightInd w:val="0"/>
        <w:spacing w:after="0" w:line="240" w:lineRule="auto"/>
        <w:rPr>
          <w:rFonts w:cs="Arial"/>
          <w:sz w:val="24"/>
          <w:szCs w:val="24"/>
        </w:rPr>
      </w:pPr>
      <w:r w:rsidRPr="008D6ED0">
        <w:rPr>
          <w:rStyle w:val="EndnoteReference"/>
          <w:rFonts w:cs="Arial"/>
          <w:sz w:val="24"/>
          <w:szCs w:val="24"/>
        </w:rPr>
        <w:endnoteRef/>
      </w:r>
      <w:r w:rsidRPr="008D6ED0">
        <w:rPr>
          <w:rFonts w:cs="Arial"/>
          <w:sz w:val="24"/>
          <w:szCs w:val="24"/>
        </w:rPr>
        <w:t xml:space="preserve"> </w:t>
      </w:r>
      <w:proofErr w:type="spellStart"/>
      <w:r w:rsidRPr="008D6ED0">
        <w:rPr>
          <w:rFonts w:cs="Arial"/>
          <w:sz w:val="24"/>
          <w:szCs w:val="24"/>
        </w:rPr>
        <w:t>Chatila</w:t>
      </w:r>
      <w:proofErr w:type="spellEnd"/>
      <w:r w:rsidRPr="008D6ED0">
        <w:rPr>
          <w:rFonts w:cs="Arial"/>
          <w:sz w:val="24"/>
          <w:szCs w:val="24"/>
        </w:rPr>
        <w:t xml:space="preserve"> WM, </w:t>
      </w:r>
      <w:proofErr w:type="spellStart"/>
      <w:r w:rsidRPr="008D6ED0">
        <w:rPr>
          <w:rFonts w:cs="Arial"/>
          <w:sz w:val="24"/>
          <w:szCs w:val="24"/>
        </w:rPr>
        <w:t>Wynkoop</w:t>
      </w:r>
      <w:proofErr w:type="spellEnd"/>
      <w:r w:rsidRPr="008D6ED0">
        <w:rPr>
          <w:rFonts w:cs="Arial"/>
          <w:sz w:val="24"/>
          <w:szCs w:val="24"/>
        </w:rPr>
        <w:t xml:space="preserve"> WA, Vance G, </w:t>
      </w:r>
      <w:proofErr w:type="spellStart"/>
      <w:proofErr w:type="gramStart"/>
      <w:r w:rsidRPr="008D6ED0">
        <w:rPr>
          <w:rFonts w:cs="Arial"/>
          <w:sz w:val="24"/>
          <w:szCs w:val="24"/>
        </w:rPr>
        <w:t>Criner</w:t>
      </w:r>
      <w:proofErr w:type="spellEnd"/>
      <w:proofErr w:type="gramEnd"/>
      <w:r w:rsidRPr="008D6ED0">
        <w:rPr>
          <w:rFonts w:cs="Arial"/>
          <w:sz w:val="24"/>
          <w:szCs w:val="24"/>
        </w:rPr>
        <w:t xml:space="preserve"> GJ: </w:t>
      </w:r>
      <w:r w:rsidRPr="008D6ED0">
        <w:rPr>
          <w:rFonts w:cs="Arial"/>
          <w:bCs/>
          <w:sz w:val="24"/>
          <w:szCs w:val="24"/>
        </w:rPr>
        <w:t xml:space="preserve">Smoking patterns in African Americans and Whites with advanced COPD. </w:t>
      </w:r>
      <w:r w:rsidRPr="008D6ED0">
        <w:rPr>
          <w:rFonts w:cs="Arial"/>
          <w:iCs/>
          <w:sz w:val="24"/>
          <w:szCs w:val="24"/>
        </w:rPr>
        <w:t xml:space="preserve">Chest </w:t>
      </w:r>
      <w:r w:rsidRPr="008D6ED0">
        <w:rPr>
          <w:rFonts w:cs="Arial"/>
          <w:sz w:val="24"/>
          <w:szCs w:val="24"/>
        </w:rPr>
        <w:t xml:space="preserve">2004, </w:t>
      </w:r>
      <w:r w:rsidRPr="008D6ED0">
        <w:rPr>
          <w:rFonts w:cs="Arial"/>
          <w:bCs/>
          <w:sz w:val="24"/>
          <w:szCs w:val="24"/>
        </w:rPr>
        <w:t>125:</w:t>
      </w:r>
      <w:r w:rsidRPr="008D6ED0">
        <w:rPr>
          <w:rFonts w:cs="Arial"/>
          <w:sz w:val="24"/>
          <w:szCs w:val="24"/>
        </w:rPr>
        <w:t>15-21.</w:t>
      </w:r>
    </w:p>
  </w:endnote>
  <w:endnote w:id="15">
    <w:p w:rsidR="00760AAF" w:rsidRPr="008D6ED0" w:rsidRDefault="00760AAF" w:rsidP="008D6ED0">
      <w:pPr>
        <w:pStyle w:val="EndnoteText"/>
        <w:rPr>
          <w:rFonts w:asciiTheme="minorHAnsi" w:hAnsiTheme="minorHAnsi" w:cs="Arial"/>
          <w:sz w:val="24"/>
          <w:szCs w:val="24"/>
          <w:lang w:val="en-GB"/>
        </w:rPr>
      </w:pPr>
      <w:r w:rsidRPr="008D6ED0">
        <w:rPr>
          <w:rStyle w:val="EndnoteReference"/>
          <w:rFonts w:asciiTheme="minorHAnsi" w:hAnsiTheme="minorHAnsi" w:cs="Arial"/>
          <w:sz w:val="24"/>
          <w:szCs w:val="24"/>
        </w:rPr>
        <w:endnoteRef/>
      </w:r>
      <w:r w:rsidRPr="008D6ED0">
        <w:rPr>
          <w:rFonts w:asciiTheme="minorHAnsi" w:hAnsiTheme="minorHAnsi" w:cs="Arial"/>
          <w:sz w:val="24"/>
          <w:szCs w:val="24"/>
        </w:rPr>
        <w:t xml:space="preserve"> http://www.apho.org.uk/resource/item.aspx?RID=77180</w:t>
      </w:r>
    </w:p>
  </w:endnote>
  <w:endnote w:id="16">
    <w:p w:rsidR="00760AAF" w:rsidRPr="008D6ED0" w:rsidRDefault="00760AAF" w:rsidP="008D6ED0">
      <w:pPr>
        <w:pStyle w:val="authlist"/>
        <w:shd w:val="clear" w:color="auto" w:fill="FFFFFF"/>
        <w:spacing w:before="0" w:beforeAutospacing="0" w:after="0" w:afterAutospacing="0"/>
        <w:rPr>
          <w:rFonts w:asciiTheme="minorHAnsi" w:hAnsiTheme="minorHAnsi" w:cs="Arial"/>
        </w:rPr>
      </w:pPr>
      <w:r w:rsidRPr="008D6ED0">
        <w:rPr>
          <w:rStyle w:val="EndnoteReference"/>
          <w:rFonts w:asciiTheme="minorHAnsi" w:hAnsiTheme="minorHAnsi" w:cs="Arial"/>
        </w:rPr>
        <w:endnoteRef/>
      </w:r>
      <w:r w:rsidRPr="008D6ED0">
        <w:rPr>
          <w:rFonts w:asciiTheme="minorHAnsi" w:hAnsiTheme="minorHAnsi" w:cs="Arial"/>
        </w:rPr>
        <w:t xml:space="preserve"> </w:t>
      </w:r>
      <w:hyperlink r:id="rId14" w:history="1">
        <w:proofErr w:type="spellStart"/>
        <w:r w:rsidRPr="008D6ED0">
          <w:rPr>
            <w:rStyle w:val="Hyperlink"/>
            <w:rFonts w:asciiTheme="minorHAnsi" w:hAnsiTheme="minorHAnsi" w:cs="Arial"/>
            <w:color w:val="auto"/>
            <w:u w:val="none"/>
          </w:rPr>
          <w:t>Nacul</w:t>
        </w:r>
        <w:proofErr w:type="spellEnd"/>
        <w:r w:rsidRPr="008D6ED0">
          <w:rPr>
            <w:rStyle w:val="Hyperlink"/>
            <w:rFonts w:asciiTheme="minorHAnsi" w:hAnsiTheme="minorHAnsi" w:cs="Arial"/>
            <w:color w:val="auto"/>
            <w:u w:val="none"/>
          </w:rPr>
          <w:t xml:space="preserve"> LC</w:t>
        </w:r>
      </w:hyperlink>
      <w:r w:rsidRPr="008D6ED0">
        <w:rPr>
          <w:rFonts w:asciiTheme="minorHAnsi" w:hAnsiTheme="minorHAnsi" w:cs="Arial"/>
        </w:rPr>
        <w:t xml:space="preserve">, </w:t>
      </w:r>
      <w:hyperlink r:id="rId15" w:history="1">
        <w:proofErr w:type="spellStart"/>
        <w:r w:rsidRPr="008D6ED0">
          <w:rPr>
            <w:rStyle w:val="Hyperlink"/>
            <w:rFonts w:asciiTheme="minorHAnsi" w:hAnsiTheme="minorHAnsi" w:cs="Arial"/>
            <w:color w:val="auto"/>
            <w:u w:val="none"/>
          </w:rPr>
          <w:t>Soljak</w:t>
        </w:r>
        <w:proofErr w:type="spellEnd"/>
        <w:r w:rsidRPr="008D6ED0">
          <w:rPr>
            <w:rStyle w:val="Hyperlink"/>
            <w:rFonts w:asciiTheme="minorHAnsi" w:hAnsiTheme="minorHAnsi" w:cs="Arial"/>
            <w:color w:val="auto"/>
            <w:u w:val="none"/>
          </w:rPr>
          <w:t xml:space="preserve"> M</w:t>
        </w:r>
      </w:hyperlink>
      <w:r w:rsidRPr="008D6ED0">
        <w:rPr>
          <w:rFonts w:asciiTheme="minorHAnsi" w:hAnsiTheme="minorHAnsi" w:cs="Arial"/>
        </w:rPr>
        <w:t xml:space="preserve">, </w:t>
      </w:r>
      <w:hyperlink r:id="rId16" w:history="1">
        <w:r w:rsidRPr="008D6ED0">
          <w:rPr>
            <w:rStyle w:val="Hyperlink"/>
            <w:rFonts w:asciiTheme="minorHAnsi" w:hAnsiTheme="minorHAnsi" w:cs="Arial"/>
            <w:color w:val="auto"/>
            <w:u w:val="none"/>
          </w:rPr>
          <w:t>Meade T</w:t>
        </w:r>
      </w:hyperlink>
      <w:r w:rsidRPr="008D6ED0">
        <w:rPr>
          <w:rFonts w:asciiTheme="minorHAnsi" w:hAnsiTheme="minorHAnsi" w:cs="Arial"/>
        </w:rPr>
        <w:t>.</w:t>
      </w:r>
      <w:r w:rsidRPr="008D6ED0">
        <w:rPr>
          <w:rFonts w:asciiTheme="minorHAnsi" w:hAnsiTheme="minorHAnsi" w:cs="Arial"/>
          <w:bCs/>
        </w:rPr>
        <w:t xml:space="preserve"> Model for estimating the population prevalence of chronic obstructive pulmonary disease: cross sectional data from the Health Survey for England. </w:t>
      </w:r>
      <w:hyperlink r:id="rId17" w:tooltip="Population health metrics." w:history="1">
        <w:proofErr w:type="spellStart"/>
        <w:proofErr w:type="gramStart"/>
        <w:r w:rsidRPr="008D6ED0">
          <w:rPr>
            <w:rStyle w:val="Hyperlink"/>
            <w:rFonts w:asciiTheme="minorHAnsi" w:hAnsiTheme="minorHAnsi" w:cs="Arial"/>
            <w:color w:val="auto"/>
            <w:u w:val="none"/>
          </w:rPr>
          <w:t>Popul</w:t>
        </w:r>
        <w:proofErr w:type="spellEnd"/>
        <w:r w:rsidRPr="008D6ED0">
          <w:rPr>
            <w:rStyle w:val="Hyperlink"/>
            <w:rFonts w:asciiTheme="minorHAnsi" w:hAnsiTheme="minorHAnsi" w:cs="Arial"/>
            <w:color w:val="auto"/>
            <w:u w:val="none"/>
          </w:rPr>
          <w:t xml:space="preserve"> Health </w:t>
        </w:r>
        <w:proofErr w:type="spellStart"/>
        <w:r w:rsidRPr="008D6ED0">
          <w:rPr>
            <w:rStyle w:val="Hyperlink"/>
            <w:rFonts w:asciiTheme="minorHAnsi" w:hAnsiTheme="minorHAnsi" w:cs="Arial"/>
            <w:color w:val="auto"/>
            <w:u w:val="none"/>
          </w:rPr>
          <w:t>Metr</w:t>
        </w:r>
        <w:proofErr w:type="spellEnd"/>
        <w:r w:rsidRPr="008D6ED0">
          <w:rPr>
            <w:rStyle w:val="Hyperlink"/>
            <w:rFonts w:asciiTheme="minorHAnsi" w:hAnsiTheme="minorHAnsi" w:cs="Arial"/>
            <w:color w:val="auto"/>
            <w:u w:val="none"/>
          </w:rPr>
          <w:t>.</w:t>
        </w:r>
        <w:proofErr w:type="gramEnd"/>
      </w:hyperlink>
      <w:r w:rsidRPr="008D6ED0">
        <w:rPr>
          <w:rFonts w:asciiTheme="minorHAnsi" w:hAnsiTheme="minorHAnsi" w:cs="Arial"/>
        </w:rPr>
        <w:t xml:space="preserve"> 2007 Sep 26</w:t>
      </w:r>
      <w:proofErr w:type="gramStart"/>
      <w:r w:rsidRPr="008D6ED0">
        <w:rPr>
          <w:rFonts w:asciiTheme="minorHAnsi" w:hAnsiTheme="minorHAnsi" w:cs="Arial"/>
        </w:rPr>
        <w:t>;5:8</w:t>
      </w:r>
      <w:proofErr w:type="gramEnd"/>
      <w:r w:rsidRPr="008D6ED0">
        <w:rPr>
          <w:rFonts w:asciiTheme="minorHAnsi" w:hAnsiTheme="minorHAnsi" w:cs="Arial"/>
        </w:rPr>
        <w:t>.</w:t>
      </w:r>
    </w:p>
  </w:endnote>
  <w:endnote w:id="17">
    <w:p w:rsidR="00760AAF" w:rsidRPr="008D6ED0" w:rsidRDefault="00760AAF" w:rsidP="008D6ED0">
      <w:pPr>
        <w:pStyle w:val="EndnoteText"/>
        <w:rPr>
          <w:rFonts w:asciiTheme="minorHAnsi" w:hAnsiTheme="minorHAnsi" w:cs="Arial"/>
          <w:sz w:val="24"/>
          <w:szCs w:val="24"/>
          <w:lang w:val="en-GB"/>
        </w:rPr>
      </w:pPr>
      <w:r w:rsidRPr="008D6ED0">
        <w:rPr>
          <w:rStyle w:val="EndnoteReference"/>
          <w:rFonts w:asciiTheme="minorHAnsi" w:hAnsiTheme="minorHAnsi" w:cs="Arial"/>
          <w:sz w:val="24"/>
          <w:szCs w:val="24"/>
        </w:rPr>
        <w:endnoteRef/>
      </w:r>
      <w:r w:rsidRPr="008D6ED0">
        <w:rPr>
          <w:rFonts w:asciiTheme="minorHAnsi" w:hAnsiTheme="minorHAnsi" w:cs="Arial"/>
          <w:sz w:val="24"/>
          <w:szCs w:val="24"/>
        </w:rPr>
        <w:t xml:space="preserve"> </w:t>
      </w:r>
      <w:proofErr w:type="spellStart"/>
      <w:r w:rsidRPr="008D6ED0">
        <w:rPr>
          <w:rStyle w:val="viewpagetitle1"/>
          <w:rFonts w:asciiTheme="minorHAnsi" w:hAnsiTheme="minorHAnsi" w:cs="Arial"/>
          <w:color w:val="auto"/>
          <w:sz w:val="24"/>
          <w:szCs w:val="24"/>
        </w:rPr>
        <w:t>Modelled</w:t>
      </w:r>
      <w:proofErr w:type="spellEnd"/>
      <w:r w:rsidRPr="008D6ED0">
        <w:rPr>
          <w:rStyle w:val="viewpagetitle1"/>
          <w:rFonts w:asciiTheme="minorHAnsi" w:hAnsiTheme="minorHAnsi" w:cs="Arial"/>
          <w:color w:val="auto"/>
          <w:sz w:val="24"/>
          <w:szCs w:val="24"/>
        </w:rPr>
        <w:t xml:space="preserve"> estimates and projections of COPD for Local Authorities in England Available at http://www.erpho.org.uk/viewResource.aspx?id=18024</w:t>
      </w:r>
    </w:p>
  </w:endnote>
  <w:endnote w:id="18">
    <w:p w:rsidR="00760AAF" w:rsidRPr="008D6ED0" w:rsidRDefault="00760AAF" w:rsidP="00867514">
      <w:pPr>
        <w:autoSpaceDE w:val="0"/>
        <w:autoSpaceDN w:val="0"/>
        <w:adjustRightInd w:val="0"/>
        <w:spacing w:after="0" w:line="240" w:lineRule="auto"/>
        <w:rPr>
          <w:rFonts w:cs="Arial"/>
          <w:sz w:val="24"/>
          <w:szCs w:val="24"/>
        </w:rPr>
      </w:pPr>
      <w:r w:rsidRPr="008D6ED0">
        <w:rPr>
          <w:rStyle w:val="EndnoteReference"/>
          <w:rFonts w:eastAsia="Times New Roman" w:cs="Times New Roman"/>
          <w:sz w:val="24"/>
          <w:szCs w:val="24"/>
          <w:lang w:val="en-US"/>
        </w:rPr>
        <w:endnoteRef/>
      </w:r>
      <w:proofErr w:type="spellStart"/>
      <w:r w:rsidRPr="008D6ED0">
        <w:rPr>
          <w:rFonts w:cs="Arial"/>
          <w:sz w:val="24"/>
          <w:szCs w:val="24"/>
        </w:rPr>
        <w:t>Mannino</w:t>
      </w:r>
      <w:proofErr w:type="spellEnd"/>
      <w:r w:rsidRPr="008D6ED0">
        <w:rPr>
          <w:rFonts w:cs="Arial"/>
          <w:sz w:val="24"/>
          <w:szCs w:val="24"/>
        </w:rPr>
        <w:t xml:space="preserve"> DM. COPD: epidemiology, prevalence, morbidity</w:t>
      </w:r>
      <w:r>
        <w:rPr>
          <w:rFonts w:cs="Arial"/>
          <w:sz w:val="24"/>
          <w:szCs w:val="24"/>
        </w:rPr>
        <w:t xml:space="preserve"> </w:t>
      </w:r>
      <w:r w:rsidRPr="008D6ED0">
        <w:rPr>
          <w:rFonts w:cs="Arial"/>
          <w:sz w:val="24"/>
          <w:szCs w:val="24"/>
        </w:rPr>
        <w:t>and mortality, and disease heterogeneity. Chest 2002;</w:t>
      </w:r>
      <w:r>
        <w:rPr>
          <w:rFonts w:cs="Arial"/>
          <w:sz w:val="24"/>
          <w:szCs w:val="24"/>
        </w:rPr>
        <w:t xml:space="preserve"> </w:t>
      </w:r>
      <w:r w:rsidRPr="008D6ED0">
        <w:rPr>
          <w:rFonts w:cs="Arial"/>
          <w:sz w:val="24"/>
          <w:szCs w:val="24"/>
        </w:rPr>
        <w:t>121: Suppl. 5, 121S–126S.</w:t>
      </w:r>
    </w:p>
  </w:endnote>
  <w:endnote w:id="19">
    <w:p w:rsidR="00760AAF" w:rsidRPr="008D6ED0" w:rsidRDefault="00760AAF" w:rsidP="008D6ED0">
      <w:pPr>
        <w:autoSpaceDE w:val="0"/>
        <w:autoSpaceDN w:val="0"/>
        <w:adjustRightInd w:val="0"/>
        <w:spacing w:after="0" w:line="240" w:lineRule="auto"/>
        <w:rPr>
          <w:rFonts w:cs="Arial"/>
          <w:sz w:val="24"/>
          <w:szCs w:val="24"/>
        </w:rPr>
      </w:pPr>
      <w:r w:rsidRPr="008D6ED0">
        <w:rPr>
          <w:rStyle w:val="EndnoteReference"/>
          <w:rFonts w:cs="Arial"/>
          <w:sz w:val="24"/>
          <w:szCs w:val="24"/>
        </w:rPr>
        <w:endnoteRef/>
      </w:r>
      <w:r w:rsidRPr="008D6ED0">
        <w:rPr>
          <w:rFonts w:cs="Arial"/>
          <w:sz w:val="24"/>
          <w:szCs w:val="24"/>
        </w:rPr>
        <w:t xml:space="preserve"> </w:t>
      </w:r>
      <w:proofErr w:type="gramStart"/>
      <w:r w:rsidRPr="008D6ED0">
        <w:rPr>
          <w:rFonts w:eastAsia="Times New Roman" w:cs="Arial"/>
          <w:bCs/>
          <w:sz w:val="24"/>
          <w:szCs w:val="24"/>
          <w:lang w:eastAsia="en-GB"/>
        </w:rPr>
        <w:t xml:space="preserve">Feb 2004 </w:t>
      </w:r>
      <w:r w:rsidRPr="008D6ED0">
        <w:rPr>
          <w:rFonts w:cs="Arial"/>
          <w:bCs/>
          <w:sz w:val="24"/>
          <w:szCs w:val="24"/>
        </w:rPr>
        <w:t>Management of chronic obstructive pulmonary disease in adults in primary and secondary care.</w:t>
      </w:r>
      <w:proofErr w:type="gramEnd"/>
      <w:r w:rsidRPr="008D6ED0">
        <w:rPr>
          <w:rFonts w:cs="Arial"/>
          <w:bCs/>
          <w:sz w:val="24"/>
          <w:szCs w:val="24"/>
        </w:rPr>
        <w:t xml:space="preserve"> </w:t>
      </w:r>
      <w:proofErr w:type="gramStart"/>
      <w:r w:rsidRPr="008D6ED0">
        <w:rPr>
          <w:rFonts w:cs="Arial"/>
          <w:bCs/>
          <w:sz w:val="24"/>
          <w:szCs w:val="24"/>
        </w:rPr>
        <w:t>Clinical Guideline 12.</w:t>
      </w:r>
      <w:proofErr w:type="gramEnd"/>
      <w:r w:rsidRPr="008D6ED0">
        <w:rPr>
          <w:rFonts w:cs="Arial"/>
          <w:bCs/>
          <w:sz w:val="24"/>
          <w:szCs w:val="24"/>
        </w:rPr>
        <w:t xml:space="preserve"> </w:t>
      </w:r>
      <w:proofErr w:type="gramStart"/>
      <w:r w:rsidRPr="008D6ED0">
        <w:rPr>
          <w:rFonts w:cs="Arial"/>
          <w:bCs/>
          <w:sz w:val="24"/>
          <w:szCs w:val="24"/>
        </w:rPr>
        <w:t>Developed by the National Collaborating Centre for Chronic Conditions</w:t>
      </w:r>
      <w:r>
        <w:rPr>
          <w:rFonts w:cs="Arial"/>
          <w:bCs/>
          <w:sz w:val="24"/>
          <w:szCs w:val="24"/>
        </w:rPr>
        <w:t>.</w:t>
      </w:r>
      <w:proofErr w:type="gramEnd"/>
    </w:p>
  </w:endnote>
  <w:endnote w:id="20">
    <w:p w:rsidR="00760AAF" w:rsidRPr="008D6ED0" w:rsidRDefault="00760AAF" w:rsidP="008D6ED0">
      <w:pPr>
        <w:autoSpaceDE w:val="0"/>
        <w:autoSpaceDN w:val="0"/>
        <w:adjustRightInd w:val="0"/>
        <w:spacing w:after="0" w:line="240" w:lineRule="auto"/>
        <w:rPr>
          <w:rFonts w:cs="Arial"/>
          <w:sz w:val="24"/>
          <w:szCs w:val="24"/>
        </w:rPr>
      </w:pPr>
      <w:r w:rsidRPr="008D6ED0">
        <w:rPr>
          <w:rStyle w:val="EndnoteReference"/>
          <w:rFonts w:cs="Arial"/>
          <w:sz w:val="24"/>
          <w:szCs w:val="24"/>
        </w:rPr>
        <w:endnoteRef/>
      </w:r>
      <w:r w:rsidRPr="008D6ED0">
        <w:rPr>
          <w:rFonts w:cs="Arial"/>
          <w:sz w:val="24"/>
          <w:szCs w:val="24"/>
        </w:rPr>
        <w:t xml:space="preserve"> </w:t>
      </w:r>
      <w:r>
        <w:rPr>
          <w:rFonts w:cs="Arial"/>
          <w:sz w:val="24"/>
          <w:szCs w:val="24"/>
        </w:rPr>
        <w:t xml:space="preserve">NICE guidance on commissioning assisted discharge services for COPD. (Accessed at </w:t>
      </w:r>
      <w:r w:rsidRPr="008D6ED0">
        <w:rPr>
          <w:rFonts w:cs="Arial"/>
          <w:sz w:val="24"/>
          <w:szCs w:val="24"/>
        </w:rPr>
        <w:t>http://www.nice.org.uk/usingguidance/commissioningguides/assdissvcpatientscopd</w:t>
      </w:r>
    </w:p>
    <w:p w:rsidR="00760AAF" w:rsidRPr="008D6ED0" w:rsidRDefault="00760AAF" w:rsidP="008D6ED0">
      <w:pPr>
        <w:autoSpaceDE w:val="0"/>
        <w:autoSpaceDN w:val="0"/>
        <w:adjustRightInd w:val="0"/>
        <w:spacing w:after="0" w:line="240" w:lineRule="auto"/>
        <w:rPr>
          <w:rFonts w:cs="Arial"/>
          <w:sz w:val="24"/>
          <w:szCs w:val="24"/>
        </w:rPr>
      </w:pPr>
      <w:r w:rsidRPr="008D6ED0">
        <w:rPr>
          <w:rFonts w:cs="Arial"/>
          <w:sz w:val="24"/>
          <w:szCs w:val="24"/>
        </w:rPr>
        <w:t>/assisteddischarge_service_for_patients_with_copd.jsp</w:t>
      </w:r>
      <w:r>
        <w:rPr>
          <w:rFonts w:cs="Arial"/>
          <w:sz w:val="24"/>
          <w:szCs w:val="24"/>
        </w:rPr>
        <w:t>)</w:t>
      </w:r>
    </w:p>
  </w:endnote>
  <w:endnote w:id="21">
    <w:p w:rsidR="00760AAF" w:rsidRPr="008D6ED0" w:rsidRDefault="00760AAF" w:rsidP="008D6ED0">
      <w:pPr>
        <w:autoSpaceDE w:val="0"/>
        <w:autoSpaceDN w:val="0"/>
        <w:adjustRightInd w:val="0"/>
        <w:spacing w:after="0" w:line="240" w:lineRule="auto"/>
        <w:rPr>
          <w:rFonts w:cs="Arial"/>
          <w:sz w:val="24"/>
          <w:szCs w:val="24"/>
        </w:rPr>
      </w:pPr>
      <w:r w:rsidRPr="008D6ED0">
        <w:rPr>
          <w:rStyle w:val="EndnoteReference"/>
          <w:rFonts w:cs="Arial"/>
          <w:sz w:val="24"/>
          <w:szCs w:val="24"/>
        </w:rPr>
        <w:endnoteRef/>
      </w:r>
      <w:r w:rsidRPr="008D6ED0">
        <w:rPr>
          <w:rFonts w:cs="Arial"/>
          <w:sz w:val="24"/>
          <w:szCs w:val="24"/>
        </w:rPr>
        <w:t xml:space="preserve"> </w:t>
      </w:r>
      <w:r>
        <w:rPr>
          <w:rFonts w:cs="Arial"/>
          <w:sz w:val="24"/>
          <w:szCs w:val="24"/>
        </w:rPr>
        <w:t xml:space="preserve">NICE guidance on </w:t>
      </w:r>
      <w:proofErr w:type="spellStart"/>
      <w:r>
        <w:rPr>
          <w:rFonts w:cs="Arial"/>
          <w:sz w:val="24"/>
          <w:szCs w:val="24"/>
        </w:rPr>
        <w:t>commisioing</w:t>
      </w:r>
      <w:proofErr w:type="spellEnd"/>
      <w:r>
        <w:rPr>
          <w:rFonts w:cs="Arial"/>
          <w:sz w:val="24"/>
          <w:szCs w:val="24"/>
        </w:rPr>
        <w:t xml:space="preserve"> pulmonary rehabilitation services. (Accessed at: </w:t>
      </w:r>
      <w:r w:rsidRPr="008D6ED0">
        <w:rPr>
          <w:rFonts w:cs="Arial"/>
          <w:sz w:val="24"/>
          <w:szCs w:val="24"/>
        </w:rPr>
        <w:t>http://www.nice.org.uk/usingguidance/commissioningguides/pulmonaryrehabilitatio</w:t>
      </w:r>
    </w:p>
    <w:p w:rsidR="00760AAF" w:rsidRPr="008D6ED0" w:rsidRDefault="00760AAF" w:rsidP="008D6ED0">
      <w:pPr>
        <w:autoSpaceDE w:val="0"/>
        <w:autoSpaceDN w:val="0"/>
        <w:adjustRightInd w:val="0"/>
        <w:spacing w:after="0" w:line="240" w:lineRule="auto"/>
        <w:rPr>
          <w:rFonts w:cs="Arial"/>
          <w:sz w:val="24"/>
          <w:szCs w:val="24"/>
        </w:rPr>
      </w:pPr>
      <w:r w:rsidRPr="008D6ED0">
        <w:rPr>
          <w:rFonts w:cs="Arial"/>
          <w:sz w:val="24"/>
          <w:szCs w:val="24"/>
        </w:rPr>
        <w:t>nserviceforpatientswithcopd/pulmonary_rehabilitation_service_for_patients_with_c</w:t>
      </w:r>
    </w:p>
    <w:p w:rsidR="00760AAF" w:rsidRPr="008D6ED0" w:rsidRDefault="00760AAF" w:rsidP="008D6ED0">
      <w:pPr>
        <w:spacing w:after="0" w:line="240" w:lineRule="auto"/>
        <w:rPr>
          <w:rFonts w:eastAsia="Times New Roman" w:cs="Arial"/>
          <w:sz w:val="24"/>
          <w:szCs w:val="24"/>
          <w:lang w:eastAsia="en-GB"/>
        </w:rPr>
      </w:pPr>
      <w:r w:rsidRPr="008D6ED0">
        <w:rPr>
          <w:rFonts w:cs="Arial"/>
          <w:sz w:val="24"/>
          <w:szCs w:val="24"/>
        </w:rPr>
        <w:t>opd.jsp</w:t>
      </w:r>
      <w:r>
        <w:rPr>
          <w:rFonts w:cs="Arial"/>
          <w:sz w:val="24"/>
          <w:szCs w:val="24"/>
        </w:rPr>
        <w:t>)</w:t>
      </w:r>
    </w:p>
    <w:p w:rsidR="00760AAF" w:rsidRDefault="00760AAF" w:rsidP="00E62C87">
      <w:pPr>
        <w:autoSpaceDE w:val="0"/>
        <w:autoSpaceDN w:val="0"/>
        <w:adjustRightInd w:val="0"/>
        <w:spacing w:after="0" w:line="240" w:lineRule="auto"/>
        <w:rPr>
          <w:rFonts w:ascii="Arial" w:hAnsi="Arial" w:cs="Arial"/>
          <w:color w:val="0000FF"/>
          <w:sz w:val="23"/>
          <w:szCs w:val="23"/>
        </w:rPr>
      </w:pPr>
    </w:p>
    <w:p w:rsidR="00760AAF" w:rsidRDefault="00760AAF" w:rsidP="00E62C87">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95478"/>
      <w:docPartObj>
        <w:docPartGallery w:val="Page Numbers (Bottom of Page)"/>
        <w:docPartUnique/>
      </w:docPartObj>
    </w:sdtPr>
    <w:sdtContent>
      <w:p w:rsidR="00760AAF" w:rsidRDefault="00924AF3">
        <w:pPr>
          <w:pStyle w:val="Footer"/>
          <w:jc w:val="center"/>
        </w:pPr>
        <w:fldSimple w:instr=" PAGE   \* MERGEFORMAT ">
          <w:r w:rsidR="00457A36">
            <w:rPr>
              <w:noProof/>
            </w:rPr>
            <w:t>1</w:t>
          </w:r>
        </w:fldSimple>
      </w:p>
    </w:sdtContent>
  </w:sdt>
  <w:p w:rsidR="00760AAF" w:rsidRDefault="00760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AF" w:rsidRDefault="00760AAF" w:rsidP="00EC3096">
      <w:pPr>
        <w:spacing w:after="0" w:line="240" w:lineRule="auto"/>
      </w:pPr>
      <w:r>
        <w:separator/>
      </w:r>
    </w:p>
  </w:footnote>
  <w:footnote w:type="continuationSeparator" w:id="0">
    <w:p w:rsidR="00760AAF" w:rsidRDefault="00760AAF" w:rsidP="00EC3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08" w:rsidRDefault="008654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AF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35B3ABA"/>
    <w:multiLevelType w:val="hybridMultilevel"/>
    <w:tmpl w:val="77E6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85D58"/>
    <w:multiLevelType w:val="hybridMultilevel"/>
    <w:tmpl w:val="6BB2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C37D7F"/>
    <w:multiLevelType w:val="hybridMultilevel"/>
    <w:tmpl w:val="7EAE357A"/>
    <w:lvl w:ilvl="0" w:tplc="2ABA6CEC">
      <w:start w:val="1"/>
      <w:numFmt w:val="bullet"/>
      <w:lvlText w:val="•"/>
      <w:lvlJc w:val="left"/>
      <w:pPr>
        <w:tabs>
          <w:tab w:val="num" w:pos="720"/>
        </w:tabs>
        <w:ind w:left="720" w:hanging="360"/>
      </w:pPr>
      <w:rPr>
        <w:rFonts w:ascii="Times New Roman" w:hAnsi="Times New Roman" w:hint="default"/>
      </w:rPr>
    </w:lvl>
    <w:lvl w:ilvl="1" w:tplc="0040F6F4">
      <w:numFmt w:val="bullet"/>
      <w:lvlText w:val="–"/>
      <w:lvlJc w:val="left"/>
      <w:pPr>
        <w:ind w:left="1440" w:hanging="360"/>
      </w:pPr>
      <w:rPr>
        <w:rFonts w:ascii="Frutiger-Roman" w:eastAsiaTheme="minorHAnsi" w:hAnsi="Frutiger-Roman" w:cs="Frutiger-Roman" w:hint="default"/>
      </w:rPr>
    </w:lvl>
    <w:lvl w:ilvl="2" w:tplc="BC9404EA">
      <w:start w:val="1"/>
      <w:numFmt w:val="bullet"/>
      <w:lvlText w:val="•"/>
      <w:lvlJc w:val="left"/>
      <w:pPr>
        <w:tabs>
          <w:tab w:val="num" w:pos="2160"/>
        </w:tabs>
        <w:ind w:left="2160" w:hanging="360"/>
      </w:pPr>
      <w:rPr>
        <w:rFonts w:ascii="Times New Roman" w:hAnsi="Times New Roman" w:hint="default"/>
      </w:rPr>
    </w:lvl>
    <w:lvl w:ilvl="3" w:tplc="F84282CC" w:tentative="1">
      <w:start w:val="1"/>
      <w:numFmt w:val="bullet"/>
      <w:lvlText w:val="•"/>
      <w:lvlJc w:val="left"/>
      <w:pPr>
        <w:tabs>
          <w:tab w:val="num" w:pos="2880"/>
        </w:tabs>
        <w:ind w:left="2880" w:hanging="360"/>
      </w:pPr>
      <w:rPr>
        <w:rFonts w:ascii="Times New Roman" w:hAnsi="Times New Roman" w:hint="default"/>
      </w:rPr>
    </w:lvl>
    <w:lvl w:ilvl="4" w:tplc="53460C0E" w:tentative="1">
      <w:start w:val="1"/>
      <w:numFmt w:val="bullet"/>
      <w:lvlText w:val="•"/>
      <w:lvlJc w:val="left"/>
      <w:pPr>
        <w:tabs>
          <w:tab w:val="num" w:pos="3600"/>
        </w:tabs>
        <w:ind w:left="3600" w:hanging="360"/>
      </w:pPr>
      <w:rPr>
        <w:rFonts w:ascii="Times New Roman" w:hAnsi="Times New Roman" w:hint="default"/>
      </w:rPr>
    </w:lvl>
    <w:lvl w:ilvl="5" w:tplc="D7044420" w:tentative="1">
      <w:start w:val="1"/>
      <w:numFmt w:val="bullet"/>
      <w:lvlText w:val="•"/>
      <w:lvlJc w:val="left"/>
      <w:pPr>
        <w:tabs>
          <w:tab w:val="num" w:pos="4320"/>
        </w:tabs>
        <w:ind w:left="4320" w:hanging="360"/>
      </w:pPr>
      <w:rPr>
        <w:rFonts w:ascii="Times New Roman" w:hAnsi="Times New Roman" w:hint="default"/>
      </w:rPr>
    </w:lvl>
    <w:lvl w:ilvl="6" w:tplc="DD2A425E" w:tentative="1">
      <w:start w:val="1"/>
      <w:numFmt w:val="bullet"/>
      <w:lvlText w:val="•"/>
      <w:lvlJc w:val="left"/>
      <w:pPr>
        <w:tabs>
          <w:tab w:val="num" w:pos="5040"/>
        </w:tabs>
        <w:ind w:left="5040" w:hanging="360"/>
      </w:pPr>
      <w:rPr>
        <w:rFonts w:ascii="Times New Roman" w:hAnsi="Times New Roman" w:hint="default"/>
      </w:rPr>
    </w:lvl>
    <w:lvl w:ilvl="7" w:tplc="736C62AA" w:tentative="1">
      <w:start w:val="1"/>
      <w:numFmt w:val="bullet"/>
      <w:lvlText w:val="•"/>
      <w:lvlJc w:val="left"/>
      <w:pPr>
        <w:tabs>
          <w:tab w:val="num" w:pos="5760"/>
        </w:tabs>
        <w:ind w:left="5760" w:hanging="360"/>
      </w:pPr>
      <w:rPr>
        <w:rFonts w:ascii="Times New Roman" w:hAnsi="Times New Roman" w:hint="default"/>
      </w:rPr>
    </w:lvl>
    <w:lvl w:ilvl="8" w:tplc="7E761C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BF3CE2"/>
    <w:multiLevelType w:val="hybridMultilevel"/>
    <w:tmpl w:val="CA00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15052C"/>
    <w:multiLevelType w:val="multilevel"/>
    <w:tmpl w:val="1424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E5B02"/>
    <w:multiLevelType w:val="hybridMultilevel"/>
    <w:tmpl w:val="417EE0E4"/>
    <w:lvl w:ilvl="0" w:tplc="47F87632">
      <w:numFmt w:val="bullet"/>
      <w:lvlText w:val="•"/>
      <w:lvlJc w:val="left"/>
      <w:pPr>
        <w:ind w:left="720" w:hanging="360"/>
      </w:pPr>
      <w:rPr>
        <w:rFonts w:ascii="Frutiger-Roman" w:eastAsiaTheme="minorHAnsi" w:hAnsi="Frutiger-Roman" w:cs="Frutige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D82686"/>
    <w:multiLevelType w:val="hybridMultilevel"/>
    <w:tmpl w:val="26724C1E"/>
    <w:lvl w:ilvl="0" w:tplc="2ABA6CE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A42998"/>
    <w:multiLevelType w:val="hybridMultilevel"/>
    <w:tmpl w:val="EB76A8EC"/>
    <w:lvl w:ilvl="0" w:tplc="47F87632">
      <w:numFmt w:val="bullet"/>
      <w:lvlText w:val="•"/>
      <w:lvlJc w:val="left"/>
      <w:pPr>
        <w:ind w:left="720" w:hanging="360"/>
      </w:pPr>
      <w:rPr>
        <w:rFonts w:ascii="Frutiger-Roman" w:eastAsiaTheme="minorHAnsi" w:hAnsi="Frutiger-Roman" w:cs="Frutige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614F07"/>
    <w:multiLevelType w:val="hybridMultilevel"/>
    <w:tmpl w:val="EFB2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410636"/>
    <w:multiLevelType w:val="hybridMultilevel"/>
    <w:tmpl w:val="D8CCC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C1F33"/>
    <w:multiLevelType w:val="hybridMultilevel"/>
    <w:tmpl w:val="6CAC6F6C"/>
    <w:lvl w:ilvl="0" w:tplc="E73C825E">
      <w:start w:val="1"/>
      <w:numFmt w:val="bullet"/>
      <w:lvlText w:val="•"/>
      <w:lvlJc w:val="left"/>
      <w:pPr>
        <w:tabs>
          <w:tab w:val="num" w:pos="720"/>
        </w:tabs>
        <w:ind w:left="720" w:hanging="360"/>
      </w:pPr>
      <w:rPr>
        <w:rFonts w:ascii="Times New Roman" w:hAnsi="Times New Roman" w:hint="default"/>
      </w:rPr>
    </w:lvl>
    <w:lvl w:ilvl="1" w:tplc="EDD6B9DE" w:tentative="1">
      <w:start w:val="1"/>
      <w:numFmt w:val="bullet"/>
      <w:lvlText w:val="•"/>
      <w:lvlJc w:val="left"/>
      <w:pPr>
        <w:tabs>
          <w:tab w:val="num" w:pos="1440"/>
        </w:tabs>
        <w:ind w:left="1440" w:hanging="360"/>
      </w:pPr>
      <w:rPr>
        <w:rFonts w:ascii="Times New Roman" w:hAnsi="Times New Roman" w:hint="default"/>
      </w:rPr>
    </w:lvl>
    <w:lvl w:ilvl="2" w:tplc="1A408282" w:tentative="1">
      <w:start w:val="1"/>
      <w:numFmt w:val="bullet"/>
      <w:lvlText w:val="•"/>
      <w:lvlJc w:val="left"/>
      <w:pPr>
        <w:tabs>
          <w:tab w:val="num" w:pos="2160"/>
        </w:tabs>
        <w:ind w:left="2160" w:hanging="360"/>
      </w:pPr>
      <w:rPr>
        <w:rFonts w:ascii="Times New Roman" w:hAnsi="Times New Roman" w:hint="default"/>
      </w:rPr>
    </w:lvl>
    <w:lvl w:ilvl="3" w:tplc="2B4EB6C0" w:tentative="1">
      <w:start w:val="1"/>
      <w:numFmt w:val="bullet"/>
      <w:lvlText w:val="•"/>
      <w:lvlJc w:val="left"/>
      <w:pPr>
        <w:tabs>
          <w:tab w:val="num" w:pos="2880"/>
        </w:tabs>
        <w:ind w:left="2880" w:hanging="360"/>
      </w:pPr>
      <w:rPr>
        <w:rFonts w:ascii="Times New Roman" w:hAnsi="Times New Roman" w:hint="default"/>
      </w:rPr>
    </w:lvl>
    <w:lvl w:ilvl="4" w:tplc="92E4CD50" w:tentative="1">
      <w:start w:val="1"/>
      <w:numFmt w:val="bullet"/>
      <w:lvlText w:val="•"/>
      <w:lvlJc w:val="left"/>
      <w:pPr>
        <w:tabs>
          <w:tab w:val="num" w:pos="3600"/>
        </w:tabs>
        <w:ind w:left="3600" w:hanging="360"/>
      </w:pPr>
      <w:rPr>
        <w:rFonts w:ascii="Times New Roman" w:hAnsi="Times New Roman" w:hint="default"/>
      </w:rPr>
    </w:lvl>
    <w:lvl w:ilvl="5" w:tplc="23643D90" w:tentative="1">
      <w:start w:val="1"/>
      <w:numFmt w:val="bullet"/>
      <w:lvlText w:val="•"/>
      <w:lvlJc w:val="left"/>
      <w:pPr>
        <w:tabs>
          <w:tab w:val="num" w:pos="4320"/>
        </w:tabs>
        <w:ind w:left="4320" w:hanging="360"/>
      </w:pPr>
      <w:rPr>
        <w:rFonts w:ascii="Times New Roman" w:hAnsi="Times New Roman" w:hint="default"/>
      </w:rPr>
    </w:lvl>
    <w:lvl w:ilvl="6" w:tplc="446679EC" w:tentative="1">
      <w:start w:val="1"/>
      <w:numFmt w:val="bullet"/>
      <w:lvlText w:val="•"/>
      <w:lvlJc w:val="left"/>
      <w:pPr>
        <w:tabs>
          <w:tab w:val="num" w:pos="5040"/>
        </w:tabs>
        <w:ind w:left="5040" w:hanging="360"/>
      </w:pPr>
      <w:rPr>
        <w:rFonts w:ascii="Times New Roman" w:hAnsi="Times New Roman" w:hint="default"/>
      </w:rPr>
    </w:lvl>
    <w:lvl w:ilvl="7" w:tplc="CA4EA474" w:tentative="1">
      <w:start w:val="1"/>
      <w:numFmt w:val="bullet"/>
      <w:lvlText w:val="•"/>
      <w:lvlJc w:val="left"/>
      <w:pPr>
        <w:tabs>
          <w:tab w:val="num" w:pos="5760"/>
        </w:tabs>
        <w:ind w:left="5760" w:hanging="360"/>
      </w:pPr>
      <w:rPr>
        <w:rFonts w:ascii="Times New Roman" w:hAnsi="Times New Roman" w:hint="default"/>
      </w:rPr>
    </w:lvl>
    <w:lvl w:ilvl="8" w:tplc="7548D3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B75021"/>
    <w:multiLevelType w:val="hybridMultilevel"/>
    <w:tmpl w:val="823A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402D0"/>
    <w:multiLevelType w:val="multilevel"/>
    <w:tmpl w:val="3A9C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1E184C"/>
    <w:multiLevelType w:val="hybridMultilevel"/>
    <w:tmpl w:val="FBF20D2A"/>
    <w:lvl w:ilvl="0" w:tplc="47F87632">
      <w:numFmt w:val="bullet"/>
      <w:lvlText w:val="•"/>
      <w:lvlJc w:val="left"/>
      <w:pPr>
        <w:ind w:left="720" w:hanging="360"/>
      </w:pPr>
      <w:rPr>
        <w:rFonts w:ascii="Frutiger-Roman" w:eastAsiaTheme="minorHAnsi" w:hAnsi="Frutiger-Roman" w:cs="Frutige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DE5086"/>
    <w:multiLevelType w:val="hybridMultilevel"/>
    <w:tmpl w:val="C1F09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EC06EF"/>
    <w:multiLevelType w:val="hybridMultilevel"/>
    <w:tmpl w:val="89F61DB6"/>
    <w:lvl w:ilvl="0" w:tplc="2DB86B3A">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AE7FAB"/>
    <w:multiLevelType w:val="hybridMultilevel"/>
    <w:tmpl w:val="2362D2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FD25E74"/>
    <w:multiLevelType w:val="multilevel"/>
    <w:tmpl w:val="C52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36AA1"/>
    <w:multiLevelType w:val="multilevel"/>
    <w:tmpl w:val="F9C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901E3"/>
    <w:multiLevelType w:val="multilevel"/>
    <w:tmpl w:val="0A22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FB6CA7"/>
    <w:multiLevelType w:val="hybridMultilevel"/>
    <w:tmpl w:val="472268F0"/>
    <w:lvl w:ilvl="0" w:tplc="47F87632">
      <w:numFmt w:val="bullet"/>
      <w:lvlText w:val="•"/>
      <w:lvlJc w:val="left"/>
      <w:pPr>
        <w:ind w:left="720" w:hanging="360"/>
      </w:pPr>
      <w:rPr>
        <w:rFonts w:ascii="Frutiger-Roman" w:eastAsiaTheme="minorHAnsi" w:hAnsi="Frutiger-Roman" w:cs="Frutige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A32E4A"/>
    <w:multiLevelType w:val="hybridMultilevel"/>
    <w:tmpl w:val="EF0C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F57AA1"/>
    <w:multiLevelType w:val="hybridMultilevel"/>
    <w:tmpl w:val="72D4C810"/>
    <w:lvl w:ilvl="0" w:tplc="47F87632">
      <w:numFmt w:val="bullet"/>
      <w:lvlText w:val="•"/>
      <w:lvlJc w:val="left"/>
      <w:pPr>
        <w:ind w:left="720" w:hanging="360"/>
      </w:pPr>
      <w:rPr>
        <w:rFonts w:ascii="Frutiger-Roman" w:eastAsiaTheme="minorHAnsi" w:hAnsi="Frutiger-Roman" w:cs="Frutige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99249E"/>
    <w:multiLevelType w:val="hybridMultilevel"/>
    <w:tmpl w:val="42004C2C"/>
    <w:lvl w:ilvl="0" w:tplc="47F87632">
      <w:numFmt w:val="bullet"/>
      <w:lvlText w:val="•"/>
      <w:lvlJc w:val="left"/>
      <w:pPr>
        <w:ind w:left="720" w:hanging="360"/>
      </w:pPr>
      <w:rPr>
        <w:rFonts w:ascii="Frutiger-Roman" w:eastAsiaTheme="minorHAnsi" w:hAnsi="Frutiger-Roman" w:cs="Frutige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E44953"/>
    <w:multiLevelType w:val="hybridMultilevel"/>
    <w:tmpl w:val="50C6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57111F"/>
    <w:multiLevelType w:val="hybridMultilevel"/>
    <w:tmpl w:val="05609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777B7C"/>
    <w:multiLevelType w:val="hybridMultilevel"/>
    <w:tmpl w:val="86F25EBC"/>
    <w:lvl w:ilvl="0" w:tplc="47F87632">
      <w:numFmt w:val="bullet"/>
      <w:lvlText w:val="•"/>
      <w:lvlJc w:val="left"/>
      <w:pPr>
        <w:ind w:left="720" w:hanging="360"/>
      </w:pPr>
      <w:rPr>
        <w:rFonts w:ascii="Frutiger-Roman" w:eastAsiaTheme="minorHAnsi" w:hAnsi="Frutiger-Roman" w:cs="Frutige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D3637"/>
    <w:multiLevelType w:val="hybridMultilevel"/>
    <w:tmpl w:val="316AF7FE"/>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0876E7"/>
    <w:multiLevelType w:val="hybridMultilevel"/>
    <w:tmpl w:val="27846CC6"/>
    <w:lvl w:ilvl="0" w:tplc="08090001">
      <w:start w:val="1"/>
      <w:numFmt w:val="bullet"/>
      <w:lvlText w:val=""/>
      <w:lvlJc w:val="left"/>
      <w:pPr>
        <w:ind w:left="720" w:hanging="360"/>
      </w:pPr>
      <w:rPr>
        <w:rFonts w:ascii="Symbol" w:hAnsi="Symbol" w:hint="default"/>
      </w:rPr>
    </w:lvl>
    <w:lvl w:ilvl="1" w:tplc="47B42A4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2959F0"/>
    <w:multiLevelType w:val="multilevel"/>
    <w:tmpl w:val="107A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F3415B"/>
    <w:multiLevelType w:val="hybridMultilevel"/>
    <w:tmpl w:val="050882E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62F3FCE"/>
    <w:multiLevelType w:val="hybridMultilevel"/>
    <w:tmpl w:val="100A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EB5244"/>
    <w:multiLevelType w:val="hybridMultilevel"/>
    <w:tmpl w:val="3A36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18"/>
  </w:num>
  <w:num w:numId="5">
    <w:abstractNumId w:val="20"/>
  </w:num>
  <w:num w:numId="6">
    <w:abstractNumId w:val="19"/>
  </w:num>
  <w:num w:numId="7">
    <w:abstractNumId w:val="33"/>
  </w:num>
  <w:num w:numId="8">
    <w:abstractNumId w:val="32"/>
  </w:num>
  <w:num w:numId="9">
    <w:abstractNumId w:val="26"/>
  </w:num>
  <w:num w:numId="10">
    <w:abstractNumId w:val="0"/>
  </w:num>
  <w:num w:numId="11">
    <w:abstractNumId w:val="10"/>
  </w:num>
  <w:num w:numId="12">
    <w:abstractNumId w:val="15"/>
  </w:num>
  <w:num w:numId="13">
    <w:abstractNumId w:val="3"/>
  </w:num>
  <w:num w:numId="14">
    <w:abstractNumId w:val="11"/>
  </w:num>
  <w:num w:numId="15">
    <w:abstractNumId w:val="22"/>
  </w:num>
  <w:num w:numId="16">
    <w:abstractNumId w:val="1"/>
  </w:num>
  <w:num w:numId="17">
    <w:abstractNumId w:val="7"/>
  </w:num>
  <w:num w:numId="18">
    <w:abstractNumId w:val="14"/>
  </w:num>
  <w:num w:numId="19">
    <w:abstractNumId w:val="21"/>
  </w:num>
  <w:num w:numId="20">
    <w:abstractNumId w:val="6"/>
  </w:num>
  <w:num w:numId="21">
    <w:abstractNumId w:val="23"/>
  </w:num>
  <w:num w:numId="22">
    <w:abstractNumId w:val="24"/>
  </w:num>
  <w:num w:numId="23">
    <w:abstractNumId w:val="8"/>
  </w:num>
  <w:num w:numId="24">
    <w:abstractNumId w:val="27"/>
  </w:num>
  <w:num w:numId="25">
    <w:abstractNumId w:val="30"/>
  </w:num>
  <w:num w:numId="26">
    <w:abstractNumId w:val="25"/>
  </w:num>
  <w:num w:numId="27">
    <w:abstractNumId w:val="29"/>
  </w:num>
  <w:num w:numId="28">
    <w:abstractNumId w:val="4"/>
  </w:num>
  <w:num w:numId="29">
    <w:abstractNumId w:val="2"/>
  </w:num>
  <w:num w:numId="30">
    <w:abstractNumId w:val="12"/>
  </w:num>
  <w:num w:numId="31">
    <w:abstractNumId w:val="31"/>
  </w:num>
  <w:num w:numId="32">
    <w:abstractNumId w:val="17"/>
  </w:num>
  <w:num w:numId="33">
    <w:abstractNumId w:val="2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C917C1"/>
    <w:rsid w:val="00000603"/>
    <w:rsid w:val="00007D30"/>
    <w:rsid w:val="00026759"/>
    <w:rsid w:val="00026B76"/>
    <w:rsid w:val="000340E9"/>
    <w:rsid w:val="00040119"/>
    <w:rsid w:val="00044FCF"/>
    <w:rsid w:val="0005165A"/>
    <w:rsid w:val="00071B70"/>
    <w:rsid w:val="00080850"/>
    <w:rsid w:val="00091A19"/>
    <w:rsid w:val="000A139C"/>
    <w:rsid w:val="000A1DEF"/>
    <w:rsid w:val="000C52B1"/>
    <w:rsid w:val="000D2D08"/>
    <w:rsid w:val="000E3A6F"/>
    <w:rsid w:val="000E72DA"/>
    <w:rsid w:val="000F1C64"/>
    <w:rsid w:val="000F7902"/>
    <w:rsid w:val="00101AEE"/>
    <w:rsid w:val="00107FB0"/>
    <w:rsid w:val="00124AF4"/>
    <w:rsid w:val="00130FB4"/>
    <w:rsid w:val="0013603D"/>
    <w:rsid w:val="001500C6"/>
    <w:rsid w:val="0015420F"/>
    <w:rsid w:val="0015605F"/>
    <w:rsid w:val="00180423"/>
    <w:rsid w:val="0018496D"/>
    <w:rsid w:val="001A1CA3"/>
    <w:rsid w:val="001A3AF3"/>
    <w:rsid w:val="001C1532"/>
    <w:rsid w:val="001C5DCC"/>
    <w:rsid w:val="001F22C7"/>
    <w:rsid w:val="001F2FF9"/>
    <w:rsid w:val="00201014"/>
    <w:rsid w:val="00210AA3"/>
    <w:rsid w:val="00214915"/>
    <w:rsid w:val="00224E45"/>
    <w:rsid w:val="002329C5"/>
    <w:rsid w:val="0023568A"/>
    <w:rsid w:val="0025061D"/>
    <w:rsid w:val="00261B26"/>
    <w:rsid w:val="0026691B"/>
    <w:rsid w:val="002721FF"/>
    <w:rsid w:val="00282CB8"/>
    <w:rsid w:val="00284BA6"/>
    <w:rsid w:val="0029057E"/>
    <w:rsid w:val="00292DE2"/>
    <w:rsid w:val="002A2292"/>
    <w:rsid w:val="002C786E"/>
    <w:rsid w:val="002D12AB"/>
    <w:rsid w:val="002E3110"/>
    <w:rsid w:val="002E5B89"/>
    <w:rsid w:val="00307AEC"/>
    <w:rsid w:val="003101AE"/>
    <w:rsid w:val="00313064"/>
    <w:rsid w:val="00322F8B"/>
    <w:rsid w:val="00332537"/>
    <w:rsid w:val="00336FB5"/>
    <w:rsid w:val="00337D57"/>
    <w:rsid w:val="003405AE"/>
    <w:rsid w:val="0034181E"/>
    <w:rsid w:val="00354039"/>
    <w:rsid w:val="0036207D"/>
    <w:rsid w:val="00364196"/>
    <w:rsid w:val="00365FCB"/>
    <w:rsid w:val="003749A1"/>
    <w:rsid w:val="003808C4"/>
    <w:rsid w:val="00386DED"/>
    <w:rsid w:val="003912F3"/>
    <w:rsid w:val="003B58E9"/>
    <w:rsid w:val="003B7C9C"/>
    <w:rsid w:val="003E75C5"/>
    <w:rsid w:val="003F0AED"/>
    <w:rsid w:val="003F68A7"/>
    <w:rsid w:val="00412222"/>
    <w:rsid w:val="00415759"/>
    <w:rsid w:val="00425950"/>
    <w:rsid w:val="00426117"/>
    <w:rsid w:val="00427896"/>
    <w:rsid w:val="00433711"/>
    <w:rsid w:val="004471D6"/>
    <w:rsid w:val="00457A36"/>
    <w:rsid w:val="00465E92"/>
    <w:rsid w:val="004703A7"/>
    <w:rsid w:val="00470DC5"/>
    <w:rsid w:val="0047745A"/>
    <w:rsid w:val="004825B3"/>
    <w:rsid w:val="004879C1"/>
    <w:rsid w:val="00491E3D"/>
    <w:rsid w:val="004A1CFC"/>
    <w:rsid w:val="004A23C6"/>
    <w:rsid w:val="004A5B31"/>
    <w:rsid w:val="004C4746"/>
    <w:rsid w:val="004E41BC"/>
    <w:rsid w:val="004F2097"/>
    <w:rsid w:val="00501D0F"/>
    <w:rsid w:val="00510BFE"/>
    <w:rsid w:val="005132AC"/>
    <w:rsid w:val="0052276D"/>
    <w:rsid w:val="005234C6"/>
    <w:rsid w:val="005521E2"/>
    <w:rsid w:val="00575DB3"/>
    <w:rsid w:val="00594B77"/>
    <w:rsid w:val="005C0D23"/>
    <w:rsid w:val="005C56F3"/>
    <w:rsid w:val="005D3019"/>
    <w:rsid w:val="005D74BC"/>
    <w:rsid w:val="00601D31"/>
    <w:rsid w:val="00614BF6"/>
    <w:rsid w:val="00616A24"/>
    <w:rsid w:val="006219B2"/>
    <w:rsid w:val="00622BED"/>
    <w:rsid w:val="00643BBA"/>
    <w:rsid w:val="00652BDF"/>
    <w:rsid w:val="00655A4D"/>
    <w:rsid w:val="006608D6"/>
    <w:rsid w:val="00661A69"/>
    <w:rsid w:val="0066369B"/>
    <w:rsid w:val="006646A2"/>
    <w:rsid w:val="006651DF"/>
    <w:rsid w:val="00671955"/>
    <w:rsid w:val="0067420C"/>
    <w:rsid w:val="00675637"/>
    <w:rsid w:val="00676E86"/>
    <w:rsid w:val="00677CE5"/>
    <w:rsid w:val="0069688B"/>
    <w:rsid w:val="00697795"/>
    <w:rsid w:val="006B7183"/>
    <w:rsid w:val="006C108B"/>
    <w:rsid w:val="006C4A68"/>
    <w:rsid w:val="006E2381"/>
    <w:rsid w:val="006E5674"/>
    <w:rsid w:val="00704ADD"/>
    <w:rsid w:val="00711318"/>
    <w:rsid w:val="007514BE"/>
    <w:rsid w:val="00751528"/>
    <w:rsid w:val="00760AAF"/>
    <w:rsid w:val="007658E2"/>
    <w:rsid w:val="00770E50"/>
    <w:rsid w:val="007804A6"/>
    <w:rsid w:val="0078567B"/>
    <w:rsid w:val="007B10B8"/>
    <w:rsid w:val="007B66CA"/>
    <w:rsid w:val="007E2002"/>
    <w:rsid w:val="008056C9"/>
    <w:rsid w:val="00820579"/>
    <w:rsid w:val="00820876"/>
    <w:rsid w:val="00821120"/>
    <w:rsid w:val="008376A3"/>
    <w:rsid w:val="008376F3"/>
    <w:rsid w:val="00837709"/>
    <w:rsid w:val="008509EC"/>
    <w:rsid w:val="00864B80"/>
    <w:rsid w:val="00865408"/>
    <w:rsid w:val="00867514"/>
    <w:rsid w:val="0088180A"/>
    <w:rsid w:val="0088200E"/>
    <w:rsid w:val="008A0365"/>
    <w:rsid w:val="008C217F"/>
    <w:rsid w:val="008C2F89"/>
    <w:rsid w:val="008C4B7F"/>
    <w:rsid w:val="008C678C"/>
    <w:rsid w:val="008D585A"/>
    <w:rsid w:val="008D6ED0"/>
    <w:rsid w:val="00907ECA"/>
    <w:rsid w:val="0091615F"/>
    <w:rsid w:val="00921394"/>
    <w:rsid w:val="00924AF3"/>
    <w:rsid w:val="00934DFF"/>
    <w:rsid w:val="00935489"/>
    <w:rsid w:val="009440FB"/>
    <w:rsid w:val="00947205"/>
    <w:rsid w:val="0094765D"/>
    <w:rsid w:val="00960A6D"/>
    <w:rsid w:val="009768FE"/>
    <w:rsid w:val="009922E0"/>
    <w:rsid w:val="00997069"/>
    <w:rsid w:val="009E4B11"/>
    <w:rsid w:val="009F0F13"/>
    <w:rsid w:val="00A2104A"/>
    <w:rsid w:val="00A60B12"/>
    <w:rsid w:val="00A811A4"/>
    <w:rsid w:val="00A82EAC"/>
    <w:rsid w:val="00A86233"/>
    <w:rsid w:val="00A92E0E"/>
    <w:rsid w:val="00AA2B0F"/>
    <w:rsid w:val="00AC7FA8"/>
    <w:rsid w:val="00AD0379"/>
    <w:rsid w:val="00AD240C"/>
    <w:rsid w:val="00AE4C40"/>
    <w:rsid w:val="00AF0499"/>
    <w:rsid w:val="00B02651"/>
    <w:rsid w:val="00B03835"/>
    <w:rsid w:val="00B24C0A"/>
    <w:rsid w:val="00B40663"/>
    <w:rsid w:val="00B45706"/>
    <w:rsid w:val="00B640A1"/>
    <w:rsid w:val="00B72D2B"/>
    <w:rsid w:val="00B813FA"/>
    <w:rsid w:val="00BA4C9E"/>
    <w:rsid w:val="00BB5D5C"/>
    <w:rsid w:val="00BC01D7"/>
    <w:rsid w:val="00BC121C"/>
    <w:rsid w:val="00BD60EE"/>
    <w:rsid w:val="00BF1C33"/>
    <w:rsid w:val="00BF5AF4"/>
    <w:rsid w:val="00C03BA0"/>
    <w:rsid w:val="00C06FF5"/>
    <w:rsid w:val="00C07B07"/>
    <w:rsid w:val="00C11517"/>
    <w:rsid w:val="00C12584"/>
    <w:rsid w:val="00C2321D"/>
    <w:rsid w:val="00C37632"/>
    <w:rsid w:val="00C41719"/>
    <w:rsid w:val="00C456FD"/>
    <w:rsid w:val="00C46764"/>
    <w:rsid w:val="00C730CE"/>
    <w:rsid w:val="00C84D4C"/>
    <w:rsid w:val="00C917C1"/>
    <w:rsid w:val="00CB01CB"/>
    <w:rsid w:val="00CB0229"/>
    <w:rsid w:val="00CB1BF6"/>
    <w:rsid w:val="00CB360B"/>
    <w:rsid w:val="00CC11F1"/>
    <w:rsid w:val="00CC7DD4"/>
    <w:rsid w:val="00CE5177"/>
    <w:rsid w:val="00CF33FA"/>
    <w:rsid w:val="00D01CF2"/>
    <w:rsid w:val="00D1139C"/>
    <w:rsid w:val="00D172C9"/>
    <w:rsid w:val="00D24614"/>
    <w:rsid w:val="00D33DF7"/>
    <w:rsid w:val="00D34C34"/>
    <w:rsid w:val="00D450A9"/>
    <w:rsid w:val="00D52357"/>
    <w:rsid w:val="00D63AE0"/>
    <w:rsid w:val="00D66E6D"/>
    <w:rsid w:val="00D67F21"/>
    <w:rsid w:val="00D714FA"/>
    <w:rsid w:val="00D75AAF"/>
    <w:rsid w:val="00D81F9A"/>
    <w:rsid w:val="00D913A0"/>
    <w:rsid w:val="00D93719"/>
    <w:rsid w:val="00D93C19"/>
    <w:rsid w:val="00DA3F89"/>
    <w:rsid w:val="00DA5F39"/>
    <w:rsid w:val="00DA76E9"/>
    <w:rsid w:val="00DB2C49"/>
    <w:rsid w:val="00DB5373"/>
    <w:rsid w:val="00DB5841"/>
    <w:rsid w:val="00DC6DA6"/>
    <w:rsid w:val="00DD6684"/>
    <w:rsid w:val="00DE25CB"/>
    <w:rsid w:val="00DF04AB"/>
    <w:rsid w:val="00DF56AE"/>
    <w:rsid w:val="00E0485E"/>
    <w:rsid w:val="00E20329"/>
    <w:rsid w:val="00E23AEA"/>
    <w:rsid w:val="00E35598"/>
    <w:rsid w:val="00E4446C"/>
    <w:rsid w:val="00E55BCD"/>
    <w:rsid w:val="00E62C87"/>
    <w:rsid w:val="00E8586A"/>
    <w:rsid w:val="00E9503A"/>
    <w:rsid w:val="00EA78DE"/>
    <w:rsid w:val="00EC298D"/>
    <w:rsid w:val="00EC3096"/>
    <w:rsid w:val="00ED1318"/>
    <w:rsid w:val="00EE5A34"/>
    <w:rsid w:val="00EF089C"/>
    <w:rsid w:val="00F00648"/>
    <w:rsid w:val="00F1325F"/>
    <w:rsid w:val="00F138F6"/>
    <w:rsid w:val="00F14ACF"/>
    <w:rsid w:val="00F401DD"/>
    <w:rsid w:val="00F43EB7"/>
    <w:rsid w:val="00F63160"/>
    <w:rsid w:val="00F77C47"/>
    <w:rsid w:val="00F945C6"/>
    <w:rsid w:val="00F96130"/>
    <w:rsid w:val="00FA2AFF"/>
    <w:rsid w:val="00FB3987"/>
    <w:rsid w:val="00FC0038"/>
    <w:rsid w:val="00FC1A29"/>
    <w:rsid w:val="00FD1967"/>
    <w:rsid w:val="00FE0B1F"/>
    <w:rsid w:val="00FE2D0E"/>
    <w:rsid w:val="00FF5A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AE"/>
  </w:style>
  <w:style w:type="paragraph" w:styleId="Heading1">
    <w:name w:val="heading 1"/>
    <w:basedOn w:val="Normal"/>
    <w:link w:val="Heading1Char"/>
    <w:uiPriority w:val="9"/>
    <w:qFormat/>
    <w:rsid w:val="007B66CA"/>
    <w:pPr>
      <w:spacing w:before="100" w:beforeAutospacing="1" w:after="100" w:afterAutospacing="1" w:line="240" w:lineRule="auto"/>
      <w:outlineLvl w:val="0"/>
    </w:pPr>
    <w:rPr>
      <w:rFonts w:ascii="Arial" w:eastAsia="Times New Roman" w:hAnsi="Arial" w:cs="Times New Roman"/>
      <w:b/>
      <w:bCs/>
      <w:color w:val="1F497D" w:themeColor="text2"/>
      <w:kern w:val="36"/>
      <w:sz w:val="28"/>
      <w:szCs w:val="29"/>
      <w:lang w:eastAsia="en-GB"/>
    </w:rPr>
  </w:style>
  <w:style w:type="paragraph" w:styleId="Heading2">
    <w:name w:val="heading 2"/>
    <w:basedOn w:val="Heading3"/>
    <w:link w:val="Heading2Char"/>
    <w:uiPriority w:val="9"/>
    <w:qFormat/>
    <w:rsid w:val="00864B80"/>
    <w:pPr>
      <w:outlineLvl w:val="1"/>
    </w:pPr>
    <w:rPr>
      <w:rFonts w:eastAsia="Times New Roman"/>
      <w:color w:val="1F497D" w:themeColor="text2"/>
      <w:sz w:val="26"/>
      <w:lang w:eastAsia="en-GB"/>
    </w:rPr>
  </w:style>
  <w:style w:type="paragraph" w:styleId="Heading3">
    <w:name w:val="heading 3"/>
    <w:basedOn w:val="Normal"/>
    <w:next w:val="Normal"/>
    <w:link w:val="Heading3Char"/>
    <w:uiPriority w:val="9"/>
    <w:unhideWhenUsed/>
    <w:qFormat/>
    <w:rsid w:val="00770E50"/>
    <w:pPr>
      <w:keepNext/>
      <w:keepLines/>
      <w:spacing w:before="200" w:after="0"/>
      <w:outlineLvl w:val="2"/>
    </w:pPr>
    <w:rPr>
      <w:rFonts w:ascii="Arial" w:eastAsiaTheme="majorEastAsia" w:hAnsi="Arial" w:cs="Arial"/>
      <w:bCs/>
      <w:color w:val="4F81BD" w:themeColor="accent1"/>
      <w:sz w:val="24"/>
      <w:szCs w:val="24"/>
    </w:rPr>
  </w:style>
  <w:style w:type="paragraph" w:styleId="Heading4">
    <w:name w:val="heading 4"/>
    <w:basedOn w:val="Normal"/>
    <w:next w:val="Normal"/>
    <w:link w:val="Heading4Char"/>
    <w:uiPriority w:val="9"/>
    <w:unhideWhenUsed/>
    <w:qFormat/>
    <w:rsid w:val="00DB58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C1"/>
    <w:pPr>
      <w:ind w:left="720"/>
      <w:contextualSpacing/>
    </w:pPr>
  </w:style>
  <w:style w:type="character" w:customStyle="1" w:styleId="Heading1Char">
    <w:name w:val="Heading 1 Char"/>
    <w:basedOn w:val="DefaultParagraphFont"/>
    <w:link w:val="Heading1"/>
    <w:uiPriority w:val="9"/>
    <w:rsid w:val="007B66CA"/>
    <w:rPr>
      <w:rFonts w:ascii="Arial" w:eastAsia="Times New Roman" w:hAnsi="Arial" w:cs="Times New Roman"/>
      <w:b/>
      <w:bCs/>
      <w:color w:val="1F497D" w:themeColor="text2"/>
      <w:kern w:val="36"/>
      <w:sz w:val="28"/>
      <w:szCs w:val="29"/>
      <w:lang w:eastAsia="en-GB"/>
    </w:rPr>
  </w:style>
  <w:style w:type="character" w:customStyle="1" w:styleId="Heading2Char">
    <w:name w:val="Heading 2 Char"/>
    <w:basedOn w:val="DefaultParagraphFont"/>
    <w:link w:val="Heading2"/>
    <w:uiPriority w:val="9"/>
    <w:rsid w:val="00864B80"/>
    <w:rPr>
      <w:rFonts w:ascii="Arial" w:eastAsia="Times New Roman" w:hAnsi="Arial" w:cstheme="majorBidi"/>
      <w:bCs/>
      <w:color w:val="1F497D" w:themeColor="text2"/>
      <w:sz w:val="26"/>
      <w:lang w:eastAsia="en-GB"/>
    </w:rPr>
  </w:style>
  <w:style w:type="character" w:styleId="Strong">
    <w:name w:val="Strong"/>
    <w:basedOn w:val="DefaultParagraphFont"/>
    <w:uiPriority w:val="22"/>
    <w:qFormat/>
    <w:rsid w:val="003E75C5"/>
    <w:rPr>
      <w:b/>
      <w:bCs/>
    </w:rPr>
  </w:style>
  <w:style w:type="character" w:customStyle="1" w:styleId="Heading3Char">
    <w:name w:val="Heading 3 Char"/>
    <w:basedOn w:val="DefaultParagraphFont"/>
    <w:link w:val="Heading3"/>
    <w:uiPriority w:val="9"/>
    <w:rsid w:val="00770E50"/>
    <w:rPr>
      <w:rFonts w:ascii="Arial" w:eastAsiaTheme="majorEastAsia" w:hAnsi="Arial" w:cs="Arial"/>
      <w:bCs/>
      <w:color w:val="4F81BD" w:themeColor="accent1"/>
      <w:sz w:val="24"/>
      <w:szCs w:val="24"/>
    </w:rPr>
  </w:style>
  <w:style w:type="character" w:customStyle="1" w:styleId="Heading4Char">
    <w:name w:val="Heading 4 Char"/>
    <w:basedOn w:val="DefaultParagraphFont"/>
    <w:link w:val="Heading4"/>
    <w:uiPriority w:val="9"/>
    <w:rsid w:val="00DB584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4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19"/>
    <w:rPr>
      <w:rFonts w:ascii="Tahoma" w:hAnsi="Tahoma" w:cs="Tahoma"/>
      <w:sz w:val="16"/>
      <w:szCs w:val="16"/>
    </w:rPr>
  </w:style>
  <w:style w:type="character" w:styleId="Hyperlink">
    <w:name w:val="Hyperlink"/>
    <w:basedOn w:val="DefaultParagraphFont"/>
    <w:uiPriority w:val="99"/>
    <w:rsid w:val="00EC3096"/>
    <w:rPr>
      <w:color w:val="0000FF"/>
      <w:u w:val="single"/>
    </w:rPr>
  </w:style>
  <w:style w:type="paragraph" w:styleId="EndnoteText">
    <w:name w:val="endnote text"/>
    <w:basedOn w:val="Normal"/>
    <w:link w:val="EndnoteTextChar"/>
    <w:semiHidden/>
    <w:rsid w:val="00EC3096"/>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EC3096"/>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EC3096"/>
    <w:rPr>
      <w:vertAlign w:val="superscript"/>
    </w:rPr>
  </w:style>
  <w:style w:type="table" w:styleId="TableGrid">
    <w:name w:val="Table Grid"/>
    <w:basedOn w:val="TableNormal"/>
    <w:rsid w:val="00EC309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24614"/>
    <w:pPr>
      <w:spacing w:before="100" w:beforeAutospacing="1" w:after="100" w:afterAutospacing="1" w:line="240" w:lineRule="auto"/>
    </w:pPr>
    <w:rPr>
      <w:rFonts w:ascii="Verdana" w:eastAsia="Times New Roman" w:hAnsi="Verdana" w:cs="Times New Roman"/>
      <w:color w:val="000000"/>
      <w:sz w:val="18"/>
      <w:szCs w:val="18"/>
      <w:lang w:eastAsia="en-GB"/>
    </w:rPr>
  </w:style>
  <w:style w:type="paragraph" w:styleId="TOCHeading">
    <w:name w:val="TOC Heading"/>
    <w:basedOn w:val="Heading1"/>
    <w:next w:val="Normal"/>
    <w:uiPriority w:val="39"/>
    <w:semiHidden/>
    <w:unhideWhenUsed/>
    <w:qFormat/>
    <w:rsid w:val="007B66C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styleId="TOC3">
    <w:name w:val="toc 3"/>
    <w:basedOn w:val="Normal"/>
    <w:next w:val="Normal"/>
    <w:autoRedefine/>
    <w:uiPriority w:val="39"/>
    <w:unhideWhenUsed/>
    <w:rsid w:val="007B66CA"/>
    <w:pPr>
      <w:spacing w:after="100"/>
      <w:ind w:left="440"/>
    </w:pPr>
  </w:style>
  <w:style w:type="paragraph" w:styleId="TOC1">
    <w:name w:val="toc 1"/>
    <w:basedOn w:val="Normal"/>
    <w:next w:val="Normal"/>
    <w:autoRedefine/>
    <w:uiPriority w:val="39"/>
    <w:unhideWhenUsed/>
    <w:rsid w:val="00A811A4"/>
    <w:pPr>
      <w:spacing w:after="100"/>
    </w:pPr>
  </w:style>
  <w:style w:type="paragraph" w:styleId="TOC2">
    <w:name w:val="toc 2"/>
    <w:basedOn w:val="Normal"/>
    <w:next w:val="Normal"/>
    <w:autoRedefine/>
    <w:uiPriority w:val="39"/>
    <w:unhideWhenUsed/>
    <w:rsid w:val="00A811A4"/>
    <w:pPr>
      <w:spacing w:after="100"/>
      <w:ind w:left="220"/>
    </w:pPr>
  </w:style>
  <w:style w:type="paragraph" w:styleId="Caption">
    <w:name w:val="caption"/>
    <w:basedOn w:val="Normal"/>
    <w:next w:val="Normal"/>
    <w:unhideWhenUsed/>
    <w:qFormat/>
    <w:rsid w:val="00751528"/>
    <w:pPr>
      <w:keepNext/>
      <w:spacing w:after="0"/>
    </w:pPr>
    <w:rPr>
      <w:b/>
      <w:bCs/>
      <w:color w:val="4F81BD" w:themeColor="accent1"/>
    </w:rPr>
  </w:style>
  <w:style w:type="paragraph" w:styleId="Header">
    <w:name w:val="header"/>
    <w:basedOn w:val="Normal"/>
    <w:link w:val="HeaderChar"/>
    <w:uiPriority w:val="99"/>
    <w:semiHidden/>
    <w:unhideWhenUsed/>
    <w:rsid w:val="00FE0B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B1F"/>
  </w:style>
  <w:style w:type="paragraph" w:styleId="Footer">
    <w:name w:val="footer"/>
    <w:basedOn w:val="Normal"/>
    <w:link w:val="FooterChar"/>
    <w:uiPriority w:val="99"/>
    <w:unhideWhenUsed/>
    <w:rsid w:val="00FE0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B1F"/>
  </w:style>
  <w:style w:type="character" w:customStyle="1" w:styleId="viewpagedescription1">
    <w:name w:val="viewpage_description1"/>
    <w:basedOn w:val="DefaultParagraphFont"/>
    <w:rsid w:val="00DB2C49"/>
    <w:rPr>
      <w:vanish w:val="0"/>
      <w:webHidden w:val="0"/>
      <w:specVanish w:val="0"/>
    </w:rPr>
  </w:style>
  <w:style w:type="character" w:customStyle="1" w:styleId="viewpagetitle1">
    <w:name w:val="viewpage_title1"/>
    <w:basedOn w:val="DefaultParagraphFont"/>
    <w:rsid w:val="00DB2C49"/>
    <w:rPr>
      <w:b w:val="0"/>
      <w:bCs w:val="0"/>
      <w:vanish w:val="0"/>
      <w:webHidden w:val="0"/>
      <w:color w:val="003300"/>
      <w:sz w:val="36"/>
      <w:szCs w:val="36"/>
      <w:specVanish w:val="0"/>
    </w:rPr>
  </w:style>
  <w:style w:type="character" w:customStyle="1" w:styleId="caps">
    <w:name w:val="caps"/>
    <w:basedOn w:val="DefaultParagraphFont"/>
    <w:rsid w:val="00E20329"/>
  </w:style>
  <w:style w:type="character" w:styleId="FollowedHyperlink">
    <w:name w:val="FollowedHyperlink"/>
    <w:basedOn w:val="DefaultParagraphFont"/>
    <w:uiPriority w:val="99"/>
    <w:semiHidden/>
    <w:unhideWhenUsed/>
    <w:rsid w:val="00364196"/>
    <w:rPr>
      <w:color w:val="800080" w:themeColor="followedHyperlink"/>
      <w:u w:val="single"/>
    </w:rPr>
  </w:style>
  <w:style w:type="paragraph" w:styleId="FootnoteText">
    <w:name w:val="footnote text"/>
    <w:basedOn w:val="Normal"/>
    <w:link w:val="FootnoteTextChar"/>
    <w:uiPriority w:val="99"/>
    <w:semiHidden/>
    <w:unhideWhenUsed/>
    <w:rsid w:val="00E62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C87"/>
    <w:rPr>
      <w:sz w:val="20"/>
      <w:szCs w:val="20"/>
    </w:rPr>
  </w:style>
  <w:style w:type="character" w:styleId="FootnoteReference">
    <w:name w:val="footnote reference"/>
    <w:basedOn w:val="DefaultParagraphFont"/>
    <w:uiPriority w:val="99"/>
    <w:semiHidden/>
    <w:unhideWhenUsed/>
    <w:rsid w:val="00E62C87"/>
    <w:rPr>
      <w:vertAlign w:val="superscript"/>
    </w:rPr>
  </w:style>
  <w:style w:type="paragraph" w:customStyle="1" w:styleId="Default">
    <w:name w:val="Default"/>
    <w:rsid w:val="005C0D23"/>
    <w:pPr>
      <w:autoSpaceDE w:val="0"/>
      <w:autoSpaceDN w:val="0"/>
      <w:adjustRightInd w:val="0"/>
      <w:spacing w:after="0" w:line="240" w:lineRule="auto"/>
    </w:pPr>
    <w:rPr>
      <w:rFonts w:ascii="Arial" w:hAnsi="Arial" w:cs="Arial"/>
      <w:color w:val="000000"/>
      <w:sz w:val="24"/>
      <w:szCs w:val="24"/>
    </w:rPr>
  </w:style>
  <w:style w:type="paragraph" w:customStyle="1" w:styleId="citation">
    <w:name w:val="citation"/>
    <w:basedOn w:val="Normal"/>
    <w:rsid w:val="00EA78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list">
    <w:name w:val="auth_list"/>
    <w:basedOn w:val="Normal"/>
    <w:rsid w:val="00EA78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97795"/>
    <w:pPr>
      <w:spacing w:after="0" w:line="240" w:lineRule="auto"/>
    </w:pPr>
  </w:style>
  <w:style w:type="paragraph" w:customStyle="1" w:styleId="title1">
    <w:name w:val="title1"/>
    <w:basedOn w:val="Normal"/>
    <w:rsid w:val="00622BED"/>
    <w:pPr>
      <w:spacing w:after="0" w:line="240" w:lineRule="auto"/>
    </w:pPr>
    <w:rPr>
      <w:rFonts w:ascii="Times New Roman" w:eastAsia="Times New Roman" w:hAnsi="Times New Roman" w:cs="Times New Roman"/>
      <w:sz w:val="29"/>
      <w:szCs w:val="29"/>
      <w:lang w:eastAsia="en-GB"/>
    </w:rPr>
  </w:style>
  <w:style w:type="paragraph" w:customStyle="1" w:styleId="rprtbody1">
    <w:name w:val="rprtbody1"/>
    <w:basedOn w:val="Normal"/>
    <w:rsid w:val="00622BED"/>
    <w:pPr>
      <w:spacing w:before="34" w:after="34" w:line="240" w:lineRule="auto"/>
    </w:pPr>
    <w:rPr>
      <w:rFonts w:ascii="Times New Roman" w:eastAsia="Times New Roman" w:hAnsi="Times New Roman" w:cs="Times New Roman"/>
      <w:sz w:val="28"/>
      <w:szCs w:val="28"/>
      <w:lang w:eastAsia="en-GB"/>
    </w:rPr>
  </w:style>
  <w:style w:type="paragraph" w:customStyle="1" w:styleId="aux1">
    <w:name w:val="aux1"/>
    <w:basedOn w:val="Normal"/>
    <w:rsid w:val="00622BED"/>
    <w:pPr>
      <w:spacing w:after="0" w:line="320" w:lineRule="atLeast"/>
    </w:pPr>
    <w:rPr>
      <w:rFonts w:ascii="Times New Roman" w:eastAsia="Times New Roman" w:hAnsi="Times New Roman" w:cs="Times New Roman"/>
      <w:sz w:val="24"/>
      <w:szCs w:val="24"/>
      <w:lang w:eastAsia="en-GB"/>
    </w:rPr>
  </w:style>
  <w:style w:type="character" w:customStyle="1" w:styleId="src1">
    <w:name w:val="src1"/>
    <w:basedOn w:val="DefaultParagraphFont"/>
    <w:rsid w:val="00622BED"/>
    <w:rPr>
      <w:vanish w:val="0"/>
      <w:webHidden w:val="0"/>
      <w:specVanish w:val="0"/>
    </w:rPr>
  </w:style>
  <w:style w:type="character" w:customStyle="1" w:styleId="jrnl">
    <w:name w:val="jrnl"/>
    <w:basedOn w:val="DefaultParagraphFont"/>
    <w:rsid w:val="00622BED"/>
  </w:style>
</w:styles>
</file>

<file path=word/webSettings.xml><?xml version="1.0" encoding="utf-8"?>
<w:webSettings xmlns:r="http://schemas.openxmlformats.org/officeDocument/2006/relationships" xmlns:w="http://schemas.openxmlformats.org/wordprocessingml/2006/main">
  <w:divs>
    <w:div w:id="80689561">
      <w:bodyDiv w:val="1"/>
      <w:marLeft w:val="0"/>
      <w:marRight w:val="0"/>
      <w:marTop w:val="0"/>
      <w:marBottom w:val="0"/>
      <w:divBdr>
        <w:top w:val="none" w:sz="0" w:space="0" w:color="auto"/>
        <w:left w:val="none" w:sz="0" w:space="0" w:color="auto"/>
        <w:bottom w:val="none" w:sz="0" w:space="0" w:color="auto"/>
        <w:right w:val="none" w:sz="0" w:space="0" w:color="auto"/>
      </w:divBdr>
    </w:div>
    <w:div w:id="102648810">
      <w:bodyDiv w:val="1"/>
      <w:marLeft w:val="0"/>
      <w:marRight w:val="0"/>
      <w:marTop w:val="0"/>
      <w:marBottom w:val="0"/>
      <w:divBdr>
        <w:top w:val="none" w:sz="0" w:space="0" w:color="auto"/>
        <w:left w:val="none" w:sz="0" w:space="0" w:color="auto"/>
        <w:bottom w:val="none" w:sz="0" w:space="0" w:color="auto"/>
        <w:right w:val="none" w:sz="0" w:space="0" w:color="auto"/>
      </w:divBdr>
      <w:divsChild>
        <w:div w:id="1276248174">
          <w:marLeft w:val="0"/>
          <w:marRight w:val="0"/>
          <w:marTop w:val="0"/>
          <w:marBottom w:val="0"/>
          <w:divBdr>
            <w:top w:val="none" w:sz="0" w:space="0" w:color="auto"/>
            <w:left w:val="none" w:sz="0" w:space="0" w:color="auto"/>
            <w:bottom w:val="none" w:sz="0" w:space="0" w:color="auto"/>
            <w:right w:val="none" w:sz="0" w:space="0" w:color="auto"/>
          </w:divBdr>
          <w:divsChild>
            <w:div w:id="1202205968">
              <w:marLeft w:val="0"/>
              <w:marRight w:val="0"/>
              <w:marTop w:val="0"/>
              <w:marBottom w:val="0"/>
              <w:divBdr>
                <w:top w:val="none" w:sz="0" w:space="0" w:color="auto"/>
                <w:left w:val="none" w:sz="0" w:space="0" w:color="auto"/>
                <w:bottom w:val="none" w:sz="0" w:space="0" w:color="auto"/>
                <w:right w:val="none" w:sz="0" w:space="0" w:color="auto"/>
              </w:divBdr>
              <w:divsChild>
                <w:div w:id="1351956376">
                  <w:marLeft w:val="0"/>
                  <w:marRight w:val="-6084"/>
                  <w:marTop w:val="0"/>
                  <w:marBottom w:val="0"/>
                  <w:divBdr>
                    <w:top w:val="none" w:sz="0" w:space="0" w:color="auto"/>
                    <w:left w:val="none" w:sz="0" w:space="0" w:color="auto"/>
                    <w:bottom w:val="none" w:sz="0" w:space="0" w:color="auto"/>
                    <w:right w:val="none" w:sz="0" w:space="0" w:color="auto"/>
                  </w:divBdr>
                  <w:divsChild>
                    <w:div w:id="674573424">
                      <w:marLeft w:val="0"/>
                      <w:marRight w:val="5604"/>
                      <w:marTop w:val="0"/>
                      <w:marBottom w:val="0"/>
                      <w:divBdr>
                        <w:top w:val="none" w:sz="0" w:space="0" w:color="auto"/>
                        <w:left w:val="none" w:sz="0" w:space="0" w:color="auto"/>
                        <w:bottom w:val="none" w:sz="0" w:space="0" w:color="auto"/>
                        <w:right w:val="none" w:sz="0" w:space="0" w:color="auto"/>
                      </w:divBdr>
                      <w:divsChild>
                        <w:div w:id="668675693">
                          <w:marLeft w:val="0"/>
                          <w:marRight w:val="0"/>
                          <w:marTop w:val="0"/>
                          <w:marBottom w:val="0"/>
                          <w:divBdr>
                            <w:top w:val="none" w:sz="0" w:space="0" w:color="auto"/>
                            <w:left w:val="none" w:sz="0" w:space="0" w:color="auto"/>
                            <w:bottom w:val="none" w:sz="0" w:space="0" w:color="auto"/>
                            <w:right w:val="none" w:sz="0" w:space="0" w:color="auto"/>
                          </w:divBdr>
                          <w:divsChild>
                            <w:div w:id="28508369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44084">
      <w:bodyDiv w:val="1"/>
      <w:marLeft w:val="0"/>
      <w:marRight w:val="0"/>
      <w:marTop w:val="0"/>
      <w:marBottom w:val="0"/>
      <w:divBdr>
        <w:top w:val="none" w:sz="0" w:space="0" w:color="auto"/>
        <w:left w:val="none" w:sz="0" w:space="0" w:color="auto"/>
        <w:bottom w:val="none" w:sz="0" w:space="0" w:color="auto"/>
        <w:right w:val="none" w:sz="0" w:space="0" w:color="auto"/>
      </w:divBdr>
    </w:div>
    <w:div w:id="190073939">
      <w:bodyDiv w:val="1"/>
      <w:marLeft w:val="0"/>
      <w:marRight w:val="0"/>
      <w:marTop w:val="0"/>
      <w:marBottom w:val="0"/>
      <w:divBdr>
        <w:top w:val="none" w:sz="0" w:space="0" w:color="auto"/>
        <w:left w:val="none" w:sz="0" w:space="0" w:color="auto"/>
        <w:bottom w:val="none" w:sz="0" w:space="0" w:color="auto"/>
        <w:right w:val="none" w:sz="0" w:space="0" w:color="auto"/>
      </w:divBdr>
    </w:div>
    <w:div w:id="240255279">
      <w:bodyDiv w:val="1"/>
      <w:marLeft w:val="0"/>
      <w:marRight w:val="0"/>
      <w:marTop w:val="0"/>
      <w:marBottom w:val="0"/>
      <w:divBdr>
        <w:top w:val="none" w:sz="0" w:space="0" w:color="auto"/>
        <w:left w:val="none" w:sz="0" w:space="0" w:color="auto"/>
        <w:bottom w:val="none" w:sz="0" w:space="0" w:color="auto"/>
        <w:right w:val="none" w:sz="0" w:space="0" w:color="auto"/>
      </w:divBdr>
      <w:divsChild>
        <w:div w:id="456265436">
          <w:marLeft w:val="0"/>
          <w:marRight w:val="0"/>
          <w:marTop w:val="0"/>
          <w:marBottom w:val="0"/>
          <w:divBdr>
            <w:top w:val="none" w:sz="0" w:space="0" w:color="auto"/>
            <w:left w:val="none" w:sz="0" w:space="0" w:color="auto"/>
            <w:bottom w:val="none" w:sz="0" w:space="0" w:color="auto"/>
            <w:right w:val="none" w:sz="0" w:space="0" w:color="auto"/>
          </w:divBdr>
          <w:divsChild>
            <w:div w:id="1380738806">
              <w:marLeft w:val="0"/>
              <w:marRight w:val="0"/>
              <w:marTop w:val="0"/>
              <w:marBottom w:val="0"/>
              <w:divBdr>
                <w:top w:val="none" w:sz="0" w:space="0" w:color="auto"/>
                <w:left w:val="none" w:sz="0" w:space="0" w:color="auto"/>
                <w:bottom w:val="none" w:sz="0" w:space="0" w:color="auto"/>
                <w:right w:val="none" w:sz="0" w:space="0" w:color="auto"/>
              </w:divBdr>
              <w:divsChild>
                <w:div w:id="1023170508">
                  <w:marLeft w:val="0"/>
                  <w:marRight w:val="-6084"/>
                  <w:marTop w:val="0"/>
                  <w:marBottom w:val="0"/>
                  <w:divBdr>
                    <w:top w:val="none" w:sz="0" w:space="0" w:color="auto"/>
                    <w:left w:val="none" w:sz="0" w:space="0" w:color="auto"/>
                    <w:bottom w:val="none" w:sz="0" w:space="0" w:color="auto"/>
                    <w:right w:val="none" w:sz="0" w:space="0" w:color="auto"/>
                  </w:divBdr>
                  <w:divsChild>
                    <w:div w:id="1811896701">
                      <w:marLeft w:val="0"/>
                      <w:marRight w:val="5604"/>
                      <w:marTop w:val="0"/>
                      <w:marBottom w:val="0"/>
                      <w:divBdr>
                        <w:top w:val="none" w:sz="0" w:space="0" w:color="auto"/>
                        <w:left w:val="none" w:sz="0" w:space="0" w:color="auto"/>
                        <w:bottom w:val="none" w:sz="0" w:space="0" w:color="auto"/>
                        <w:right w:val="none" w:sz="0" w:space="0" w:color="auto"/>
                      </w:divBdr>
                      <w:divsChild>
                        <w:div w:id="1234775313">
                          <w:marLeft w:val="0"/>
                          <w:marRight w:val="0"/>
                          <w:marTop w:val="0"/>
                          <w:marBottom w:val="0"/>
                          <w:divBdr>
                            <w:top w:val="none" w:sz="0" w:space="0" w:color="auto"/>
                            <w:left w:val="none" w:sz="0" w:space="0" w:color="auto"/>
                            <w:bottom w:val="none" w:sz="0" w:space="0" w:color="auto"/>
                            <w:right w:val="none" w:sz="0" w:space="0" w:color="auto"/>
                          </w:divBdr>
                          <w:divsChild>
                            <w:div w:id="1981304015">
                              <w:marLeft w:val="0"/>
                              <w:marRight w:val="0"/>
                              <w:marTop w:val="120"/>
                              <w:marBottom w:val="360"/>
                              <w:divBdr>
                                <w:top w:val="none" w:sz="0" w:space="0" w:color="auto"/>
                                <w:left w:val="none" w:sz="0" w:space="0" w:color="auto"/>
                                <w:bottom w:val="none" w:sz="0" w:space="0" w:color="auto"/>
                                <w:right w:val="none" w:sz="0" w:space="0" w:color="auto"/>
                              </w:divBdr>
                              <w:divsChild>
                                <w:div w:id="1188517700">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818023">
      <w:bodyDiv w:val="1"/>
      <w:marLeft w:val="0"/>
      <w:marRight w:val="0"/>
      <w:marTop w:val="0"/>
      <w:marBottom w:val="0"/>
      <w:divBdr>
        <w:top w:val="none" w:sz="0" w:space="0" w:color="auto"/>
        <w:left w:val="none" w:sz="0" w:space="0" w:color="auto"/>
        <w:bottom w:val="none" w:sz="0" w:space="0" w:color="auto"/>
        <w:right w:val="none" w:sz="0" w:space="0" w:color="auto"/>
      </w:divBdr>
      <w:divsChild>
        <w:div w:id="187646638">
          <w:marLeft w:val="0"/>
          <w:marRight w:val="0"/>
          <w:marTop w:val="0"/>
          <w:marBottom w:val="0"/>
          <w:divBdr>
            <w:top w:val="none" w:sz="0" w:space="0" w:color="auto"/>
            <w:left w:val="none" w:sz="0" w:space="0" w:color="auto"/>
            <w:bottom w:val="none" w:sz="0" w:space="0" w:color="auto"/>
            <w:right w:val="none" w:sz="0" w:space="0" w:color="auto"/>
          </w:divBdr>
          <w:divsChild>
            <w:div w:id="730692827">
              <w:marLeft w:val="0"/>
              <w:marRight w:val="0"/>
              <w:marTop w:val="0"/>
              <w:marBottom w:val="0"/>
              <w:divBdr>
                <w:top w:val="none" w:sz="0" w:space="0" w:color="auto"/>
                <w:left w:val="none" w:sz="0" w:space="0" w:color="auto"/>
                <w:bottom w:val="none" w:sz="0" w:space="0" w:color="auto"/>
                <w:right w:val="none" w:sz="0" w:space="0" w:color="auto"/>
              </w:divBdr>
              <w:divsChild>
                <w:div w:id="75909707">
                  <w:marLeft w:val="0"/>
                  <w:marRight w:val="0"/>
                  <w:marTop w:val="0"/>
                  <w:marBottom w:val="0"/>
                  <w:divBdr>
                    <w:top w:val="none" w:sz="0" w:space="0" w:color="auto"/>
                    <w:left w:val="none" w:sz="0" w:space="0" w:color="auto"/>
                    <w:bottom w:val="none" w:sz="0" w:space="0" w:color="auto"/>
                    <w:right w:val="none" w:sz="0" w:space="0" w:color="auto"/>
                  </w:divBdr>
                  <w:divsChild>
                    <w:div w:id="705370971">
                      <w:marLeft w:val="0"/>
                      <w:marRight w:val="0"/>
                      <w:marTop w:val="0"/>
                      <w:marBottom w:val="0"/>
                      <w:divBdr>
                        <w:top w:val="none" w:sz="0" w:space="0" w:color="auto"/>
                        <w:left w:val="none" w:sz="0" w:space="0" w:color="auto"/>
                        <w:bottom w:val="none" w:sz="0" w:space="0" w:color="auto"/>
                        <w:right w:val="none" w:sz="0" w:space="0" w:color="auto"/>
                      </w:divBdr>
                      <w:divsChild>
                        <w:div w:id="1580599001">
                          <w:marLeft w:val="0"/>
                          <w:marRight w:val="0"/>
                          <w:marTop w:val="0"/>
                          <w:marBottom w:val="0"/>
                          <w:divBdr>
                            <w:top w:val="none" w:sz="0" w:space="0" w:color="auto"/>
                            <w:left w:val="none" w:sz="0" w:space="0" w:color="auto"/>
                            <w:bottom w:val="none" w:sz="0" w:space="0" w:color="auto"/>
                            <w:right w:val="none" w:sz="0" w:space="0" w:color="auto"/>
                          </w:divBdr>
                          <w:divsChild>
                            <w:div w:id="2732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063169">
      <w:bodyDiv w:val="1"/>
      <w:marLeft w:val="0"/>
      <w:marRight w:val="0"/>
      <w:marTop w:val="0"/>
      <w:marBottom w:val="0"/>
      <w:divBdr>
        <w:top w:val="none" w:sz="0" w:space="0" w:color="auto"/>
        <w:left w:val="none" w:sz="0" w:space="0" w:color="auto"/>
        <w:bottom w:val="none" w:sz="0" w:space="0" w:color="auto"/>
        <w:right w:val="none" w:sz="0" w:space="0" w:color="auto"/>
      </w:divBdr>
    </w:div>
    <w:div w:id="1193759998">
      <w:bodyDiv w:val="1"/>
      <w:marLeft w:val="0"/>
      <w:marRight w:val="0"/>
      <w:marTop w:val="0"/>
      <w:marBottom w:val="0"/>
      <w:divBdr>
        <w:top w:val="none" w:sz="0" w:space="0" w:color="auto"/>
        <w:left w:val="none" w:sz="0" w:space="0" w:color="auto"/>
        <w:bottom w:val="none" w:sz="0" w:space="0" w:color="auto"/>
        <w:right w:val="none" w:sz="0" w:space="0" w:color="auto"/>
      </w:divBdr>
    </w:div>
    <w:div w:id="1203515904">
      <w:bodyDiv w:val="1"/>
      <w:marLeft w:val="0"/>
      <w:marRight w:val="0"/>
      <w:marTop w:val="0"/>
      <w:marBottom w:val="0"/>
      <w:divBdr>
        <w:top w:val="none" w:sz="0" w:space="0" w:color="auto"/>
        <w:left w:val="none" w:sz="0" w:space="0" w:color="auto"/>
        <w:bottom w:val="none" w:sz="0" w:space="0" w:color="auto"/>
        <w:right w:val="none" w:sz="0" w:space="0" w:color="auto"/>
      </w:divBdr>
    </w:div>
    <w:div w:id="1255280631">
      <w:bodyDiv w:val="1"/>
      <w:marLeft w:val="0"/>
      <w:marRight w:val="0"/>
      <w:marTop w:val="0"/>
      <w:marBottom w:val="0"/>
      <w:divBdr>
        <w:top w:val="none" w:sz="0" w:space="0" w:color="auto"/>
        <w:left w:val="none" w:sz="0" w:space="0" w:color="auto"/>
        <w:bottom w:val="none" w:sz="0" w:space="0" w:color="auto"/>
        <w:right w:val="none" w:sz="0" w:space="0" w:color="auto"/>
      </w:divBdr>
    </w:div>
    <w:div w:id="1339188866">
      <w:bodyDiv w:val="1"/>
      <w:marLeft w:val="0"/>
      <w:marRight w:val="0"/>
      <w:marTop w:val="0"/>
      <w:marBottom w:val="0"/>
      <w:divBdr>
        <w:top w:val="none" w:sz="0" w:space="0" w:color="auto"/>
        <w:left w:val="none" w:sz="0" w:space="0" w:color="auto"/>
        <w:bottom w:val="none" w:sz="0" w:space="0" w:color="auto"/>
        <w:right w:val="none" w:sz="0" w:space="0" w:color="auto"/>
      </w:divBdr>
    </w:div>
    <w:div w:id="1370492864">
      <w:bodyDiv w:val="1"/>
      <w:marLeft w:val="0"/>
      <w:marRight w:val="0"/>
      <w:marTop w:val="0"/>
      <w:marBottom w:val="0"/>
      <w:divBdr>
        <w:top w:val="none" w:sz="0" w:space="0" w:color="auto"/>
        <w:left w:val="none" w:sz="0" w:space="0" w:color="auto"/>
        <w:bottom w:val="none" w:sz="0" w:space="0" w:color="auto"/>
        <w:right w:val="none" w:sz="0" w:space="0" w:color="auto"/>
      </w:divBdr>
    </w:div>
    <w:div w:id="1639147721">
      <w:bodyDiv w:val="1"/>
      <w:marLeft w:val="0"/>
      <w:marRight w:val="0"/>
      <w:marTop w:val="0"/>
      <w:marBottom w:val="0"/>
      <w:divBdr>
        <w:top w:val="none" w:sz="0" w:space="0" w:color="auto"/>
        <w:left w:val="none" w:sz="0" w:space="0" w:color="auto"/>
        <w:bottom w:val="none" w:sz="0" w:space="0" w:color="auto"/>
        <w:right w:val="none" w:sz="0" w:space="0" w:color="auto"/>
      </w:divBdr>
      <w:divsChild>
        <w:div w:id="1254703104">
          <w:marLeft w:val="0"/>
          <w:marRight w:val="0"/>
          <w:marTop w:val="75"/>
          <w:marBottom w:val="0"/>
          <w:divBdr>
            <w:top w:val="none" w:sz="0" w:space="0" w:color="auto"/>
            <w:left w:val="none" w:sz="0" w:space="0" w:color="auto"/>
            <w:bottom w:val="none" w:sz="0" w:space="0" w:color="auto"/>
            <w:right w:val="none" w:sz="0" w:space="0" w:color="auto"/>
          </w:divBdr>
          <w:divsChild>
            <w:div w:id="848451539">
              <w:marLeft w:val="0"/>
              <w:marRight w:val="0"/>
              <w:marTop w:val="0"/>
              <w:marBottom w:val="0"/>
              <w:divBdr>
                <w:top w:val="none" w:sz="0" w:space="0" w:color="auto"/>
                <w:left w:val="none" w:sz="0" w:space="0" w:color="auto"/>
                <w:bottom w:val="none" w:sz="0" w:space="0" w:color="auto"/>
                <w:right w:val="none" w:sz="0" w:space="0" w:color="auto"/>
              </w:divBdr>
              <w:divsChild>
                <w:div w:id="1315253966">
                  <w:marLeft w:val="0"/>
                  <w:marRight w:val="0"/>
                  <w:marTop w:val="0"/>
                  <w:marBottom w:val="0"/>
                  <w:divBdr>
                    <w:top w:val="none" w:sz="0" w:space="0" w:color="auto"/>
                    <w:left w:val="none" w:sz="0" w:space="0" w:color="auto"/>
                    <w:bottom w:val="none" w:sz="0" w:space="0" w:color="auto"/>
                    <w:right w:val="none" w:sz="0" w:space="0" w:color="auto"/>
                  </w:divBdr>
                  <w:divsChild>
                    <w:div w:id="85149836">
                      <w:marLeft w:val="0"/>
                      <w:marRight w:val="0"/>
                      <w:marTop w:val="0"/>
                      <w:marBottom w:val="0"/>
                      <w:divBdr>
                        <w:top w:val="single" w:sz="6" w:space="0" w:color="B7B7B7"/>
                        <w:left w:val="single" w:sz="6" w:space="0" w:color="B7B7B7"/>
                        <w:bottom w:val="single" w:sz="6" w:space="11" w:color="B7B7B7"/>
                        <w:right w:val="single" w:sz="6" w:space="0" w:color="B7B7B7"/>
                      </w:divBdr>
                    </w:div>
                    <w:div w:id="6462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49068">
      <w:bodyDiv w:val="1"/>
      <w:marLeft w:val="0"/>
      <w:marRight w:val="0"/>
      <w:marTop w:val="0"/>
      <w:marBottom w:val="0"/>
      <w:divBdr>
        <w:top w:val="none" w:sz="0" w:space="0" w:color="auto"/>
        <w:left w:val="none" w:sz="0" w:space="0" w:color="auto"/>
        <w:bottom w:val="none" w:sz="0" w:space="0" w:color="auto"/>
        <w:right w:val="none" w:sz="0" w:space="0" w:color="auto"/>
      </w:divBdr>
    </w:div>
    <w:div w:id="1846817323">
      <w:bodyDiv w:val="1"/>
      <w:marLeft w:val="0"/>
      <w:marRight w:val="0"/>
      <w:marTop w:val="0"/>
      <w:marBottom w:val="0"/>
      <w:divBdr>
        <w:top w:val="none" w:sz="0" w:space="0" w:color="auto"/>
        <w:left w:val="none" w:sz="0" w:space="0" w:color="auto"/>
        <w:bottom w:val="none" w:sz="0" w:space="0" w:color="auto"/>
        <w:right w:val="none" w:sz="0" w:space="0" w:color="auto"/>
      </w:divBdr>
      <w:divsChild>
        <w:div w:id="1657685560">
          <w:marLeft w:val="0"/>
          <w:marRight w:val="0"/>
          <w:marTop w:val="0"/>
          <w:marBottom w:val="0"/>
          <w:divBdr>
            <w:top w:val="none" w:sz="0" w:space="0" w:color="auto"/>
            <w:left w:val="none" w:sz="0" w:space="0" w:color="auto"/>
            <w:bottom w:val="none" w:sz="0" w:space="0" w:color="auto"/>
            <w:right w:val="none" w:sz="0" w:space="0" w:color="auto"/>
          </w:divBdr>
          <w:divsChild>
            <w:div w:id="1267807422">
              <w:marLeft w:val="0"/>
              <w:marRight w:val="0"/>
              <w:marTop w:val="0"/>
              <w:marBottom w:val="0"/>
              <w:divBdr>
                <w:top w:val="none" w:sz="0" w:space="0" w:color="auto"/>
                <w:left w:val="none" w:sz="0" w:space="0" w:color="auto"/>
                <w:bottom w:val="none" w:sz="0" w:space="0" w:color="auto"/>
                <w:right w:val="none" w:sz="0" w:space="0" w:color="auto"/>
              </w:divBdr>
              <w:divsChild>
                <w:div w:id="433748866">
                  <w:marLeft w:val="0"/>
                  <w:marRight w:val="-6084"/>
                  <w:marTop w:val="0"/>
                  <w:marBottom w:val="0"/>
                  <w:divBdr>
                    <w:top w:val="none" w:sz="0" w:space="0" w:color="auto"/>
                    <w:left w:val="none" w:sz="0" w:space="0" w:color="auto"/>
                    <w:bottom w:val="none" w:sz="0" w:space="0" w:color="auto"/>
                    <w:right w:val="none" w:sz="0" w:space="0" w:color="auto"/>
                  </w:divBdr>
                  <w:divsChild>
                    <w:div w:id="699937039">
                      <w:marLeft w:val="0"/>
                      <w:marRight w:val="5604"/>
                      <w:marTop w:val="0"/>
                      <w:marBottom w:val="0"/>
                      <w:divBdr>
                        <w:top w:val="none" w:sz="0" w:space="0" w:color="auto"/>
                        <w:left w:val="none" w:sz="0" w:space="0" w:color="auto"/>
                        <w:bottom w:val="none" w:sz="0" w:space="0" w:color="auto"/>
                        <w:right w:val="none" w:sz="0" w:space="0" w:color="auto"/>
                      </w:divBdr>
                      <w:divsChild>
                        <w:div w:id="1826125930">
                          <w:marLeft w:val="0"/>
                          <w:marRight w:val="0"/>
                          <w:marTop w:val="0"/>
                          <w:marBottom w:val="0"/>
                          <w:divBdr>
                            <w:top w:val="none" w:sz="0" w:space="0" w:color="auto"/>
                            <w:left w:val="none" w:sz="0" w:space="0" w:color="auto"/>
                            <w:bottom w:val="none" w:sz="0" w:space="0" w:color="auto"/>
                            <w:right w:val="none" w:sz="0" w:space="0" w:color="auto"/>
                          </w:divBdr>
                          <w:divsChild>
                            <w:div w:id="515076497">
                              <w:marLeft w:val="0"/>
                              <w:marRight w:val="0"/>
                              <w:marTop w:val="120"/>
                              <w:marBottom w:val="360"/>
                              <w:divBdr>
                                <w:top w:val="none" w:sz="0" w:space="0" w:color="auto"/>
                                <w:left w:val="none" w:sz="0" w:space="0" w:color="auto"/>
                                <w:bottom w:val="none" w:sz="0" w:space="0" w:color="auto"/>
                                <w:right w:val="none" w:sz="0" w:space="0" w:color="auto"/>
                              </w:divBdr>
                              <w:divsChild>
                                <w:div w:id="667952068">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6.xml"/><Relationship Id="rId26" Type="http://schemas.openxmlformats.org/officeDocument/2006/relationships/chart" Target="charts/chart11.xml"/><Relationship Id="rId39" Type="http://schemas.openxmlformats.org/officeDocument/2006/relationships/chart" Target="charts/chart23.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chart" Target="charts/chart19.xml"/><Relationship Id="rId42" Type="http://schemas.openxmlformats.org/officeDocument/2006/relationships/image" Target="media/image10.em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2.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6.png"/><Relationship Id="rId29" Type="http://schemas.openxmlformats.org/officeDocument/2006/relationships/chart" Target="charts/chart14.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8.png"/><Relationship Id="rId28" Type="http://schemas.openxmlformats.org/officeDocument/2006/relationships/chart" Target="charts/chart13.xml"/><Relationship Id="rId36" Type="http://schemas.openxmlformats.org/officeDocument/2006/relationships/chart" Target="charts/chart20.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7.xml"/><Relationship Id="rId31" Type="http://schemas.openxmlformats.org/officeDocument/2006/relationships/chart" Target="charts/chart16.xml"/><Relationship Id="rId44"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image" Target="media/image9.png"/><Relationship Id="rId43" Type="http://schemas.openxmlformats.org/officeDocument/2006/relationships/image" Target="media/image11.emf"/><Relationship Id="rId48" Type="http://schemas.openxmlformats.org/officeDocument/2006/relationships/fontTable" Target="fontTable.xml"/><Relationship Id="rId8" Type="http://schemas.openxmlformats.org/officeDocument/2006/relationships/chart" Target="charts/chart1.xm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pubmed?term=%22Soljak%20M%22%5BAuthor%5D" TargetMode="External"/><Relationship Id="rId13" Type="http://schemas.openxmlformats.org/officeDocument/2006/relationships/hyperlink" Target="http://www.ncbi.nlm.nih.gov/pubmed/18794891" TargetMode="External"/><Relationship Id="rId3" Type="http://schemas.openxmlformats.org/officeDocument/2006/relationships/hyperlink" Target="http://www.ncbi.nlm.nih.gov/pubmed?term=%22Nacul%20LC%22%5BAuthor%5D" TargetMode="External"/><Relationship Id="rId7" Type="http://schemas.openxmlformats.org/officeDocument/2006/relationships/hyperlink" Target="http://www.ncbi.nlm.nih.gov/pubmed?term=%22Nacul%20LC%22%5BAuthor%5D" TargetMode="External"/><Relationship Id="rId12" Type="http://schemas.openxmlformats.org/officeDocument/2006/relationships/hyperlink" Target="http://www.ncbi.nlm.nih.gov/pubmed/19137200" TargetMode="External"/><Relationship Id="rId17" Type="http://schemas.openxmlformats.org/officeDocument/2006/relationships/hyperlink" Target="javascript:AL_get(this,%20'jour',%20'Popul%20Health%20Metr.');" TargetMode="External"/><Relationship Id="rId2" Type="http://schemas.openxmlformats.org/officeDocument/2006/relationships/hyperlink" Target="http://www.ncbi.nlm.nih.gov/pubmed/19137200" TargetMode="External"/><Relationship Id="rId16" Type="http://schemas.openxmlformats.org/officeDocument/2006/relationships/hyperlink" Target="http://www.ncbi.nlm.nih.gov/pubmed?term=%22Meade%20T%22%5BAuthor%5D" TargetMode="External"/><Relationship Id="rId1" Type="http://schemas.openxmlformats.org/officeDocument/2006/relationships/hyperlink" Target="http://www.who.int/respiratory/copd/definition/en/index.html" TargetMode="External"/><Relationship Id="rId6" Type="http://schemas.openxmlformats.org/officeDocument/2006/relationships/hyperlink" Target="javascript:AL_get(this,%20'jour',%20'Popul%20Health%20Metr.');" TargetMode="External"/><Relationship Id="rId11" Type="http://schemas.openxmlformats.org/officeDocument/2006/relationships/hyperlink" Target="http://www.ncbi.nlm.nih.gov/pubmed/18794891" TargetMode="External"/><Relationship Id="rId5" Type="http://schemas.openxmlformats.org/officeDocument/2006/relationships/hyperlink" Target="http://www.ncbi.nlm.nih.gov/pubmed?term=%22Meade%20T%22%5BAuthor%5D" TargetMode="External"/><Relationship Id="rId15" Type="http://schemas.openxmlformats.org/officeDocument/2006/relationships/hyperlink" Target="http://www.ncbi.nlm.nih.gov/pubmed?term=%22Soljak%20M%22%5BAuthor%5D" TargetMode="External"/><Relationship Id="rId10" Type="http://schemas.openxmlformats.org/officeDocument/2006/relationships/hyperlink" Target="javascript:AL_get(this,%20'jour',%20'Popul%20Health%20Metr.');" TargetMode="External"/><Relationship Id="rId4" Type="http://schemas.openxmlformats.org/officeDocument/2006/relationships/hyperlink" Target="http://www.ncbi.nlm.nih.gov/pubmed?term=%22Soljak%20M%22%5BAuthor%5D" TargetMode="External"/><Relationship Id="rId9" Type="http://schemas.openxmlformats.org/officeDocument/2006/relationships/hyperlink" Target="http://www.ncbi.nlm.nih.gov/pubmed?term=%22Meade%20T%22%5BAuthor%5D" TargetMode="External"/><Relationship Id="rId14" Type="http://schemas.openxmlformats.org/officeDocument/2006/relationships/hyperlink" Target="http://www.ncbi.nlm.nih.gov/pubmed?term=%22Nacul%20LC%22%5BAuthor%5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pctfsu01\c-users\fgreaves\COPD%20HNA\COPD%20data%20by%20practice%20v5%20for%20presentation%20resort%20prevalence%20all%20together.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pctfsu01\C-Users\fgreaves\My%20Documents\COPD%20mortality%20time%20line.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pctfsu01\c-users\fgreaves\COPD%20HNA\HPU%20COPD%20FEV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pctfsu01\c-users\fgreaves\COPD%20HNA\COPD%20data%20by%20practice.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pctfsu01\c-users\fgreaves\COPD%20HNA\hpu%20spirometry.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pctfsu01\c-users\fgreaves\COPD%20HNA\prevalence%20vs%20starpu%20copd.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pctfsu01\c-users\fgreaves\COPD%20HNA\HPU%20COPD%20technique.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pctfsu01\c-users\fgreaves\COPD%20HNA\HPU%20COPD%20aggreagate.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pctfsu01\c-users\fgreaves\COPD%20HNA\HPU%20COPD%20aggreagate.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pctfsu01\c-users\fgreaves\COPD%20HNA\emergency%20admission%20cluster.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pctfsu01\c-users\fgreaves\COPD%20HNA\Practice%20by%20practice%20emergnyc%20COPD%20admission%20rate%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pctfsu01\c-users\fgreaves\COPD%20HNA\COPD%20data%20by%20practice%20v5%20for%20presentation%20resort%20prevalence%204%20polys.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pctfsu01\c-users\fgreaves\COPD%20HNA\emergency%20admissions%20vs%20qof%20copd.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pctfsu01\c-users\fgreaves\COPD%20HNA\emergency%20admissions%20vs%20qof%20copd.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pctfsu01\c-users\fgreaves\COPD%20HNA\COPD%20Length%20of%20stay%20london.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pctfsu01\c-users\fgreaves\COPD%20HNA\COPD%20Length%20of%20Stay%20Practice.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wpctfsu01\c-users\fgreaves\COPD%20HNA\COPD%20readmission%20rates.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fgreaves\Local%20Settings\Temporary%20Internet%20Files\Content.IE5\IZMV2TAR\NHSComparatorsExport%5b2%5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pctfsu01\c-users\fgreaves\COPD%20HNA\observed%20vs%20expected%20COPD%20prevalence%20by%20practic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pctfsu01\c-users\fgreaves\COPD%20HNA\COPD%20data%20by%20practic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pctfsu01\c-users\fgreaves\COPD%20HNA\Modelled%20estimates%20of%20the%20prevalence%20of%20COPD%20by%20ethnic%20group%201%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pctfsu01\c-users\fgreaves\COPD%20HNA\COPD%20data%20by%20practic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pctfsu01\C-Users\fgreaves\My%20Documents\smoking%20advic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pctfsu01\c-users\fgreaves\COPD%20HNA\COPD%20age%20specific%20rates%20national%20regional%20local.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pctfsu01\C-Users\fgreaves\My%20Documents\COPD%20mortality%20time%20li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Prevalence of COPD in Wandsworth GP practices </a:t>
            </a:r>
          </a:p>
        </c:rich>
      </c:tx>
      <c:layout/>
    </c:title>
    <c:plotArea>
      <c:layout>
        <c:manualLayout>
          <c:layoutTarget val="inner"/>
          <c:xMode val="edge"/>
          <c:yMode val="edge"/>
          <c:x val="8.8902194019535849E-2"/>
          <c:y val="0.17115279820403237"/>
          <c:w val="0.89746169295296641"/>
          <c:h val="0.46757453917317332"/>
        </c:manualLayout>
      </c:layout>
      <c:barChart>
        <c:barDir val="col"/>
        <c:grouping val="clustered"/>
        <c:ser>
          <c:idx val="4"/>
          <c:order val="0"/>
          <c:cat>
            <c:strRef>
              <c:f>'IMD FEV'!$H$6:$I$56</c:f>
              <c:strCache>
                <c:ptCount val="47"/>
                <c:pt idx="0">
                  <c:v>SAI MEDICAL CENTRE</c:v>
                </c:pt>
                <c:pt idx="1">
                  <c:v>GRANVILLE ROAD SURGERY</c:v>
                </c:pt>
                <c:pt idx="2">
                  <c:v>TOOTING BEC SURGERY</c:v>
                </c:pt>
                <c:pt idx="3">
                  <c:v>MITCHAM ROAD SURGERY</c:v>
                </c:pt>
                <c:pt idx="4">
                  <c:v>BALHAM HEALTH CENTRE</c:v>
                </c:pt>
                <c:pt idx="5">
                  <c:v>PUTNEYMEAD MEDICAL CENTRE</c:v>
                </c:pt>
                <c:pt idx="6">
                  <c:v>THE HERITAGE MEDICAL CENTRE</c:v>
                </c:pt>
                <c:pt idx="7">
                  <c:v>LAVENDER HILL SURGERY</c:v>
                </c:pt>
                <c:pt idx="8">
                  <c:v>The Putney Surgery</c:v>
                </c:pt>
                <c:pt idx="9">
                  <c:v>THURLEIGH ROAD PRACTICE</c:v>
                </c:pt>
                <c:pt idx="10">
                  <c:v>BATTERSEA RISE GROUP PRACTICE</c:v>
                </c:pt>
                <c:pt idx="11">
                  <c:v>THE SURGERY</c:v>
                </c:pt>
                <c:pt idx="12">
                  <c:v>TOOTING SOUTH MEDICAL CENTRE</c:v>
                </c:pt>
                <c:pt idx="13">
                  <c:v>ELBOROUGH STREET SURGERY</c:v>
                </c:pt>
                <c:pt idx="14">
                  <c:v>BALHAM HILL MEDICAL PRACTICE</c:v>
                </c:pt>
                <c:pt idx="15">
                  <c:v>FURZEDOWN PRIMARY CARE CENTRE</c:v>
                </c:pt>
                <c:pt idx="16">
                  <c:v>BALHAM PARK SURGERY</c:v>
                </c:pt>
                <c:pt idx="17">
                  <c:v>LAVENDER HILL GROUP PRACTICE</c:v>
                </c:pt>
                <c:pt idx="18">
                  <c:v>THE FALCON ROAD MEDICAL CENTRE</c:v>
                </c:pt>
                <c:pt idx="19">
                  <c:v>THE GRAYSWOOD PRACTICE</c:v>
                </c:pt>
                <c:pt idx="20">
                  <c:v>THE FRANCISCAN SURGERY</c:v>
                </c:pt>
                <c:pt idx="21">
                  <c:v>OPEN DOOR SURGERY</c:v>
                </c:pt>
                <c:pt idx="22">
                  <c:v>BEDFORD HILL FAMILY PRACTICE</c:v>
                </c:pt>
                <c:pt idx="23">
                  <c:v>BROCKLEBANK HEALTH CENTRE</c:v>
                </c:pt>
                <c:pt idx="24">
                  <c:v>THE MEDICAL CENTRE</c:v>
                </c:pt>
                <c:pt idx="25">
                  <c:v>DR NICHOLAS &amp; PARTNERS</c:v>
                </c:pt>
                <c:pt idx="26">
                  <c:v>ST PAUL'S COTTAGE PRACTICE</c:v>
                </c:pt>
                <c:pt idx="27">
                  <c:v>NORTHCOTE ROAD SURGERY</c:v>
                </c:pt>
                <c:pt idx="28">
                  <c:v>BATTERSEA FIELDS PRACTICE</c:v>
                </c:pt>
                <c:pt idx="29">
                  <c:v>ST. JOHN'S HILL PRACTICE</c:v>
                </c:pt>
                <c:pt idx="30">
                  <c:v>EARLSFIELD SURGERY</c:v>
                </c:pt>
                <c:pt idx="31">
                  <c:v>SOUTHFIELDS GROUP PRACTICE</c:v>
                </c:pt>
                <c:pt idx="32">
                  <c:v>THE HEATHBRIDGE PRACTICE</c:v>
                </c:pt>
                <c:pt idx="33">
                  <c:v>CHARTFIELD SURGERY</c:v>
                </c:pt>
                <c:pt idx="34">
                  <c:v>THE ROEHAMPTON SURGERY</c:v>
                </c:pt>
                <c:pt idx="35">
                  <c:v>TRIANGLE SURGERY</c:v>
                </c:pt>
                <c:pt idx="36">
                  <c:v>CHATFIELD MEDICAL CENTRE</c:v>
                </c:pt>
                <c:pt idx="37">
                  <c:v>BRIDGE LANE GROUP PRACTICE</c:v>
                </c:pt>
                <c:pt idx="38">
                  <c:v>QUEENSTOWN ROAD MEDICAL PRACTICE</c:v>
                </c:pt>
                <c:pt idx="39">
                  <c:v>WATERFALL HOUSE</c:v>
                </c:pt>
                <c:pt idx="40">
                  <c:v>STREATHAM PARK SURGERY</c:v>
                </c:pt>
                <c:pt idx="41">
                  <c:v>THE ALTON PRACTICE</c:v>
                </c:pt>
                <c:pt idx="42">
                  <c:v>THE SURGERY</c:v>
                </c:pt>
                <c:pt idx="43">
                  <c:v>DANEBURY AVENUE SURGERY</c:v>
                </c:pt>
                <c:pt idx="44">
                  <c:v>TUDOR LODGE HEALTH CENTRE</c:v>
                </c:pt>
                <c:pt idx="45">
                  <c:v>INNER PARK ROAD HEALTH CENTRE</c:v>
                </c:pt>
                <c:pt idx="46">
                  <c:v>MAYFIELD SURGERY</c:v>
                </c:pt>
              </c:strCache>
            </c:strRef>
          </c:cat>
          <c:val>
            <c:numRef>
              <c:f>'IMD FEV'!$N$6:$N$56</c:f>
              <c:numCache>
                <c:formatCode>0.0%</c:formatCode>
                <c:ptCount val="51"/>
                <c:pt idx="0">
                  <c:v>6.1500615006150193E-4</c:v>
                </c:pt>
                <c:pt idx="1">
                  <c:v>6.4641241111829508E-4</c:v>
                </c:pt>
                <c:pt idx="2">
                  <c:v>1.5756302521008399E-3</c:v>
                </c:pt>
                <c:pt idx="3">
                  <c:v>2.0136931131695501E-3</c:v>
                </c:pt>
                <c:pt idx="4">
                  <c:v>2.1626297577854955E-3</c:v>
                </c:pt>
                <c:pt idx="5">
                  <c:v>2.7278089059274806E-3</c:v>
                </c:pt>
                <c:pt idx="6">
                  <c:v>2.7900146842878251E-3</c:v>
                </c:pt>
                <c:pt idx="7">
                  <c:v>4.1879944160074355E-3</c:v>
                </c:pt>
                <c:pt idx="8">
                  <c:v>4.8124557678697775E-3</c:v>
                </c:pt>
                <c:pt idx="9">
                  <c:v>4.9275945293644355E-3</c:v>
                </c:pt>
                <c:pt idx="10">
                  <c:v>5.1504472756844734E-3</c:v>
                </c:pt>
                <c:pt idx="11">
                  <c:v>5.2559414990859402E-3</c:v>
                </c:pt>
                <c:pt idx="12">
                  <c:v>5.6015586945933156E-3</c:v>
                </c:pt>
                <c:pt idx="13">
                  <c:v>5.8027079303675103E-3</c:v>
                </c:pt>
                <c:pt idx="14">
                  <c:v>6.1092019854907141E-3</c:v>
                </c:pt>
                <c:pt idx="15">
                  <c:v>6.2418725617685569E-3</c:v>
                </c:pt>
                <c:pt idx="16">
                  <c:v>6.2495055770904204E-3</c:v>
                </c:pt>
                <c:pt idx="17">
                  <c:v>6.2950385156961934E-3</c:v>
                </c:pt>
                <c:pt idx="18">
                  <c:v>6.6473176668851155E-3</c:v>
                </c:pt>
                <c:pt idx="19">
                  <c:v>6.6497400556160477E-3</c:v>
                </c:pt>
                <c:pt idx="20">
                  <c:v>6.7393458870168947E-3</c:v>
                </c:pt>
                <c:pt idx="21">
                  <c:v>6.8499490882162747E-3</c:v>
                </c:pt>
                <c:pt idx="22">
                  <c:v>6.9885641677255514E-3</c:v>
                </c:pt>
                <c:pt idx="23">
                  <c:v>7.0457354758961949E-3</c:v>
                </c:pt>
                <c:pt idx="24">
                  <c:v>7.2840790842872497E-3</c:v>
                </c:pt>
                <c:pt idx="25">
                  <c:v>7.5308444159590251E-3</c:v>
                </c:pt>
                <c:pt idx="26">
                  <c:v>7.6416896624920847E-3</c:v>
                </c:pt>
                <c:pt idx="27">
                  <c:v>7.7720207253886633E-3</c:v>
                </c:pt>
                <c:pt idx="28">
                  <c:v>8.1464240372408278E-3</c:v>
                </c:pt>
                <c:pt idx="29">
                  <c:v>8.2530949105914728E-3</c:v>
                </c:pt>
                <c:pt idx="30">
                  <c:v>8.7151609284666746E-3</c:v>
                </c:pt>
                <c:pt idx="31">
                  <c:v>8.847382649299608E-3</c:v>
                </c:pt>
                <c:pt idx="32">
                  <c:v>8.9463220675944279E-3</c:v>
                </c:pt>
                <c:pt idx="33">
                  <c:v>9.3287583101008004E-3</c:v>
                </c:pt>
                <c:pt idx="34">
                  <c:v>9.3572009764036571E-3</c:v>
                </c:pt>
                <c:pt idx="35">
                  <c:v>9.6723253059613247E-3</c:v>
                </c:pt>
                <c:pt idx="36">
                  <c:v>1.0632688927943798E-2</c:v>
                </c:pt>
                <c:pt idx="37">
                  <c:v>1.2584407612031962E-2</c:v>
                </c:pt>
                <c:pt idx="38">
                  <c:v>1.2636899747262108E-2</c:v>
                </c:pt>
                <c:pt idx="39">
                  <c:v>1.2804097311139621E-2</c:v>
                </c:pt>
                <c:pt idx="40">
                  <c:v>1.3735137351373499E-2</c:v>
                </c:pt>
                <c:pt idx="41">
                  <c:v>1.4219171365530869E-2</c:v>
                </c:pt>
                <c:pt idx="42">
                  <c:v>1.4556682840758698E-2</c:v>
                </c:pt>
                <c:pt idx="43">
                  <c:v>1.5510434292160322E-2</c:v>
                </c:pt>
                <c:pt idx="44">
                  <c:v>1.6930891180544902E-2</c:v>
                </c:pt>
                <c:pt idx="45">
                  <c:v>1.7980221756068452E-2</c:v>
                </c:pt>
                <c:pt idx="46">
                  <c:v>2.3387538826968798E-2</c:v>
                </c:pt>
              </c:numCache>
            </c:numRef>
          </c:val>
        </c:ser>
        <c:axId val="78993280"/>
        <c:axId val="79007744"/>
      </c:barChart>
      <c:lineChart>
        <c:grouping val="standard"/>
        <c:ser>
          <c:idx val="0"/>
          <c:order val="1"/>
          <c:tx>
            <c:v>England</c:v>
          </c:tx>
          <c:marker>
            <c:symbol val="none"/>
          </c:marker>
          <c:cat>
            <c:strRef>
              <c:f>'IMD FEV'!$H$6:$I$56</c:f>
              <c:strCache>
                <c:ptCount val="47"/>
                <c:pt idx="0">
                  <c:v>SAI MEDICAL CENTRE</c:v>
                </c:pt>
                <c:pt idx="1">
                  <c:v>GRANVILLE ROAD SURGERY</c:v>
                </c:pt>
                <c:pt idx="2">
                  <c:v>TOOTING BEC SURGERY</c:v>
                </c:pt>
                <c:pt idx="3">
                  <c:v>MITCHAM ROAD SURGERY</c:v>
                </c:pt>
                <c:pt idx="4">
                  <c:v>BALHAM HEALTH CENTRE</c:v>
                </c:pt>
                <c:pt idx="5">
                  <c:v>PUTNEYMEAD MEDICAL CENTRE</c:v>
                </c:pt>
                <c:pt idx="6">
                  <c:v>THE HERITAGE MEDICAL CENTRE</c:v>
                </c:pt>
                <c:pt idx="7">
                  <c:v>LAVENDER HILL SURGERY</c:v>
                </c:pt>
                <c:pt idx="8">
                  <c:v>The Putney Surgery</c:v>
                </c:pt>
                <c:pt idx="9">
                  <c:v>THURLEIGH ROAD PRACTICE</c:v>
                </c:pt>
                <c:pt idx="10">
                  <c:v>BATTERSEA RISE GROUP PRACTICE</c:v>
                </c:pt>
                <c:pt idx="11">
                  <c:v>THE SURGERY</c:v>
                </c:pt>
                <c:pt idx="12">
                  <c:v>TOOTING SOUTH MEDICAL CENTRE</c:v>
                </c:pt>
                <c:pt idx="13">
                  <c:v>ELBOROUGH STREET SURGERY</c:v>
                </c:pt>
                <c:pt idx="14">
                  <c:v>BALHAM HILL MEDICAL PRACTICE</c:v>
                </c:pt>
                <c:pt idx="15">
                  <c:v>FURZEDOWN PRIMARY CARE CENTRE</c:v>
                </c:pt>
                <c:pt idx="16">
                  <c:v>BALHAM PARK SURGERY</c:v>
                </c:pt>
                <c:pt idx="17">
                  <c:v>LAVENDER HILL GROUP PRACTICE</c:v>
                </c:pt>
                <c:pt idx="18">
                  <c:v>THE FALCON ROAD MEDICAL CENTRE</c:v>
                </c:pt>
                <c:pt idx="19">
                  <c:v>THE GRAYSWOOD PRACTICE</c:v>
                </c:pt>
                <c:pt idx="20">
                  <c:v>THE FRANCISCAN SURGERY</c:v>
                </c:pt>
                <c:pt idx="21">
                  <c:v>OPEN DOOR SURGERY</c:v>
                </c:pt>
                <c:pt idx="22">
                  <c:v>BEDFORD HILL FAMILY PRACTICE</c:v>
                </c:pt>
                <c:pt idx="23">
                  <c:v>BROCKLEBANK HEALTH CENTRE</c:v>
                </c:pt>
                <c:pt idx="24">
                  <c:v>THE MEDICAL CENTRE</c:v>
                </c:pt>
                <c:pt idx="25">
                  <c:v>DR NICHOLAS &amp; PARTNERS</c:v>
                </c:pt>
                <c:pt idx="26">
                  <c:v>ST PAUL'S COTTAGE PRACTICE</c:v>
                </c:pt>
                <c:pt idx="27">
                  <c:v>NORTHCOTE ROAD SURGERY</c:v>
                </c:pt>
                <c:pt idx="28">
                  <c:v>BATTERSEA FIELDS PRACTICE</c:v>
                </c:pt>
                <c:pt idx="29">
                  <c:v>ST. JOHN'S HILL PRACTICE</c:v>
                </c:pt>
                <c:pt idx="30">
                  <c:v>EARLSFIELD SURGERY</c:v>
                </c:pt>
                <c:pt idx="31">
                  <c:v>SOUTHFIELDS GROUP PRACTICE</c:v>
                </c:pt>
                <c:pt idx="32">
                  <c:v>THE HEATHBRIDGE PRACTICE</c:v>
                </c:pt>
                <c:pt idx="33">
                  <c:v>CHARTFIELD SURGERY</c:v>
                </c:pt>
                <c:pt idx="34">
                  <c:v>THE ROEHAMPTON SURGERY</c:v>
                </c:pt>
                <c:pt idx="35">
                  <c:v>TRIANGLE SURGERY</c:v>
                </c:pt>
                <c:pt idx="36">
                  <c:v>CHATFIELD MEDICAL CENTRE</c:v>
                </c:pt>
                <c:pt idx="37">
                  <c:v>BRIDGE LANE GROUP PRACTICE</c:v>
                </c:pt>
                <c:pt idx="38">
                  <c:v>QUEENSTOWN ROAD MEDICAL PRACTICE</c:v>
                </c:pt>
                <c:pt idx="39">
                  <c:v>WATERFALL HOUSE</c:v>
                </c:pt>
                <c:pt idx="40">
                  <c:v>STREATHAM PARK SURGERY</c:v>
                </c:pt>
                <c:pt idx="41">
                  <c:v>THE ALTON PRACTICE</c:v>
                </c:pt>
                <c:pt idx="42">
                  <c:v>THE SURGERY</c:v>
                </c:pt>
                <c:pt idx="43">
                  <c:v>DANEBURY AVENUE SURGERY</c:v>
                </c:pt>
                <c:pt idx="44">
                  <c:v>TUDOR LODGE HEALTH CENTRE</c:v>
                </c:pt>
                <c:pt idx="45">
                  <c:v>INNER PARK ROAD HEALTH CENTRE</c:v>
                </c:pt>
                <c:pt idx="46">
                  <c:v>MAYFIELD SURGERY</c:v>
                </c:pt>
              </c:strCache>
            </c:strRef>
          </c:cat>
          <c:val>
            <c:numRef>
              <c:f>'IMD FEV'!$O$6:$O$56</c:f>
              <c:numCache>
                <c:formatCode>0.0%</c:formatCode>
                <c:ptCount val="51"/>
                <c:pt idx="0">
                  <c:v>1.5400000000000066E-2</c:v>
                </c:pt>
                <c:pt idx="1">
                  <c:v>1.5400000000000066E-2</c:v>
                </c:pt>
                <c:pt idx="2">
                  <c:v>1.5400000000000066E-2</c:v>
                </c:pt>
                <c:pt idx="3">
                  <c:v>1.5400000000000066E-2</c:v>
                </c:pt>
                <c:pt idx="4">
                  <c:v>1.5400000000000066E-2</c:v>
                </c:pt>
                <c:pt idx="5">
                  <c:v>1.5400000000000066E-2</c:v>
                </c:pt>
                <c:pt idx="6">
                  <c:v>1.5400000000000066E-2</c:v>
                </c:pt>
                <c:pt idx="7">
                  <c:v>1.5400000000000066E-2</c:v>
                </c:pt>
                <c:pt idx="8">
                  <c:v>1.5400000000000066E-2</c:v>
                </c:pt>
                <c:pt idx="9">
                  <c:v>1.5400000000000066E-2</c:v>
                </c:pt>
                <c:pt idx="10">
                  <c:v>1.5400000000000066E-2</c:v>
                </c:pt>
                <c:pt idx="11">
                  <c:v>1.5400000000000066E-2</c:v>
                </c:pt>
                <c:pt idx="12">
                  <c:v>1.5400000000000066E-2</c:v>
                </c:pt>
                <c:pt idx="13">
                  <c:v>1.5400000000000066E-2</c:v>
                </c:pt>
                <c:pt idx="14">
                  <c:v>1.5400000000000066E-2</c:v>
                </c:pt>
                <c:pt idx="15">
                  <c:v>1.5400000000000066E-2</c:v>
                </c:pt>
                <c:pt idx="16">
                  <c:v>1.5400000000000066E-2</c:v>
                </c:pt>
                <c:pt idx="17">
                  <c:v>1.5400000000000066E-2</c:v>
                </c:pt>
                <c:pt idx="18">
                  <c:v>1.5400000000000066E-2</c:v>
                </c:pt>
                <c:pt idx="19">
                  <c:v>1.5400000000000066E-2</c:v>
                </c:pt>
                <c:pt idx="20">
                  <c:v>1.5400000000000066E-2</c:v>
                </c:pt>
                <c:pt idx="21">
                  <c:v>1.5400000000000066E-2</c:v>
                </c:pt>
                <c:pt idx="22">
                  <c:v>1.5400000000000066E-2</c:v>
                </c:pt>
                <c:pt idx="23">
                  <c:v>1.5400000000000066E-2</c:v>
                </c:pt>
                <c:pt idx="24">
                  <c:v>1.5400000000000066E-2</c:v>
                </c:pt>
                <c:pt idx="25">
                  <c:v>1.5400000000000066E-2</c:v>
                </c:pt>
                <c:pt idx="26">
                  <c:v>1.5400000000000066E-2</c:v>
                </c:pt>
                <c:pt idx="27">
                  <c:v>1.5400000000000066E-2</c:v>
                </c:pt>
                <c:pt idx="28">
                  <c:v>1.5400000000000066E-2</c:v>
                </c:pt>
                <c:pt idx="29">
                  <c:v>1.5400000000000066E-2</c:v>
                </c:pt>
                <c:pt idx="30">
                  <c:v>1.5400000000000066E-2</c:v>
                </c:pt>
                <c:pt idx="31">
                  <c:v>1.5400000000000066E-2</c:v>
                </c:pt>
                <c:pt idx="32">
                  <c:v>1.5400000000000066E-2</c:v>
                </c:pt>
                <c:pt idx="33">
                  <c:v>1.5400000000000066E-2</c:v>
                </c:pt>
                <c:pt idx="34">
                  <c:v>1.5400000000000066E-2</c:v>
                </c:pt>
                <c:pt idx="35">
                  <c:v>1.5400000000000066E-2</c:v>
                </c:pt>
                <c:pt idx="36">
                  <c:v>1.5400000000000066E-2</c:v>
                </c:pt>
                <c:pt idx="37">
                  <c:v>1.5400000000000066E-2</c:v>
                </c:pt>
                <c:pt idx="38">
                  <c:v>1.5400000000000066E-2</c:v>
                </c:pt>
                <c:pt idx="39">
                  <c:v>1.5400000000000066E-2</c:v>
                </c:pt>
                <c:pt idx="40">
                  <c:v>1.5400000000000066E-2</c:v>
                </c:pt>
                <c:pt idx="41">
                  <c:v>1.5400000000000066E-2</c:v>
                </c:pt>
                <c:pt idx="42">
                  <c:v>1.5400000000000066E-2</c:v>
                </c:pt>
                <c:pt idx="43">
                  <c:v>1.5400000000000066E-2</c:v>
                </c:pt>
                <c:pt idx="44">
                  <c:v>1.5400000000000066E-2</c:v>
                </c:pt>
                <c:pt idx="45">
                  <c:v>1.5400000000000066E-2</c:v>
                </c:pt>
                <c:pt idx="46">
                  <c:v>1.5400000000000066E-2</c:v>
                </c:pt>
                <c:pt idx="47">
                  <c:v>1.5400000000000066E-2</c:v>
                </c:pt>
                <c:pt idx="48">
                  <c:v>1.5400000000000066E-2</c:v>
                </c:pt>
                <c:pt idx="49">
                  <c:v>1.5400000000000066E-2</c:v>
                </c:pt>
                <c:pt idx="50">
                  <c:v>1.5400000000000066E-2</c:v>
                </c:pt>
              </c:numCache>
            </c:numRef>
          </c:val>
        </c:ser>
        <c:ser>
          <c:idx val="1"/>
          <c:order val="2"/>
          <c:tx>
            <c:v>London</c:v>
          </c:tx>
          <c:marker>
            <c:symbol val="none"/>
          </c:marker>
          <c:cat>
            <c:strRef>
              <c:f>'IMD FEV'!$H$6:$I$56</c:f>
              <c:strCache>
                <c:ptCount val="47"/>
                <c:pt idx="0">
                  <c:v>SAI MEDICAL CENTRE</c:v>
                </c:pt>
                <c:pt idx="1">
                  <c:v>GRANVILLE ROAD SURGERY</c:v>
                </c:pt>
                <c:pt idx="2">
                  <c:v>TOOTING BEC SURGERY</c:v>
                </c:pt>
                <c:pt idx="3">
                  <c:v>MITCHAM ROAD SURGERY</c:v>
                </c:pt>
                <c:pt idx="4">
                  <c:v>BALHAM HEALTH CENTRE</c:v>
                </c:pt>
                <c:pt idx="5">
                  <c:v>PUTNEYMEAD MEDICAL CENTRE</c:v>
                </c:pt>
                <c:pt idx="6">
                  <c:v>THE HERITAGE MEDICAL CENTRE</c:v>
                </c:pt>
                <c:pt idx="7">
                  <c:v>LAVENDER HILL SURGERY</c:v>
                </c:pt>
                <c:pt idx="8">
                  <c:v>The Putney Surgery</c:v>
                </c:pt>
                <c:pt idx="9">
                  <c:v>THURLEIGH ROAD PRACTICE</c:v>
                </c:pt>
                <c:pt idx="10">
                  <c:v>BATTERSEA RISE GROUP PRACTICE</c:v>
                </c:pt>
                <c:pt idx="11">
                  <c:v>THE SURGERY</c:v>
                </c:pt>
                <c:pt idx="12">
                  <c:v>TOOTING SOUTH MEDICAL CENTRE</c:v>
                </c:pt>
                <c:pt idx="13">
                  <c:v>ELBOROUGH STREET SURGERY</c:v>
                </c:pt>
                <c:pt idx="14">
                  <c:v>BALHAM HILL MEDICAL PRACTICE</c:v>
                </c:pt>
                <c:pt idx="15">
                  <c:v>FURZEDOWN PRIMARY CARE CENTRE</c:v>
                </c:pt>
                <c:pt idx="16">
                  <c:v>BALHAM PARK SURGERY</c:v>
                </c:pt>
                <c:pt idx="17">
                  <c:v>LAVENDER HILL GROUP PRACTICE</c:v>
                </c:pt>
                <c:pt idx="18">
                  <c:v>THE FALCON ROAD MEDICAL CENTRE</c:v>
                </c:pt>
                <c:pt idx="19">
                  <c:v>THE GRAYSWOOD PRACTICE</c:v>
                </c:pt>
                <c:pt idx="20">
                  <c:v>THE FRANCISCAN SURGERY</c:v>
                </c:pt>
                <c:pt idx="21">
                  <c:v>OPEN DOOR SURGERY</c:v>
                </c:pt>
                <c:pt idx="22">
                  <c:v>BEDFORD HILL FAMILY PRACTICE</c:v>
                </c:pt>
                <c:pt idx="23">
                  <c:v>BROCKLEBANK HEALTH CENTRE</c:v>
                </c:pt>
                <c:pt idx="24">
                  <c:v>THE MEDICAL CENTRE</c:v>
                </c:pt>
                <c:pt idx="25">
                  <c:v>DR NICHOLAS &amp; PARTNERS</c:v>
                </c:pt>
                <c:pt idx="26">
                  <c:v>ST PAUL'S COTTAGE PRACTICE</c:v>
                </c:pt>
                <c:pt idx="27">
                  <c:v>NORTHCOTE ROAD SURGERY</c:v>
                </c:pt>
                <c:pt idx="28">
                  <c:v>BATTERSEA FIELDS PRACTICE</c:v>
                </c:pt>
                <c:pt idx="29">
                  <c:v>ST. JOHN'S HILL PRACTICE</c:v>
                </c:pt>
                <c:pt idx="30">
                  <c:v>EARLSFIELD SURGERY</c:v>
                </c:pt>
                <c:pt idx="31">
                  <c:v>SOUTHFIELDS GROUP PRACTICE</c:v>
                </c:pt>
                <c:pt idx="32">
                  <c:v>THE HEATHBRIDGE PRACTICE</c:v>
                </c:pt>
                <c:pt idx="33">
                  <c:v>CHARTFIELD SURGERY</c:v>
                </c:pt>
                <c:pt idx="34">
                  <c:v>THE ROEHAMPTON SURGERY</c:v>
                </c:pt>
                <c:pt idx="35">
                  <c:v>TRIANGLE SURGERY</c:v>
                </c:pt>
                <c:pt idx="36">
                  <c:v>CHATFIELD MEDICAL CENTRE</c:v>
                </c:pt>
                <c:pt idx="37">
                  <c:v>BRIDGE LANE GROUP PRACTICE</c:v>
                </c:pt>
                <c:pt idx="38">
                  <c:v>QUEENSTOWN ROAD MEDICAL PRACTICE</c:v>
                </c:pt>
                <c:pt idx="39">
                  <c:v>WATERFALL HOUSE</c:v>
                </c:pt>
                <c:pt idx="40">
                  <c:v>STREATHAM PARK SURGERY</c:v>
                </c:pt>
                <c:pt idx="41">
                  <c:v>THE ALTON PRACTICE</c:v>
                </c:pt>
                <c:pt idx="42">
                  <c:v>THE SURGERY</c:v>
                </c:pt>
                <c:pt idx="43">
                  <c:v>DANEBURY AVENUE SURGERY</c:v>
                </c:pt>
                <c:pt idx="44">
                  <c:v>TUDOR LODGE HEALTH CENTRE</c:v>
                </c:pt>
                <c:pt idx="45">
                  <c:v>INNER PARK ROAD HEALTH CENTRE</c:v>
                </c:pt>
                <c:pt idx="46">
                  <c:v>MAYFIELD SURGERY</c:v>
                </c:pt>
              </c:strCache>
            </c:strRef>
          </c:cat>
          <c:val>
            <c:numRef>
              <c:f>'IMD FEV'!$P$6:$P$56</c:f>
              <c:numCache>
                <c:formatCode>0.0%</c:formatCode>
                <c:ptCount val="51"/>
                <c:pt idx="0">
                  <c:v>9.7000000000000228E-3</c:v>
                </c:pt>
                <c:pt idx="1">
                  <c:v>9.7000000000000228E-3</c:v>
                </c:pt>
                <c:pt idx="2">
                  <c:v>9.7000000000000228E-3</c:v>
                </c:pt>
                <c:pt idx="3">
                  <c:v>9.7000000000000228E-3</c:v>
                </c:pt>
                <c:pt idx="4">
                  <c:v>9.7000000000000228E-3</c:v>
                </c:pt>
                <c:pt idx="5">
                  <c:v>9.7000000000000228E-3</c:v>
                </c:pt>
                <c:pt idx="6">
                  <c:v>9.7000000000000228E-3</c:v>
                </c:pt>
                <c:pt idx="7">
                  <c:v>9.7000000000000228E-3</c:v>
                </c:pt>
                <c:pt idx="8">
                  <c:v>9.7000000000000228E-3</c:v>
                </c:pt>
                <c:pt idx="9">
                  <c:v>9.7000000000000228E-3</c:v>
                </c:pt>
                <c:pt idx="10">
                  <c:v>9.7000000000000228E-3</c:v>
                </c:pt>
                <c:pt idx="11">
                  <c:v>9.7000000000000228E-3</c:v>
                </c:pt>
                <c:pt idx="12">
                  <c:v>9.7000000000000228E-3</c:v>
                </c:pt>
                <c:pt idx="13">
                  <c:v>9.7000000000000228E-3</c:v>
                </c:pt>
                <c:pt idx="14">
                  <c:v>9.7000000000000228E-3</c:v>
                </c:pt>
                <c:pt idx="15">
                  <c:v>9.7000000000000228E-3</c:v>
                </c:pt>
                <c:pt idx="16">
                  <c:v>9.7000000000000228E-3</c:v>
                </c:pt>
                <c:pt idx="17">
                  <c:v>9.7000000000000228E-3</c:v>
                </c:pt>
                <c:pt idx="18">
                  <c:v>9.7000000000000228E-3</c:v>
                </c:pt>
                <c:pt idx="19">
                  <c:v>9.7000000000000228E-3</c:v>
                </c:pt>
                <c:pt idx="20">
                  <c:v>9.7000000000000228E-3</c:v>
                </c:pt>
                <c:pt idx="21">
                  <c:v>9.7000000000000228E-3</c:v>
                </c:pt>
                <c:pt idx="22">
                  <c:v>9.7000000000000228E-3</c:v>
                </c:pt>
                <c:pt idx="23">
                  <c:v>9.7000000000000228E-3</c:v>
                </c:pt>
                <c:pt idx="24">
                  <c:v>9.7000000000000228E-3</c:v>
                </c:pt>
                <c:pt idx="25">
                  <c:v>9.7000000000000228E-3</c:v>
                </c:pt>
                <c:pt idx="26">
                  <c:v>9.7000000000000228E-3</c:v>
                </c:pt>
                <c:pt idx="27">
                  <c:v>9.7000000000000228E-3</c:v>
                </c:pt>
                <c:pt idx="28">
                  <c:v>9.7000000000000228E-3</c:v>
                </c:pt>
                <c:pt idx="29">
                  <c:v>9.7000000000000228E-3</c:v>
                </c:pt>
                <c:pt idx="30">
                  <c:v>9.7000000000000228E-3</c:v>
                </c:pt>
                <c:pt idx="31">
                  <c:v>9.7000000000000228E-3</c:v>
                </c:pt>
                <c:pt idx="32">
                  <c:v>9.7000000000000228E-3</c:v>
                </c:pt>
                <c:pt idx="33">
                  <c:v>9.7000000000000228E-3</c:v>
                </c:pt>
                <c:pt idx="34">
                  <c:v>9.7000000000000228E-3</c:v>
                </c:pt>
                <c:pt idx="35">
                  <c:v>9.7000000000000228E-3</c:v>
                </c:pt>
                <c:pt idx="36">
                  <c:v>9.7000000000000228E-3</c:v>
                </c:pt>
                <c:pt idx="37">
                  <c:v>9.7000000000000228E-3</c:v>
                </c:pt>
                <c:pt idx="38">
                  <c:v>9.7000000000000228E-3</c:v>
                </c:pt>
                <c:pt idx="39">
                  <c:v>9.7000000000000228E-3</c:v>
                </c:pt>
                <c:pt idx="40">
                  <c:v>9.7000000000000228E-3</c:v>
                </c:pt>
                <c:pt idx="41">
                  <c:v>9.7000000000000228E-3</c:v>
                </c:pt>
                <c:pt idx="42">
                  <c:v>9.7000000000000228E-3</c:v>
                </c:pt>
                <c:pt idx="43">
                  <c:v>9.7000000000000228E-3</c:v>
                </c:pt>
                <c:pt idx="44">
                  <c:v>9.7000000000000228E-3</c:v>
                </c:pt>
                <c:pt idx="45">
                  <c:v>9.7000000000000228E-3</c:v>
                </c:pt>
                <c:pt idx="46">
                  <c:v>9.7000000000000228E-3</c:v>
                </c:pt>
                <c:pt idx="47">
                  <c:v>9.7000000000000228E-3</c:v>
                </c:pt>
                <c:pt idx="48">
                  <c:v>9.7000000000000228E-3</c:v>
                </c:pt>
                <c:pt idx="49">
                  <c:v>9.7000000000000228E-3</c:v>
                </c:pt>
                <c:pt idx="50">
                  <c:v>9.7000000000000228E-3</c:v>
                </c:pt>
              </c:numCache>
            </c:numRef>
          </c:val>
        </c:ser>
        <c:ser>
          <c:idx val="2"/>
          <c:order val="3"/>
          <c:tx>
            <c:v>Wandsworth</c:v>
          </c:tx>
          <c:marker>
            <c:symbol val="none"/>
          </c:marker>
          <c:cat>
            <c:strRef>
              <c:f>'IMD FEV'!$H$6:$I$56</c:f>
              <c:strCache>
                <c:ptCount val="47"/>
                <c:pt idx="0">
                  <c:v>SAI MEDICAL CENTRE</c:v>
                </c:pt>
                <c:pt idx="1">
                  <c:v>GRANVILLE ROAD SURGERY</c:v>
                </c:pt>
                <c:pt idx="2">
                  <c:v>TOOTING BEC SURGERY</c:v>
                </c:pt>
                <c:pt idx="3">
                  <c:v>MITCHAM ROAD SURGERY</c:v>
                </c:pt>
                <c:pt idx="4">
                  <c:v>BALHAM HEALTH CENTRE</c:v>
                </c:pt>
                <c:pt idx="5">
                  <c:v>PUTNEYMEAD MEDICAL CENTRE</c:v>
                </c:pt>
                <c:pt idx="6">
                  <c:v>THE HERITAGE MEDICAL CENTRE</c:v>
                </c:pt>
                <c:pt idx="7">
                  <c:v>LAVENDER HILL SURGERY</c:v>
                </c:pt>
                <c:pt idx="8">
                  <c:v>The Putney Surgery</c:v>
                </c:pt>
                <c:pt idx="9">
                  <c:v>THURLEIGH ROAD PRACTICE</c:v>
                </c:pt>
                <c:pt idx="10">
                  <c:v>BATTERSEA RISE GROUP PRACTICE</c:v>
                </c:pt>
                <c:pt idx="11">
                  <c:v>THE SURGERY</c:v>
                </c:pt>
                <c:pt idx="12">
                  <c:v>TOOTING SOUTH MEDICAL CENTRE</c:v>
                </c:pt>
                <c:pt idx="13">
                  <c:v>ELBOROUGH STREET SURGERY</c:v>
                </c:pt>
                <c:pt idx="14">
                  <c:v>BALHAM HILL MEDICAL PRACTICE</c:v>
                </c:pt>
                <c:pt idx="15">
                  <c:v>FURZEDOWN PRIMARY CARE CENTRE</c:v>
                </c:pt>
                <c:pt idx="16">
                  <c:v>BALHAM PARK SURGERY</c:v>
                </c:pt>
                <c:pt idx="17">
                  <c:v>LAVENDER HILL GROUP PRACTICE</c:v>
                </c:pt>
                <c:pt idx="18">
                  <c:v>THE FALCON ROAD MEDICAL CENTRE</c:v>
                </c:pt>
                <c:pt idx="19">
                  <c:v>THE GRAYSWOOD PRACTICE</c:v>
                </c:pt>
                <c:pt idx="20">
                  <c:v>THE FRANCISCAN SURGERY</c:v>
                </c:pt>
                <c:pt idx="21">
                  <c:v>OPEN DOOR SURGERY</c:v>
                </c:pt>
                <c:pt idx="22">
                  <c:v>BEDFORD HILL FAMILY PRACTICE</c:v>
                </c:pt>
                <c:pt idx="23">
                  <c:v>BROCKLEBANK HEALTH CENTRE</c:v>
                </c:pt>
                <c:pt idx="24">
                  <c:v>THE MEDICAL CENTRE</c:v>
                </c:pt>
                <c:pt idx="25">
                  <c:v>DR NICHOLAS &amp; PARTNERS</c:v>
                </c:pt>
                <c:pt idx="26">
                  <c:v>ST PAUL'S COTTAGE PRACTICE</c:v>
                </c:pt>
                <c:pt idx="27">
                  <c:v>NORTHCOTE ROAD SURGERY</c:v>
                </c:pt>
                <c:pt idx="28">
                  <c:v>BATTERSEA FIELDS PRACTICE</c:v>
                </c:pt>
                <c:pt idx="29">
                  <c:v>ST. JOHN'S HILL PRACTICE</c:v>
                </c:pt>
                <c:pt idx="30">
                  <c:v>EARLSFIELD SURGERY</c:v>
                </c:pt>
                <c:pt idx="31">
                  <c:v>SOUTHFIELDS GROUP PRACTICE</c:v>
                </c:pt>
                <c:pt idx="32">
                  <c:v>THE HEATHBRIDGE PRACTICE</c:v>
                </c:pt>
                <c:pt idx="33">
                  <c:v>CHARTFIELD SURGERY</c:v>
                </c:pt>
                <c:pt idx="34">
                  <c:v>THE ROEHAMPTON SURGERY</c:v>
                </c:pt>
                <c:pt idx="35">
                  <c:v>TRIANGLE SURGERY</c:v>
                </c:pt>
                <c:pt idx="36">
                  <c:v>CHATFIELD MEDICAL CENTRE</c:v>
                </c:pt>
                <c:pt idx="37">
                  <c:v>BRIDGE LANE GROUP PRACTICE</c:v>
                </c:pt>
                <c:pt idx="38">
                  <c:v>QUEENSTOWN ROAD MEDICAL PRACTICE</c:v>
                </c:pt>
                <c:pt idx="39">
                  <c:v>WATERFALL HOUSE</c:v>
                </c:pt>
                <c:pt idx="40">
                  <c:v>STREATHAM PARK SURGERY</c:v>
                </c:pt>
                <c:pt idx="41">
                  <c:v>THE ALTON PRACTICE</c:v>
                </c:pt>
                <c:pt idx="42">
                  <c:v>THE SURGERY</c:v>
                </c:pt>
                <c:pt idx="43">
                  <c:v>DANEBURY AVENUE SURGERY</c:v>
                </c:pt>
                <c:pt idx="44">
                  <c:v>TUDOR LODGE HEALTH CENTRE</c:v>
                </c:pt>
                <c:pt idx="45">
                  <c:v>INNER PARK ROAD HEALTH CENTRE</c:v>
                </c:pt>
                <c:pt idx="46">
                  <c:v>MAYFIELD SURGERY</c:v>
                </c:pt>
              </c:strCache>
            </c:strRef>
          </c:cat>
          <c:val>
            <c:numRef>
              <c:f>'IMD FEV'!$Q$6:$Q$56</c:f>
              <c:numCache>
                <c:formatCode>0.0%</c:formatCode>
                <c:ptCount val="51"/>
                <c:pt idx="0">
                  <c:v>8.2000000000000007E-3</c:v>
                </c:pt>
                <c:pt idx="1">
                  <c:v>8.2000000000000007E-3</c:v>
                </c:pt>
                <c:pt idx="2">
                  <c:v>8.2000000000000007E-3</c:v>
                </c:pt>
                <c:pt idx="3">
                  <c:v>8.2000000000000007E-3</c:v>
                </c:pt>
                <c:pt idx="4">
                  <c:v>8.2000000000000007E-3</c:v>
                </c:pt>
                <c:pt idx="5">
                  <c:v>8.2000000000000007E-3</c:v>
                </c:pt>
                <c:pt idx="6">
                  <c:v>8.2000000000000007E-3</c:v>
                </c:pt>
                <c:pt idx="7">
                  <c:v>8.2000000000000007E-3</c:v>
                </c:pt>
                <c:pt idx="8">
                  <c:v>8.2000000000000007E-3</c:v>
                </c:pt>
                <c:pt idx="9">
                  <c:v>8.2000000000000007E-3</c:v>
                </c:pt>
                <c:pt idx="10">
                  <c:v>8.2000000000000007E-3</c:v>
                </c:pt>
                <c:pt idx="11">
                  <c:v>8.2000000000000007E-3</c:v>
                </c:pt>
                <c:pt idx="12">
                  <c:v>8.2000000000000007E-3</c:v>
                </c:pt>
                <c:pt idx="13">
                  <c:v>8.2000000000000007E-3</c:v>
                </c:pt>
                <c:pt idx="14">
                  <c:v>8.2000000000000007E-3</c:v>
                </c:pt>
                <c:pt idx="15">
                  <c:v>8.2000000000000007E-3</c:v>
                </c:pt>
                <c:pt idx="16">
                  <c:v>8.2000000000000007E-3</c:v>
                </c:pt>
                <c:pt idx="17">
                  <c:v>8.2000000000000007E-3</c:v>
                </c:pt>
                <c:pt idx="18">
                  <c:v>8.2000000000000007E-3</c:v>
                </c:pt>
                <c:pt idx="19">
                  <c:v>8.2000000000000007E-3</c:v>
                </c:pt>
                <c:pt idx="20">
                  <c:v>8.2000000000000007E-3</c:v>
                </c:pt>
                <c:pt idx="21">
                  <c:v>8.2000000000000007E-3</c:v>
                </c:pt>
                <c:pt idx="22">
                  <c:v>8.2000000000000007E-3</c:v>
                </c:pt>
                <c:pt idx="23">
                  <c:v>8.2000000000000007E-3</c:v>
                </c:pt>
                <c:pt idx="24">
                  <c:v>8.2000000000000007E-3</c:v>
                </c:pt>
                <c:pt idx="25">
                  <c:v>8.2000000000000007E-3</c:v>
                </c:pt>
                <c:pt idx="26">
                  <c:v>8.2000000000000007E-3</c:v>
                </c:pt>
                <c:pt idx="27">
                  <c:v>8.2000000000000007E-3</c:v>
                </c:pt>
                <c:pt idx="28">
                  <c:v>8.2000000000000007E-3</c:v>
                </c:pt>
                <c:pt idx="29">
                  <c:v>8.2000000000000007E-3</c:v>
                </c:pt>
                <c:pt idx="30">
                  <c:v>8.2000000000000007E-3</c:v>
                </c:pt>
                <c:pt idx="31">
                  <c:v>8.2000000000000007E-3</c:v>
                </c:pt>
                <c:pt idx="32">
                  <c:v>8.2000000000000007E-3</c:v>
                </c:pt>
                <c:pt idx="33">
                  <c:v>8.2000000000000007E-3</c:v>
                </c:pt>
                <c:pt idx="34">
                  <c:v>8.2000000000000007E-3</c:v>
                </c:pt>
                <c:pt idx="35">
                  <c:v>8.2000000000000007E-3</c:v>
                </c:pt>
                <c:pt idx="36">
                  <c:v>8.2000000000000007E-3</c:v>
                </c:pt>
                <c:pt idx="37">
                  <c:v>8.2000000000000007E-3</c:v>
                </c:pt>
                <c:pt idx="38">
                  <c:v>8.2000000000000007E-3</c:v>
                </c:pt>
                <c:pt idx="39">
                  <c:v>8.2000000000000007E-3</c:v>
                </c:pt>
                <c:pt idx="40">
                  <c:v>8.2000000000000007E-3</c:v>
                </c:pt>
                <c:pt idx="41">
                  <c:v>8.2000000000000007E-3</c:v>
                </c:pt>
                <c:pt idx="42">
                  <c:v>8.2000000000000007E-3</c:v>
                </c:pt>
                <c:pt idx="43">
                  <c:v>8.2000000000000007E-3</c:v>
                </c:pt>
                <c:pt idx="44">
                  <c:v>8.2000000000000007E-3</c:v>
                </c:pt>
                <c:pt idx="45">
                  <c:v>8.2000000000000007E-3</c:v>
                </c:pt>
                <c:pt idx="46">
                  <c:v>8.2000000000000007E-3</c:v>
                </c:pt>
                <c:pt idx="47">
                  <c:v>8.2000000000000007E-3</c:v>
                </c:pt>
                <c:pt idx="48">
                  <c:v>8.2000000000000007E-3</c:v>
                </c:pt>
                <c:pt idx="49">
                  <c:v>8.2000000000000007E-3</c:v>
                </c:pt>
                <c:pt idx="50">
                  <c:v>8.2000000000000007E-3</c:v>
                </c:pt>
              </c:numCache>
            </c:numRef>
          </c:val>
        </c:ser>
        <c:marker val="1"/>
        <c:axId val="78993280"/>
        <c:axId val="79007744"/>
      </c:lineChart>
      <c:catAx>
        <c:axId val="78993280"/>
        <c:scaling>
          <c:orientation val="minMax"/>
        </c:scaling>
        <c:axPos val="b"/>
        <c:numFmt formatCode="General" sourceLinked="1"/>
        <c:majorTickMark val="none"/>
        <c:tickLblPos val="nextTo"/>
        <c:txPr>
          <a:bodyPr/>
          <a:lstStyle/>
          <a:p>
            <a:pPr>
              <a:defRPr sz="700"/>
            </a:pPr>
            <a:endParaRPr lang="en-US"/>
          </a:p>
        </c:txPr>
        <c:crossAx val="79007744"/>
        <c:crosses val="autoZero"/>
        <c:auto val="1"/>
        <c:lblAlgn val="ctr"/>
        <c:lblOffset val="100"/>
      </c:catAx>
      <c:valAx>
        <c:axId val="79007744"/>
        <c:scaling>
          <c:orientation val="minMax"/>
        </c:scaling>
        <c:axPos val="l"/>
        <c:numFmt formatCode="0.0%" sourceLinked="1"/>
        <c:majorTickMark val="none"/>
        <c:tickLblPos val="nextTo"/>
        <c:crossAx val="78993280"/>
        <c:crosses val="autoZero"/>
        <c:crossBetween val="between"/>
      </c:valAx>
    </c:plotArea>
    <c:legend>
      <c:legendPos val="r"/>
      <c:legendEntry>
        <c:idx val="0"/>
        <c:delete val="1"/>
      </c:legendEntry>
      <c:layout>
        <c:manualLayout>
          <c:xMode val="edge"/>
          <c:yMode val="edge"/>
          <c:x val="0.16261942751619876"/>
          <c:y val="0.16158405342456278"/>
          <c:w val="0.18321164900855819"/>
          <c:h val="0.14495641580771287"/>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Directly Standardized mortality rate for COPD (both genders)</a:t>
            </a:r>
          </a:p>
        </c:rich>
      </c:tx>
    </c:title>
    <c:plotArea>
      <c:layout/>
      <c:lineChart>
        <c:grouping val="standard"/>
        <c:ser>
          <c:idx val="0"/>
          <c:order val="0"/>
          <c:tx>
            <c:strRef>
              <c:f>Sheet1!$C$43</c:f>
              <c:strCache>
                <c:ptCount val="1"/>
                <c:pt idx="0">
                  <c:v>ENGLAND</c:v>
                </c:pt>
              </c:strCache>
            </c:strRef>
          </c:tx>
          <c:marker>
            <c:symbol val="none"/>
          </c:marker>
          <c:cat>
            <c:numRef>
              <c:f>Sheet1!$B$44:$B$59</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Sheet1!$C$44:$C$59</c:f>
              <c:numCache>
                <c:formatCode>0.00</c:formatCode>
                <c:ptCount val="16"/>
                <c:pt idx="0">
                  <c:v>35.96</c:v>
                </c:pt>
                <c:pt idx="1">
                  <c:v>31.97</c:v>
                </c:pt>
                <c:pt idx="2">
                  <c:v>34.160000000000011</c:v>
                </c:pt>
                <c:pt idx="3">
                  <c:v>32.67</c:v>
                </c:pt>
                <c:pt idx="4">
                  <c:v>32.950000000000003</c:v>
                </c:pt>
                <c:pt idx="5">
                  <c:v>31.959999999999987</c:v>
                </c:pt>
                <c:pt idx="6">
                  <c:v>33.050000000000004</c:v>
                </c:pt>
                <c:pt idx="7">
                  <c:v>30.279999999999987</c:v>
                </c:pt>
                <c:pt idx="8">
                  <c:v>28.6</c:v>
                </c:pt>
                <c:pt idx="9">
                  <c:v>28.759999999999987</c:v>
                </c:pt>
                <c:pt idx="10">
                  <c:v>30.22</c:v>
                </c:pt>
                <c:pt idx="11">
                  <c:v>26.939999999999987</c:v>
                </c:pt>
                <c:pt idx="12">
                  <c:v>27.77</c:v>
                </c:pt>
                <c:pt idx="13">
                  <c:v>26.330000000000005</c:v>
                </c:pt>
                <c:pt idx="14">
                  <c:v>26.35</c:v>
                </c:pt>
                <c:pt idx="15">
                  <c:v>27.22</c:v>
                </c:pt>
              </c:numCache>
            </c:numRef>
          </c:val>
        </c:ser>
        <c:ser>
          <c:idx val="1"/>
          <c:order val="1"/>
          <c:tx>
            <c:strRef>
              <c:f>Sheet1!$D$43</c:f>
              <c:strCache>
                <c:ptCount val="1"/>
                <c:pt idx="0">
                  <c:v>LONDON</c:v>
                </c:pt>
              </c:strCache>
            </c:strRef>
          </c:tx>
          <c:marker>
            <c:symbol val="none"/>
          </c:marker>
          <c:cat>
            <c:numRef>
              <c:f>Sheet1!$B$44:$B$59</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Sheet1!$D$44:$D$59</c:f>
              <c:numCache>
                <c:formatCode>0.00</c:formatCode>
                <c:ptCount val="16"/>
                <c:pt idx="0">
                  <c:v>36.770000000000003</c:v>
                </c:pt>
                <c:pt idx="1">
                  <c:v>35.950000000000003</c:v>
                </c:pt>
                <c:pt idx="2">
                  <c:v>37.99</c:v>
                </c:pt>
                <c:pt idx="3">
                  <c:v>35.370000000000005</c:v>
                </c:pt>
                <c:pt idx="4">
                  <c:v>34.6</c:v>
                </c:pt>
                <c:pt idx="5">
                  <c:v>33.47</c:v>
                </c:pt>
                <c:pt idx="6">
                  <c:v>36.5</c:v>
                </c:pt>
                <c:pt idx="7">
                  <c:v>32.620000000000012</c:v>
                </c:pt>
                <c:pt idx="8">
                  <c:v>29.86</c:v>
                </c:pt>
                <c:pt idx="9">
                  <c:v>28.85</c:v>
                </c:pt>
                <c:pt idx="10">
                  <c:v>30.919999999999987</c:v>
                </c:pt>
                <c:pt idx="11">
                  <c:v>28.47</c:v>
                </c:pt>
                <c:pt idx="12">
                  <c:v>29.22</c:v>
                </c:pt>
                <c:pt idx="13">
                  <c:v>26.810000000000031</c:v>
                </c:pt>
                <c:pt idx="14">
                  <c:v>25.479999999999986</c:v>
                </c:pt>
                <c:pt idx="15">
                  <c:v>26.650000000000031</c:v>
                </c:pt>
              </c:numCache>
            </c:numRef>
          </c:val>
        </c:ser>
        <c:ser>
          <c:idx val="2"/>
          <c:order val="2"/>
          <c:tx>
            <c:strRef>
              <c:f>Sheet1!$E$43</c:f>
              <c:strCache>
                <c:ptCount val="1"/>
                <c:pt idx="0">
                  <c:v>LONDON CENTRE</c:v>
                </c:pt>
              </c:strCache>
            </c:strRef>
          </c:tx>
          <c:marker>
            <c:symbol val="none"/>
          </c:marker>
          <c:cat>
            <c:numRef>
              <c:f>Sheet1!$B$44:$B$59</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Sheet1!$E$44:$E$59</c:f>
              <c:numCache>
                <c:formatCode>0.00</c:formatCode>
                <c:ptCount val="16"/>
                <c:pt idx="0">
                  <c:v>41.260000000000012</c:v>
                </c:pt>
                <c:pt idx="1">
                  <c:v>43.75</c:v>
                </c:pt>
                <c:pt idx="2">
                  <c:v>42.02</c:v>
                </c:pt>
                <c:pt idx="3">
                  <c:v>37.17</c:v>
                </c:pt>
                <c:pt idx="4">
                  <c:v>38.220000000000013</c:v>
                </c:pt>
                <c:pt idx="5">
                  <c:v>37.870000000000005</c:v>
                </c:pt>
                <c:pt idx="6">
                  <c:v>41.790000000000013</c:v>
                </c:pt>
                <c:pt idx="7">
                  <c:v>31.56</c:v>
                </c:pt>
                <c:pt idx="8">
                  <c:v>33.980000000000004</c:v>
                </c:pt>
                <c:pt idx="9">
                  <c:v>29.19</c:v>
                </c:pt>
                <c:pt idx="10">
                  <c:v>31.6</c:v>
                </c:pt>
                <c:pt idx="11">
                  <c:v>32</c:v>
                </c:pt>
                <c:pt idx="12">
                  <c:v>33</c:v>
                </c:pt>
                <c:pt idx="13">
                  <c:v>29.7</c:v>
                </c:pt>
                <c:pt idx="14">
                  <c:v>25.45</c:v>
                </c:pt>
                <c:pt idx="15">
                  <c:v>30.419999999999987</c:v>
                </c:pt>
              </c:numCache>
            </c:numRef>
          </c:val>
        </c:ser>
        <c:ser>
          <c:idx val="3"/>
          <c:order val="3"/>
          <c:tx>
            <c:strRef>
              <c:f>Sheet1!$F$43</c:f>
              <c:strCache>
                <c:ptCount val="1"/>
                <c:pt idx="0">
                  <c:v>Wandsworth </c:v>
                </c:pt>
              </c:strCache>
            </c:strRef>
          </c:tx>
          <c:marker>
            <c:symbol val="none"/>
          </c:marker>
          <c:cat>
            <c:numRef>
              <c:f>Sheet1!$B$44:$B$59</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Sheet1!$F$44:$F$59</c:f>
              <c:numCache>
                <c:formatCode>0.00</c:formatCode>
                <c:ptCount val="16"/>
                <c:pt idx="0">
                  <c:v>45.61</c:v>
                </c:pt>
                <c:pt idx="1">
                  <c:v>37.71</c:v>
                </c:pt>
                <c:pt idx="2">
                  <c:v>39.550000000000004</c:v>
                </c:pt>
                <c:pt idx="3">
                  <c:v>37.81</c:v>
                </c:pt>
                <c:pt idx="4">
                  <c:v>35.47</c:v>
                </c:pt>
                <c:pt idx="5">
                  <c:v>37.380000000000003</c:v>
                </c:pt>
                <c:pt idx="6">
                  <c:v>48.74</c:v>
                </c:pt>
                <c:pt idx="7">
                  <c:v>29.259999999999987</c:v>
                </c:pt>
                <c:pt idx="8">
                  <c:v>38.97</c:v>
                </c:pt>
                <c:pt idx="9">
                  <c:v>31.2</c:v>
                </c:pt>
                <c:pt idx="10">
                  <c:v>35.24</c:v>
                </c:pt>
                <c:pt idx="11">
                  <c:v>37.160000000000011</c:v>
                </c:pt>
                <c:pt idx="12">
                  <c:v>32.51</c:v>
                </c:pt>
                <c:pt idx="13">
                  <c:v>27.91</c:v>
                </c:pt>
                <c:pt idx="14">
                  <c:v>28.56</c:v>
                </c:pt>
                <c:pt idx="15">
                  <c:v>32.83</c:v>
                </c:pt>
              </c:numCache>
            </c:numRef>
          </c:val>
        </c:ser>
        <c:marker val="1"/>
        <c:axId val="79321344"/>
        <c:axId val="79327232"/>
      </c:lineChart>
      <c:catAx>
        <c:axId val="79321344"/>
        <c:scaling>
          <c:orientation val="minMax"/>
        </c:scaling>
        <c:axPos val="b"/>
        <c:numFmt formatCode="General" sourceLinked="1"/>
        <c:tickLblPos val="nextTo"/>
        <c:txPr>
          <a:bodyPr rot="-5400000" vert="horz"/>
          <a:lstStyle/>
          <a:p>
            <a:pPr>
              <a:defRPr/>
            </a:pPr>
            <a:endParaRPr lang="en-US"/>
          </a:p>
        </c:txPr>
        <c:crossAx val="79327232"/>
        <c:crosses val="autoZero"/>
        <c:auto val="1"/>
        <c:lblAlgn val="ctr"/>
        <c:lblOffset val="100"/>
      </c:catAx>
      <c:valAx>
        <c:axId val="79327232"/>
        <c:scaling>
          <c:orientation val="minMax"/>
        </c:scaling>
        <c:axPos val="l"/>
        <c:majorGridlines/>
        <c:title>
          <c:tx>
            <c:rich>
              <a:bodyPr rot="-5400000" vert="horz"/>
              <a:lstStyle/>
              <a:p>
                <a:pPr>
                  <a:defRPr/>
                </a:pPr>
                <a:r>
                  <a:rPr lang="en-US"/>
                  <a:t>Mortality Rate per 100,000</a:t>
                </a:r>
              </a:p>
            </c:rich>
          </c:tx>
        </c:title>
        <c:numFmt formatCode="0" sourceLinked="0"/>
        <c:tickLblPos val="nextTo"/>
        <c:crossAx val="7932134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600"/>
            </a:pPr>
            <a:r>
              <a:rPr lang="en-GB" sz="1600"/>
              <a:t>% of patients with COPD with a record of FeV1 by GP practice in Wandsworth </a:t>
            </a:r>
          </a:p>
        </c:rich>
      </c:tx>
      <c:layout>
        <c:manualLayout>
          <c:xMode val="edge"/>
          <c:yMode val="edge"/>
          <c:x val="3.3353529653902869E-2"/>
          <c:y val="1.4420410217144505E-2"/>
        </c:manualLayout>
      </c:layout>
    </c:title>
    <c:plotArea>
      <c:layout>
        <c:manualLayout>
          <c:layoutTarget val="inner"/>
          <c:xMode val="edge"/>
          <c:yMode val="edge"/>
          <c:x val="4.9998042460870445E-2"/>
          <c:y val="0.16152089530687558"/>
          <c:w val="0.91442726472442759"/>
          <c:h val="0.3365860391046645"/>
        </c:manualLayout>
      </c:layout>
      <c:barChart>
        <c:barDir val="col"/>
        <c:grouping val="stacked"/>
        <c:ser>
          <c:idx val="1"/>
          <c:order val="0"/>
          <c:tx>
            <c:strRef>
              <c:f>'IMD FEV'!$K$5</c:f>
              <c:strCache>
                <c:ptCount val="1"/>
                <c:pt idx="0">
                  <c:v>% of patients with COPD with a record of FeV1 </c:v>
                </c:pt>
              </c:strCache>
            </c:strRef>
          </c:tx>
          <c:cat>
            <c:multiLvlStrRef>
              <c:f>'IMD FEV'!$H$6:$I$55</c:f>
              <c:multiLvlStrCache>
                <c:ptCount val="50"/>
                <c:lvl>
                  <c:pt idx="0">
                    <c:v>MITCHAM ROAD SURGERY</c:v>
                  </c:pt>
                  <c:pt idx="1">
                    <c:v>FURZEDOWN PRIMARY CARE CENTRE</c:v>
                  </c:pt>
                  <c:pt idx="2">
                    <c:v>THE GRAYSWOOD PRACTICE</c:v>
                  </c:pt>
                  <c:pt idx="3">
                    <c:v>THE FRANCISCAN SURGERY</c:v>
                  </c:pt>
                  <c:pt idx="4">
                    <c:v>BEDFORD HILL FAMILY PRACTICE</c:v>
                  </c:pt>
                  <c:pt idx="5">
                    <c:v>DR NICHOLAS &amp; PARTNERS</c:v>
                  </c:pt>
                  <c:pt idx="6">
                    <c:v>TOOTING SOUTH MEDICAL CENTRE</c:v>
                  </c:pt>
                  <c:pt idx="7">
                    <c:v>TOOTING BEC SURGERY</c:v>
                  </c:pt>
                  <c:pt idx="8">
                    <c:v>BALHAM HEALTH CENTRE</c:v>
                  </c:pt>
                  <c:pt idx="9">
                    <c:v>BALHAM PARK SURGERY</c:v>
                  </c:pt>
                  <c:pt idx="10">
                    <c:v>STREATHAM PARK SURGERY</c:v>
                  </c:pt>
                  <c:pt idx="11">
                    <c:v>BALHAM HILL MEDICAL PRACTICE</c:v>
                  </c:pt>
                  <c:pt idx="12">
                    <c:v>WATERFALL HOUSE</c:v>
                  </c:pt>
                  <c:pt idx="13">
                    <c:v>OPEN DOOR SURGERY</c:v>
                  </c:pt>
                  <c:pt idx="14">
                    <c:v>THURLEIGH ROAD PRACTICE</c:v>
                  </c:pt>
                  <c:pt idx="15">
                    <c:v>SAI MEDICAL CENTRE</c:v>
                  </c:pt>
                  <c:pt idx="17">
                    <c:v>GRANVILLE ROAD SURGERY</c:v>
                  </c:pt>
                  <c:pt idx="18">
                    <c:v>EARLSFIELD SURGERY</c:v>
                  </c:pt>
                  <c:pt idx="19">
                    <c:v>THE SURGERY</c:v>
                  </c:pt>
                  <c:pt idx="20">
                    <c:v>THE MEDICAL CENTRE</c:v>
                  </c:pt>
                  <c:pt idx="21">
                    <c:v>ST. JOHN'S HILL PRACTICE</c:v>
                  </c:pt>
                  <c:pt idx="22">
                    <c:v>SOUTHFIELDS GROUP PRACTICE</c:v>
                  </c:pt>
                  <c:pt idx="23">
                    <c:v>BROCKLEBANK HEALTH CENTRE</c:v>
                  </c:pt>
                  <c:pt idx="24">
                    <c:v>ELBOROUGH STREET SURGERY</c:v>
                  </c:pt>
                  <c:pt idx="25">
                    <c:v>TRIANGLE SURGERY</c:v>
                  </c:pt>
                  <c:pt idx="27">
                    <c:v>NORTHCOTE ROAD SURGERY</c:v>
                  </c:pt>
                  <c:pt idx="28">
                    <c:v>LAVENDER HILL SURGERY</c:v>
                  </c:pt>
                  <c:pt idx="29">
                    <c:v>LAVENDER HILL GROUP PRACTICE</c:v>
                  </c:pt>
                  <c:pt idx="30">
                    <c:v>CHATFIELD MEDICAL CENTRE</c:v>
                  </c:pt>
                  <c:pt idx="31">
                    <c:v>BATTERSEA FIELDS PRACTICE</c:v>
                  </c:pt>
                  <c:pt idx="32">
                    <c:v>QUEENSTOWN ROAD MEDICAL PRACTICE</c:v>
                  </c:pt>
                  <c:pt idx="33">
                    <c:v>BRIDGE LANE GROUP PRACTICE</c:v>
                  </c:pt>
                  <c:pt idx="34">
                    <c:v>BATTERSEA RISE GROUP PRACTICE</c:v>
                  </c:pt>
                  <c:pt idx="35">
                    <c:v>THE FALCON ROAD MEDICAL CENTRE</c:v>
                  </c:pt>
                  <c:pt idx="36">
                    <c:v>THE HERITAGE MEDICAL CENTRE</c:v>
                  </c:pt>
                  <c:pt idx="38">
                    <c:v>THE ROEHAMPTON SURGERY</c:v>
                  </c:pt>
                  <c:pt idx="39">
                    <c:v>THE HEATHBRIDGE PRACTICE</c:v>
                  </c:pt>
                  <c:pt idx="40">
                    <c:v>CHARTFIELD SURGERY</c:v>
                  </c:pt>
                  <c:pt idx="41">
                    <c:v>DANEBURY AVENUE SURGERY</c:v>
                  </c:pt>
                  <c:pt idx="42">
                    <c:v>INNER PARK ROAD HEALTH CENTRE</c:v>
                  </c:pt>
                  <c:pt idx="43">
                    <c:v>THE SURGERY</c:v>
                  </c:pt>
                  <c:pt idx="44">
                    <c:v>PUTNEYMEAD MEDICAL CENTRE</c:v>
                  </c:pt>
                  <c:pt idx="45">
                    <c:v>THE ALTON PRACTICE</c:v>
                  </c:pt>
                  <c:pt idx="46">
                    <c:v>THE PUTNEY SURGERY</c:v>
                  </c:pt>
                  <c:pt idx="47">
                    <c:v>MAYFIELD SURGERY</c:v>
                  </c:pt>
                  <c:pt idx="48">
                    <c:v>TUDOR LODGE HEALTH CENTRE</c:v>
                  </c:pt>
                  <c:pt idx="49">
                    <c:v>ST PAUL'S COTTAGE PRACTICE</c:v>
                  </c:pt>
                </c:lvl>
                <c:lvl>
                  <c:pt idx="0">
                    <c:v>South</c:v>
                  </c:pt>
                  <c:pt idx="17">
                    <c:v>Central</c:v>
                  </c:pt>
                  <c:pt idx="27">
                    <c:v>North</c:v>
                  </c:pt>
                  <c:pt idx="38">
                    <c:v>West</c:v>
                  </c:pt>
                </c:lvl>
              </c:multiLvlStrCache>
            </c:multiLvlStrRef>
          </c:cat>
          <c:val>
            <c:numRef>
              <c:f>'IMD FEV'!$K$6:$K$55</c:f>
              <c:numCache>
                <c:formatCode>0.0%</c:formatCode>
                <c:ptCount val="50"/>
                <c:pt idx="0">
                  <c:v>0</c:v>
                </c:pt>
                <c:pt idx="1">
                  <c:v>8.3333335816860227E-2</c:v>
                </c:pt>
                <c:pt idx="2">
                  <c:v>0.42857143282890298</c:v>
                </c:pt>
                <c:pt idx="3">
                  <c:v>0.53333336114883356</c:v>
                </c:pt>
                <c:pt idx="4">
                  <c:v>0.54166668653488392</c:v>
                </c:pt>
                <c:pt idx="5">
                  <c:v>0.62222224473953203</c:v>
                </c:pt>
                <c:pt idx="6">
                  <c:v>0.65217393636703691</c:v>
                </c:pt>
                <c:pt idx="7">
                  <c:v>0.66666668653488537</c:v>
                </c:pt>
                <c:pt idx="8">
                  <c:v>0.66666668653488537</c:v>
                </c:pt>
                <c:pt idx="9">
                  <c:v>0.73913043737411777</c:v>
                </c:pt>
                <c:pt idx="10">
                  <c:v>0.80303031206131004</c:v>
                </c:pt>
                <c:pt idx="11">
                  <c:v>0.8125</c:v>
                </c:pt>
                <c:pt idx="12">
                  <c:v>0.84375000000000155</c:v>
                </c:pt>
                <c:pt idx="13">
                  <c:v>0.87323945760726895</c:v>
                </c:pt>
                <c:pt idx="14">
                  <c:v>0.89795917272567705</c:v>
                </c:pt>
                <c:pt idx="15">
                  <c:v>1</c:v>
                </c:pt>
                <c:pt idx="17">
                  <c:v>0</c:v>
                </c:pt>
                <c:pt idx="18">
                  <c:v>0.46875</c:v>
                </c:pt>
                <c:pt idx="19">
                  <c:v>0.75757575035095204</c:v>
                </c:pt>
                <c:pt idx="20">
                  <c:v>0.80645161867141868</c:v>
                </c:pt>
                <c:pt idx="21">
                  <c:v>0.81818181276321555</c:v>
                </c:pt>
                <c:pt idx="22">
                  <c:v>0.84112149477005005</c:v>
                </c:pt>
                <c:pt idx="23">
                  <c:v>0.84615385532379406</c:v>
                </c:pt>
                <c:pt idx="24">
                  <c:v>0.89189189672470293</c:v>
                </c:pt>
                <c:pt idx="25">
                  <c:v>0.95238095521926858</c:v>
                </c:pt>
                <c:pt idx="27">
                  <c:v>0.60000002384185802</c:v>
                </c:pt>
                <c:pt idx="28">
                  <c:v>0.66666668653488537</c:v>
                </c:pt>
                <c:pt idx="29">
                  <c:v>0.75675678253173795</c:v>
                </c:pt>
                <c:pt idx="30">
                  <c:v>0.77272725105285756</c:v>
                </c:pt>
                <c:pt idx="31">
                  <c:v>0.80882352590560858</c:v>
                </c:pt>
                <c:pt idx="32">
                  <c:v>0.81372547149658525</c:v>
                </c:pt>
                <c:pt idx="33">
                  <c:v>0.82317072153091397</c:v>
                </c:pt>
                <c:pt idx="34">
                  <c:v>0.84210526943206798</c:v>
                </c:pt>
                <c:pt idx="35">
                  <c:v>0.87142854928970304</c:v>
                </c:pt>
                <c:pt idx="36">
                  <c:v>0.88888889551162698</c:v>
                </c:pt>
                <c:pt idx="38">
                  <c:v>0.51515150070190208</c:v>
                </c:pt>
                <c:pt idx="39">
                  <c:v>0.70491802692413363</c:v>
                </c:pt>
                <c:pt idx="40">
                  <c:v>0.7108433842659001</c:v>
                </c:pt>
                <c:pt idx="41">
                  <c:v>0.75471699237823564</c:v>
                </c:pt>
                <c:pt idx="42">
                  <c:v>0.77999997138977473</c:v>
                </c:pt>
                <c:pt idx="43">
                  <c:v>0.78260868787765459</c:v>
                </c:pt>
                <c:pt idx="44">
                  <c:v>0.78787881135940818</c:v>
                </c:pt>
                <c:pt idx="45">
                  <c:v>0.79629629850387806</c:v>
                </c:pt>
                <c:pt idx="46">
                  <c:v>0.80645161867141868</c:v>
                </c:pt>
                <c:pt idx="47">
                  <c:v>0.85365855693817427</c:v>
                </c:pt>
                <c:pt idx="48">
                  <c:v>0.91836732625961259</c:v>
                </c:pt>
                <c:pt idx="49">
                  <c:v>0.96969699859619318</c:v>
                </c:pt>
              </c:numCache>
            </c:numRef>
          </c:val>
        </c:ser>
        <c:gapWidth val="55"/>
        <c:overlap val="100"/>
        <c:axId val="79342592"/>
        <c:axId val="79360768"/>
      </c:barChart>
      <c:lineChart>
        <c:grouping val="standard"/>
        <c:ser>
          <c:idx val="6"/>
          <c:order val="1"/>
          <c:tx>
            <c:strRef>
              <c:f>'IMD FEV'!$N$5</c:f>
              <c:strCache>
                <c:ptCount val="1"/>
                <c:pt idx="0">
                  <c:v>England</c:v>
                </c:pt>
              </c:strCache>
            </c:strRef>
          </c:tx>
          <c:marker>
            <c:symbol val="none"/>
          </c:marker>
          <c:cat>
            <c:multiLvlStrRef>
              <c:f>'IMD FEV'!$H$6:$I$55</c:f>
              <c:multiLvlStrCache>
                <c:ptCount val="50"/>
                <c:lvl>
                  <c:pt idx="0">
                    <c:v>MITCHAM ROAD SURGERY</c:v>
                  </c:pt>
                  <c:pt idx="1">
                    <c:v>FURZEDOWN PRIMARY CARE CENTRE</c:v>
                  </c:pt>
                  <c:pt idx="2">
                    <c:v>THE GRAYSWOOD PRACTICE</c:v>
                  </c:pt>
                  <c:pt idx="3">
                    <c:v>THE FRANCISCAN SURGERY</c:v>
                  </c:pt>
                  <c:pt idx="4">
                    <c:v>BEDFORD HILL FAMILY PRACTICE</c:v>
                  </c:pt>
                  <c:pt idx="5">
                    <c:v>DR NICHOLAS &amp; PARTNERS</c:v>
                  </c:pt>
                  <c:pt idx="6">
                    <c:v>TOOTING SOUTH MEDICAL CENTRE</c:v>
                  </c:pt>
                  <c:pt idx="7">
                    <c:v>TOOTING BEC SURGERY</c:v>
                  </c:pt>
                  <c:pt idx="8">
                    <c:v>BALHAM HEALTH CENTRE</c:v>
                  </c:pt>
                  <c:pt idx="9">
                    <c:v>BALHAM PARK SURGERY</c:v>
                  </c:pt>
                  <c:pt idx="10">
                    <c:v>STREATHAM PARK SURGERY</c:v>
                  </c:pt>
                  <c:pt idx="11">
                    <c:v>BALHAM HILL MEDICAL PRACTICE</c:v>
                  </c:pt>
                  <c:pt idx="12">
                    <c:v>WATERFALL HOUSE</c:v>
                  </c:pt>
                  <c:pt idx="13">
                    <c:v>OPEN DOOR SURGERY</c:v>
                  </c:pt>
                  <c:pt idx="14">
                    <c:v>THURLEIGH ROAD PRACTICE</c:v>
                  </c:pt>
                  <c:pt idx="15">
                    <c:v>SAI MEDICAL CENTRE</c:v>
                  </c:pt>
                  <c:pt idx="17">
                    <c:v>GRANVILLE ROAD SURGERY</c:v>
                  </c:pt>
                  <c:pt idx="18">
                    <c:v>EARLSFIELD SURGERY</c:v>
                  </c:pt>
                  <c:pt idx="19">
                    <c:v>THE SURGERY</c:v>
                  </c:pt>
                  <c:pt idx="20">
                    <c:v>THE MEDICAL CENTRE</c:v>
                  </c:pt>
                  <c:pt idx="21">
                    <c:v>ST. JOHN'S HILL PRACTICE</c:v>
                  </c:pt>
                  <c:pt idx="22">
                    <c:v>SOUTHFIELDS GROUP PRACTICE</c:v>
                  </c:pt>
                  <c:pt idx="23">
                    <c:v>BROCKLEBANK HEALTH CENTRE</c:v>
                  </c:pt>
                  <c:pt idx="24">
                    <c:v>ELBOROUGH STREET SURGERY</c:v>
                  </c:pt>
                  <c:pt idx="25">
                    <c:v>TRIANGLE SURGERY</c:v>
                  </c:pt>
                  <c:pt idx="27">
                    <c:v>NORTHCOTE ROAD SURGERY</c:v>
                  </c:pt>
                  <c:pt idx="28">
                    <c:v>LAVENDER HILL SURGERY</c:v>
                  </c:pt>
                  <c:pt idx="29">
                    <c:v>LAVENDER HILL GROUP PRACTICE</c:v>
                  </c:pt>
                  <c:pt idx="30">
                    <c:v>CHATFIELD MEDICAL CENTRE</c:v>
                  </c:pt>
                  <c:pt idx="31">
                    <c:v>BATTERSEA FIELDS PRACTICE</c:v>
                  </c:pt>
                  <c:pt idx="32">
                    <c:v>QUEENSTOWN ROAD MEDICAL PRACTICE</c:v>
                  </c:pt>
                  <c:pt idx="33">
                    <c:v>BRIDGE LANE GROUP PRACTICE</c:v>
                  </c:pt>
                  <c:pt idx="34">
                    <c:v>BATTERSEA RISE GROUP PRACTICE</c:v>
                  </c:pt>
                  <c:pt idx="35">
                    <c:v>THE FALCON ROAD MEDICAL CENTRE</c:v>
                  </c:pt>
                  <c:pt idx="36">
                    <c:v>THE HERITAGE MEDICAL CENTRE</c:v>
                  </c:pt>
                  <c:pt idx="38">
                    <c:v>THE ROEHAMPTON SURGERY</c:v>
                  </c:pt>
                  <c:pt idx="39">
                    <c:v>THE HEATHBRIDGE PRACTICE</c:v>
                  </c:pt>
                  <c:pt idx="40">
                    <c:v>CHARTFIELD SURGERY</c:v>
                  </c:pt>
                  <c:pt idx="41">
                    <c:v>DANEBURY AVENUE SURGERY</c:v>
                  </c:pt>
                  <c:pt idx="42">
                    <c:v>INNER PARK ROAD HEALTH CENTRE</c:v>
                  </c:pt>
                  <c:pt idx="43">
                    <c:v>THE SURGERY</c:v>
                  </c:pt>
                  <c:pt idx="44">
                    <c:v>PUTNEYMEAD MEDICAL CENTRE</c:v>
                  </c:pt>
                  <c:pt idx="45">
                    <c:v>THE ALTON PRACTICE</c:v>
                  </c:pt>
                  <c:pt idx="46">
                    <c:v>THE PUTNEY SURGERY</c:v>
                  </c:pt>
                  <c:pt idx="47">
                    <c:v>MAYFIELD SURGERY</c:v>
                  </c:pt>
                  <c:pt idx="48">
                    <c:v>TUDOR LODGE HEALTH CENTRE</c:v>
                  </c:pt>
                  <c:pt idx="49">
                    <c:v>ST PAUL'S COTTAGE PRACTICE</c:v>
                  </c:pt>
                </c:lvl>
                <c:lvl>
                  <c:pt idx="0">
                    <c:v>South</c:v>
                  </c:pt>
                  <c:pt idx="17">
                    <c:v>Central</c:v>
                  </c:pt>
                  <c:pt idx="27">
                    <c:v>North</c:v>
                  </c:pt>
                  <c:pt idx="38">
                    <c:v>West</c:v>
                  </c:pt>
                </c:lvl>
              </c:multiLvlStrCache>
            </c:multiLvlStrRef>
          </c:cat>
          <c:val>
            <c:numRef>
              <c:f>'IMD FEV'!$N$6:$N$55</c:f>
              <c:numCache>
                <c:formatCode>0.0%</c:formatCode>
                <c:ptCount val="50"/>
                <c:pt idx="0">
                  <c:v>0.82500000000000062</c:v>
                </c:pt>
                <c:pt idx="1">
                  <c:v>0.82500000000000062</c:v>
                </c:pt>
                <c:pt idx="2">
                  <c:v>0.82500000000000062</c:v>
                </c:pt>
                <c:pt idx="3">
                  <c:v>0.82500000000000062</c:v>
                </c:pt>
                <c:pt idx="4">
                  <c:v>0.82500000000000062</c:v>
                </c:pt>
                <c:pt idx="5">
                  <c:v>0.82500000000000062</c:v>
                </c:pt>
                <c:pt idx="6">
                  <c:v>0.82500000000000062</c:v>
                </c:pt>
                <c:pt idx="7">
                  <c:v>0.82500000000000062</c:v>
                </c:pt>
                <c:pt idx="8">
                  <c:v>0.82500000000000062</c:v>
                </c:pt>
                <c:pt idx="9">
                  <c:v>0.82500000000000062</c:v>
                </c:pt>
                <c:pt idx="10">
                  <c:v>0.82500000000000062</c:v>
                </c:pt>
                <c:pt idx="11">
                  <c:v>0.82500000000000062</c:v>
                </c:pt>
                <c:pt idx="12">
                  <c:v>0.82500000000000062</c:v>
                </c:pt>
                <c:pt idx="13">
                  <c:v>0.82500000000000062</c:v>
                </c:pt>
                <c:pt idx="14">
                  <c:v>0.82500000000000062</c:v>
                </c:pt>
                <c:pt idx="15">
                  <c:v>0.82500000000000062</c:v>
                </c:pt>
                <c:pt idx="16">
                  <c:v>0.82500000000000062</c:v>
                </c:pt>
                <c:pt idx="17">
                  <c:v>0.82500000000000062</c:v>
                </c:pt>
                <c:pt idx="18">
                  <c:v>0.82500000000000062</c:v>
                </c:pt>
                <c:pt idx="19">
                  <c:v>0.82500000000000062</c:v>
                </c:pt>
                <c:pt idx="20">
                  <c:v>0.82500000000000062</c:v>
                </c:pt>
                <c:pt idx="21">
                  <c:v>0.82500000000000062</c:v>
                </c:pt>
                <c:pt idx="22">
                  <c:v>0.82500000000000062</c:v>
                </c:pt>
                <c:pt idx="23">
                  <c:v>0.82500000000000062</c:v>
                </c:pt>
                <c:pt idx="24">
                  <c:v>0.82500000000000062</c:v>
                </c:pt>
                <c:pt idx="25">
                  <c:v>0.82500000000000062</c:v>
                </c:pt>
                <c:pt idx="26">
                  <c:v>0.82500000000000062</c:v>
                </c:pt>
                <c:pt idx="27">
                  <c:v>0.82500000000000062</c:v>
                </c:pt>
                <c:pt idx="28">
                  <c:v>0.82500000000000062</c:v>
                </c:pt>
                <c:pt idx="29">
                  <c:v>0.82500000000000062</c:v>
                </c:pt>
                <c:pt idx="30">
                  <c:v>0.82500000000000062</c:v>
                </c:pt>
                <c:pt idx="31">
                  <c:v>0.82500000000000062</c:v>
                </c:pt>
                <c:pt idx="32">
                  <c:v>0.82500000000000062</c:v>
                </c:pt>
                <c:pt idx="33">
                  <c:v>0.82500000000000062</c:v>
                </c:pt>
                <c:pt idx="34">
                  <c:v>0.82500000000000062</c:v>
                </c:pt>
                <c:pt idx="35">
                  <c:v>0.82500000000000062</c:v>
                </c:pt>
                <c:pt idx="36">
                  <c:v>0.82500000000000062</c:v>
                </c:pt>
                <c:pt idx="37">
                  <c:v>0.82500000000000062</c:v>
                </c:pt>
                <c:pt idx="38">
                  <c:v>0.82500000000000062</c:v>
                </c:pt>
                <c:pt idx="39">
                  <c:v>0.82500000000000062</c:v>
                </c:pt>
                <c:pt idx="40">
                  <c:v>0.82500000000000062</c:v>
                </c:pt>
                <c:pt idx="41">
                  <c:v>0.82500000000000062</c:v>
                </c:pt>
                <c:pt idx="42">
                  <c:v>0.82500000000000062</c:v>
                </c:pt>
                <c:pt idx="43">
                  <c:v>0.82500000000000062</c:v>
                </c:pt>
                <c:pt idx="44">
                  <c:v>0.82500000000000062</c:v>
                </c:pt>
                <c:pt idx="45">
                  <c:v>0.82500000000000062</c:v>
                </c:pt>
                <c:pt idx="46">
                  <c:v>0.82500000000000062</c:v>
                </c:pt>
                <c:pt idx="47">
                  <c:v>0.82500000000000062</c:v>
                </c:pt>
                <c:pt idx="48">
                  <c:v>0.82500000000000062</c:v>
                </c:pt>
                <c:pt idx="49">
                  <c:v>0.82500000000000062</c:v>
                </c:pt>
              </c:numCache>
            </c:numRef>
          </c:val>
        </c:ser>
        <c:ser>
          <c:idx val="7"/>
          <c:order val="2"/>
          <c:tx>
            <c:strRef>
              <c:f>'IMD FEV'!$O$5</c:f>
              <c:strCache>
                <c:ptCount val="1"/>
                <c:pt idx="0">
                  <c:v>London</c:v>
                </c:pt>
              </c:strCache>
            </c:strRef>
          </c:tx>
          <c:marker>
            <c:symbol val="none"/>
          </c:marker>
          <c:cat>
            <c:multiLvlStrRef>
              <c:f>'IMD FEV'!$H$6:$I$55</c:f>
              <c:multiLvlStrCache>
                <c:ptCount val="50"/>
                <c:lvl>
                  <c:pt idx="0">
                    <c:v>MITCHAM ROAD SURGERY</c:v>
                  </c:pt>
                  <c:pt idx="1">
                    <c:v>FURZEDOWN PRIMARY CARE CENTRE</c:v>
                  </c:pt>
                  <c:pt idx="2">
                    <c:v>THE GRAYSWOOD PRACTICE</c:v>
                  </c:pt>
                  <c:pt idx="3">
                    <c:v>THE FRANCISCAN SURGERY</c:v>
                  </c:pt>
                  <c:pt idx="4">
                    <c:v>BEDFORD HILL FAMILY PRACTICE</c:v>
                  </c:pt>
                  <c:pt idx="5">
                    <c:v>DR NICHOLAS &amp; PARTNERS</c:v>
                  </c:pt>
                  <c:pt idx="6">
                    <c:v>TOOTING SOUTH MEDICAL CENTRE</c:v>
                  </c:pt>
                  <c:pt idx="7">
                    <c:v>TOOTING BEC SURGERY</c:v>
                  </c:pt>
                  <c:pt idx="8">
                    <c:v>BALHAM HEALTH CENTRE</c:v>
                  </c:pt>
                  <c:pt idx="9">
                    <c:v>BALHAM PARK SURGERY</c:v>
                  </c:pt>
                  <c:pt idx="10">
                    <c:v>STREATHAM PARK SURGERY</c:v>
                  </c:pt>
                  <c:pt idx="11">
                    <c:v>BALHAM HILL MEDICAL PRACTICE</c:v>
                  </c:pt>
                  <c:pt idx="12">
                    <c:v>WATERFALL HOUSE</c:v>
                  </c:pt>
                  <c:pt idx="13">
                    <c:v>OPEN DOOR SURGERY</c:v>
                  </c:pt>
                  <c:pt idx="14">
                    <c:v>THURLEIGH ROAD PRACTICE</c:v>
                  </c:pt>
                  <c:pt idx="15">
                    <c:v>SAI MEDICAL CENTRE</c:v>
                  </c:pt>
                  <c:pt idx="17">
                    <c:v>GRANVILLE ROAD SURGERY</c:v>
                  </c:pt>
                  <c:pt idx="18">
                    <c:v>EARLSFIELD SURGERY</c:v>
                  </c:pt>
                  <c:pt idx="19">
                    <c:v>THE SURGERY</c:v>
                  </c:pt>
                  <c:pt idx="20">
                    <c:v>THE MEDICAL CENTRE</c:v>
                  </c:pt>
                  <c:pt idx="21">
                    <c:v>ST. JOHN'S HILL PRACTICE</c:v>
                  </c:pt>
                  <c:pt idx="22">
                    <c:v>SOUTHFIELDS GROUP PRACTICE</c:v>
                  </c:pt>
                  <c:pt idx="23">
                    <c:v>BROCKLEBANK HEALTH CENTRE</c:v>
                  </c:pt>
                  <c:pt idx="24">
                    <c:v>ELBOROUGH STREET SURGERY</c:v>
                  </c:pt>
                  <c:pt idx="25">
                    <c:v>TRIANGLE SURGERY</c:v>
                  </c:pt>
                  <c:pt idx="27">
                    <c:v>NORTHCOTE ROAD SURGERY</c:v>
                  </c:pt>
                  <c:pt idx="28">
                    <c:v>LAVENDER HILL SURGERY</c:v>
                  </c:pt>
                  <c:pt idx="29">
                    <c:v>LAVENDER HILL GROUP PRACTICE</c:v>
                  </c:pt>
                  <c:pt idx="30">
                    <c:v>CHATFIELD MEDICAL CENTRE</c:v>
                  </c:pt>
                  <c:pt idx="31">
                    <c:v>BATTERSEA FIELDS PRACTICE</c:v>
                  </c:pt>
                  <c:pt idx="32">
                    <c:v>QUEENSTOWN ROAD MEDICAL PRACTICE</c:v>
                  </c:pt>
                  <c:pt idx="33">
                    <c:v>BRIDGE LANE GROUP PRACTICE</c:v>
                  </c:pt>
                  <c:pt idx="34">
                    <c:v>BATTERSEA RISE GROUP PRACTICE</c:v>
                  </c:pt>
                  <c:pt idx="35">
                    <c:v>THE FALCON ROAD MEDICAL CENTRE</c:v>
                  </c:pt>
                  <c:pt idx="36">
                    <c:v>THE HERITAGE MEDICAL CENTRE</c:v>
                  </c:pt>
                  <c:pt idx="38">
                    <c:v>THE ROEHAMPTON SURGERY</c:v>
                  </c:pt>
                  <c:pt idx="39">
                    <c:v>THE HEATHBRIDGE PRACTICE</c:v>
                  </c:pt>
                  <c:pt idx="40">
                    <c:v>CHARTFIELD SURGERY</c:v>
                  </c:pt>
                  <c:pt idx="41">
                    <c:v>DANEBURY AVENUE SURGERY</c:v>
                  </c:pt>
                  <c:pt idx="42">
                    <c:v>INNER PARK ROAD HEALTH CENTRE</c:v>
                  </c:pt>
                  <c:pt idx="43">
                    <c:v>THE SURGERY</c:v>
                  </c:pt>
                  <c:pt idx="44">
                    <c:v>PUTNEYMEAD MEDICAL CENTRE</c:v>
                  </c:pt>
                  <c:pt idx="45">
                    <c:v>THE ALTON PRACTICE</c:v>
                  </c:pt>
                  <c:pt idx="46">
                    <c:v>THE PUTNEY SURGERY</c:v>
                  </c:pt>
                  <c:pt idx="47">
                    <c:v>MAYFIELD SURGERY</c:v>
                  </c:pt>
                  <c:pt idx="48">
                    <c:v>TUDOR LODGE HEALTH CENTRE</c:v>
                  </c:pt>
                  <c:pt idx="49">
                    <c:v>ST PAUL'S COTTAGE PRACTICE</c:v>
                  </c:pt>
                </c:lvl>
                <c:lvl>
                  <c:pt idx="0">
                    <c:v>South</c:v>
                  </c:pt>
                  <c:pt idx="17">
                    <c:v>Central</c:v>
                  </c:pt>
                  <c:pt idx="27">
                    <c:v>North</c:v>
                  </c:pt>
                  <c:pt idx="38">
                    <c:v>West</c:v>
                  </c:pt>
                </c:lvl>
              </c:multiLvlStrCache>
            </c:multiLvlStrRef>
          </c:cat>
          <c:val>
            <c:numRef>
              <c:f>'IMD FEV'!$O$6:$O$55</c:f>
              <c:numCache>
                <c:formatCode>0.0%</c:formatCode>
                <c:ptCount val="50"/>
                <c:pt idx="0">
                  <c:v>3.54</c:v>
                </c:pt>
                <c:pt idx="1">
                  <c:v>3.54</c:v>
                </c:pt>
                <c:pt idx="2">
                  <c:v>3.54</c:v>
                </c:pt>
                <c:pt idx="3">
                  <c:v>3.54</c:v>
                </c:pt>
                <c:pt idx="4">
                  <c:v>3.54</c:v>
                </c:pt>
                <c:pt idx="5">
                  <c:v>3.54</c:v>
                </c:pt>
                <c:pt idx="6">
                  <c:v>3.54</c:v>
                </c:pt>
                <c:pt idx="7">
                  <c:v>3.54</c:v>
                </c:pt>
                <c:pt idx="8">
                  <c:v>3.54</c:v>
                </c:pt>
                <c:pt idx="9">
                  <c:v>3.54</c:v>
                </c:pt>
                <c:pt idx="10">
                  <c:v>3.54</c:v>
                </c:pt>
                <c:pt idx="11">
                  <c:v>3.54</c:v>
                </c:pt>
                <c:pt idx="12">
                  <c:v>3.54</c:v>
                </c:pt>
                <c:pt idx="13">
                  <c:v>3.54</c:v>
                </c:pt>
                <c:pt idx="14">
                  <c:v>3.54</c:v>
                </c:pt>
                <c:pt idx="15">
                  <c:v>3.54</c:v>
                </c:pt>
                <c:pt idx="16">
                  <c:v>3.54</c:v>
                </c:pt>
                <c:pt idx="17">
                  <c:v>3.54</c:v>
                </c:pt>
                <c:pt idx="18">
                  <c:v>3.54</c:v>
                </c:pt>
                <c:pt idx="19">
                  <c:v>3.54</c:v>
                </c:pt>
                <c:pt idx="20">
                  <c:v>3.54</c:v>
                </c:pt>
                <c:pt idx="21">
                  <c:v>3.54</c:v>
                </c:pt>
                <c:pt idx="22">
                  <c:v>3.54</c:v>
                </c:pt>
                <c:pt idx="23">
                  <c:v>3.54</c:v>
                </c:pt>
                <c:pt idx="24">
                  <c:v>3.54</c:v>
                </c:pt>
                <c:pt idx="25">
                  <c:v>3.54</c:v>
                </c:pt>
                <c:pt idx="26">
                  <c:v>3.54</c:v>
                </c:pt>
                <c:pt idx="27">
                  <c:v>3.54</c:v>
                </c:pt>
                <c:pt idx="28">
                  <c:v>3.54</c:v>
                </c:pt>
                <c:pt idx="29">
                  <c:v>3.54</c:v>
                </c:pt>
                <c:pt idx="30">
                  <c:v>3.54</c:v>
                </c:pt>
                <c:pt idx="31">
                  <c:v>3.54</c:v>
                </c:pt>
                <c:pt idx="32">
                  <c:v>3.54</c:v>
                </c:pt>
                <c:pt idx="33">
                  <c:v>3.54</c:v>
                </c:pt>
                <c:pt idx="34">
                  <c:v>3.54</c:v>
                </c:pt>
                <c:pt idx="35">
                  <c:v>3.54</c:v>
                </c:pt>
                <c:pt idx="36">
                  <c:v>3.54</c:v>
                </c:pt>
                <c:pt idx="37">
                  <c:v>3.54</c:v>
                </c:pt>
                <c:pt idx="38">
                  <c:v>3.54</c:v>
                </c:pt>
                <c:pt idx="39">
                  <c:v>3.54</c:v>
                </c:pt>
                <c:pt idx="40">
                  <c:v>3.54</c:v>
                </c:pt>
                <c:pt idx="41">
                  <c:v>3.54</c:v>
                </c:pt>
                <c:pt idx="42">
                  <c:v>3.54</c:v>
                </c:pt>
                <c:pt idx="43">
                  <c:v>3.54</c:v>
                </c:pt>
                <c:pt idx="44">
                  <c:v>3.54</c:v>
                </c:pt>
                <c:pt idx="45">
                  <c:v>3.54</c:v>
                </c:pt>
                <c:pt idx="46">
                  <c:v>3.54</c:v>
                </c:pt>
                <c:pt idx="47">
                  <c:v>3.54</c:v>
                </c:pt>
                <c:pt idx="48">
                  <c:v>3.54</c:v>
                </c:pt>
                <c:pt idx="49">
                  <c:v>3.54</c:v>
                </c:pt>
              </c:numCache>
            </c:numRef>
          </c:val>
        </c:ser>
        <c:ser>
          <c:idx val="8"/>
          <c:order val="3"/>
          <c:tx>
            <c:strRef>
              <c:f>'IMD FEV'!$P$5</c:f>
              <c:strCache>
                <c:ptCount val="1"/>
                <c:pt idx="0">
                  <c:v>Wandsworth</c:v>
                </c:pt>
              </c:strCache>
            </c:strRef>
          </c:tx>
          <c:marker>
            <c:symbol val="none"/>
          </c:marker>
          <c:cat>
            <c:multiLvlStrRef>
              <c:f>'IMD FEV'!$H$6:$I$55</c:f>
              <c:multiLvlStrCache>
                <c:ptCount val="50"/>
                <c:lvl>
                  <c:pt idx="0">
                    <c:v>MITCHAM ROAD SURGERY</c:v>
                  </c:pt>
                  <c:pt idx="1">
                    <c:v>FURZEDOWN PRIMARY CARE CENTRE</c:v>
                  </c:pt>
                  <c:pt idx="2">
                    <c:v>THE GRAYSWOOD PRACTICE</c:v>
                  </c:pt>
                  <c:pt idx="3">
                    <c:v>THE FRANCISCAN SURGERY</c:v>
                  </c:pt>
                  <c:pt idx="4">
                    <c:v>BEDFORD HILL FAMILY PRACTICE</c:v>
                  </c:pt>
                  <c:pt idx="5">
                    <c:v>DR NICHOLAS &amp; PARTNERS</c:v>
                  </c:pt>
                  <c:pt idx="6">
                    <c:v>TOOTING SOUTH MEDICAL CENTRE</c:v>
                  </c:pt>
                  <c:pt idx="7">
                    <c:v>TOOTING BEC SURGERY</c:v>
                  </c:pt>
                  <c:pt idx="8">
                    <c:v>BALHAM HEALTH CENTRE</c:v>
                  </c:pt>
                  <c:pt idx="9">
                    <c:v>BALHAM PARK SURGERY</c:v>
                  </c:pt>
                  <c:pt idx="10">
                    <c:v>STREATHAM PARK SURGERY</c:v>
                  </c:pt>
                  <c:pt idx="11">
                    <c:v>BALHAM HILL MEDICAL PRACTICE</c:v>
                  </c:pt>
                  <c:pt idx="12">
                    <c:v>WATERFALL HOUSE</c:v>
                  </c:pt>
                  <c:pt idx="13">
                    <c:v>OPEN DOOR SURGERY</c:v>
                  </c:pt>
                  <c:pt idx="14">
                    <c:v>THURLEIGH ROAD PRACTICE</c:v>
                  </c:pt>
                  <c:pt idx="15">
                    <c:v>SAI MEDICAL CENTRE</c:v>
                  </c:pt>
                  <c:pt idx="17">
                    <c:v>GRANVILLE ROAD SURGERY</c:v>
                  </c:pt>
                  <c:pt idx="18">
                    <c:v>EARLSFIELD SURGERY</c:v>
                  </c:pt>
                  <c:pt idx="19">
                    <c:v>THE SURGERY</c:v>
                  </c:pt>
                  <c:pt idx="20">
                    <c:v>THE MEDICAL CENTRE</c:v>
                  </c:pt>
                  <c:pt idx="21">
                    <c:v>ST. JOHN'S HILL PRACTICE</c:v>
                  </c:pt>
                  <c:pt idx="22">
                    <c:v>SOUTHFIELDS GROUP PRACTICE</c:v>
                  </c:pt>
                  <c:pt idx="23">
                    <c:v>BROCKLEBANK HEALTH CENTRE</c:v>
                  </c:pt>
                  <c:pt idx="24">
                    <c:v>ELBOROUGH STREET SURGERY</c:v>
                  </c:pt>
                  <c:pt idx="25">
                    <c:v>TRIANGLE SURGERY</c:v>
                  </c:pt>
                  <c:pt idx="27">
                    <c:v>NORTHCOTE ROAD SURGERY</c:v>
                  </c:pt>
                  <c:pt idx="28">
                    <c:v>LAVENDER HILL SURGERY</c:v>
                  </c:pt>
                  <c:pt idx="29">
                    <c:v>LAVENDER HILL GROUP PRACTICE</c:v>
                  </c:pt>
                  <c:pt idx="30">
                    <c:v>CHATFIELD MEDICAL CENTRE</c:v>
                  </c:pt>
                  <c:pt idx="31">
                    <c:v>BATTERSEA FIELDS PRACTICE</c:v>
                  </c:pt>
                  <c:pt idx="32">
                    <c:v>QUEENSTOWN ROAD MEDICAL PRACTICE</c:v>
                  </c:pt>
                  <c:pt idx="33">
                    <c:v>BRIDGE LANE GROUP PRACTICE</c:v>
                  </c:pt>
                  <c:pt idx="34">
                    <c:v>BATTERSEA RISE GROUP PRACTICE</c:v>
                  </c:pt>
                  <c:pt idx="35">
                    <c:v>THE FALCON ROAD MEDICAL CENTRE</c:v>
                  </c:pt>
                  <c:pt idx="36">
                    <c:v>THE HERITAGE MEDICAL CENTRE</c:v>
                  </c:pt>
                  <c:pt idx="38">
                    <c:v>THE ROEHAMPTON SURGERY</c:v>
                  </c:pt>
                  <c:pt idx="39">
                    <c:v>THE HEATHBRIDGE PRACTICE</c:v>
                  </c:pt>
                  <c:pt idx="40">
                    <c:v>CHARTFIELD SURGERY</c:v>
                  </c:pt>
                  <c:pt idx="41">
                    <c:v>DANEBURY AVENUE SURGERY</c:v>
                  </c:pt>
                  <c:pt idx="42">
                    <c:v>INNER PARK ROAD HEALTH CENTRE</c:v>
                  </c:pt>
                  <c:pt idx="43">
                    <c:v>THE SURGERY</c:v>
                  </c:pt>
                  <c:pt idx="44">
                    <c:v>PUTNEYMEAD MEDICAL CENTRE</c:v>
                  </c:pt>
                  <c:pt idx="45">
                    <c:v>THE ALTON PRACTICE</c:v>
                  </c:pt>
                  <c:pt idx="46">
                    <c:v>THE PUTNEY SURGERY</c:v>
                  </c:pt>
                  <c:pt idx="47">
                    <c:v>MAYFIELD SURGERY</c:v>
                  </c:pt>
                  <c:pt idx="48">
                    <c:v>TUDOR LODGE HEALTH CENTRE</c:v>
                  </c:pt>
                  <c:pt idx="49">
                    <c:v>ST PAUL'S COTTAGE PRACTICE</c:v>
                  </c:pt>
                </c:lvl>
                <c:lvl>
                  <c:pt idx="0">
                    <c:v>South</c:v>
                  </c:pt>
                  <c:pt idx="17">
                    <c:v>Central</c:v>
                  </c:pt>
                  <c:pt idx="27">
                    <c:v>North</c:v>
                  </c:pt>
                  <c:pt idx="38">
                    <c:v>West</c:v>
                  </c:pt>
                </c:lvl>
              </c:multiLvlStrCache>
            </c:multiLvlStrRef>
          </c:cat>
          <c:val>
            <c:numRef>
              <c:f>'IMD FEV'!$P$6:$P$55</c:f>
              <c:numCache>
                <c:formatCode>0.0%</c:formatCode>
                <c:ptCount val="50"/>
                <c:pt idx="0">
                  <c:v>0.75000000000000155</c:v>
                </c:pt>
                <c:pt idx="1">
                  <c:v>0.75000000000000155</c:v>
                </c:pt>
                <c:pt idx="2">
                  <c:v>0.75000000000000155</c:v>
                </c:pt>
                <c:pt idx="3">
                  <c:v>0.75000000000000155</c:v>
                </c:pt>
                <c:pt idx="4">
                  <c:v>0.75000000000000155</c:v>
                </c:pt>
                <c:pt idx="5">
                  <c:v>0.75000000000000155</c:v>
                </c:pt>
                <c:pt idx="6">
                  <c:v>0.75000000000000155</c:v>
                </c:pt>
                <c:pt idx="7">
                  <c:v>0.75000000000000155</c:v>
                </c:pt>
                <c:pt idx="8">
                  <c:v>0.75000000000000155</c:v>
                </c:pt>
                <c:pt idx="9">
                  <c:v>0.75000000000000155</c:v>
                </c:pt>
                <c:pt idx="10">
                  <c:v>0.75000000000000155</c:v>
                </c:pt>
                <c:pt idx="11">
                  <c:v>0.75000000000000155</c:v>
                </c:pt>
                <c:pt idx="12">
                  <c:v>0.75000000000000155</c:v>
                </c:pt>
                <c:pt idx="13">
                  <c:v>0.75000000000000155</c:v>
                </c:pt>
                <c:pt idx="14">
                  <c:v>0.75000000000000155</c:v>
                </c:pt>
                <c:pt idx="15">
                  <c:v>0.75000000000000155</c:v>
                </c:pt>
                <c:pt idx="16">
                  <c:v>0.75000000000000155</c:v>
                </c:pt>
                <c:pt idx="17">
                  <c:v>0.75000000000000155</c:v>
                </c:pt>
                <c:pt idx="18">
                  <c:v>0.75000000000000155</c:v>
                </c:pt>
                <c:pt idx="19">
                  <c:v>0.75000000000000155</c:v>
                </c:pt>
                <c:pt idx="20">
                  <c:v>0.75000000000000155</c:v>
                </c:pt>
                <c:pt idx="21">
                  <c:v>0.75000000000000155</c:v>
                </c:pt>
                <c:pt idx="22">
                  <c:v>0.75000000000000155</c:v>
                </c:pt>
                <c:pt idx="23">
                  <c:v>0.75000000000000155</c:v>
                </c:pt>
                <c:pt idx="24">
                  <c:v>0.75000000000000155</c:v>
                </c:pt>
                <c:pt idx="25">
                  <c:v>0.75000000000000155</c:v>
                </c:pt>
                <c:pt idx="26">
                  <c:v>0.75000000000000155</c:v>
                </c:pt>
                <c:pt idx="27">
                  <c:v>0.75000000000000155</c:v>
                </c:pt>
                <c:pt idx="28">
                  <c:v>0.75000000000000155</c:v>
                </c:pt>
                <c:pt idx="29">
                  <c:v>0.75000000000000155</c:v>
                </c:pt>
                <c:pt idx="30">
                  <c:v>0.75000000000000155</c:v>
                </c:pt>
                <c:pt idx="31">
                  <c:v>0.75000000000000155</c:v>
                </c:pt>
                <c:pt idx="32">
                  <c:v>0.75000000000000155</c:v>
                </c:pt>
                <c:pt idx="33">
                  <c:v>0.75000000000000155</c:v>
                </c:pt>
                <c:pt idx="34">
                  <c:v>0.75000000000000155</c:v>
                </c:pt>
                <c:pt idx="35">
                  <c:v>0.75000000000000155</c:v>
                </c:pt>
                <c:pt idx="36">
                  <c:v>0.75000000000000155</c:v>
                </c:pt>
                <c:pt idx="37">
                  <c:v>0.75000000000000155</c:v>
                </c:pt>
                <c:pt idx="38">
                  <c:v>0.75000000000000155</c:v>
                </c:pt>
                <c:pt idx="39">
                  <c:v>0.75000000000000155</c:v>
                </c:pt>
                <c:pt idx="40">
                  <c:v>0.75000000000000155</c:v>
                </c:pt>
                <c:pt idx="41">
                  <c:v>0.75000000000000155</c:v>
                </c:pt>
                <c:pt idx="42">
                  <c:v>0.75000000000000155</c:v>
                </c:pt>
                <c:pt idx="43">
                  <c:v>0.75000000000000155</c:v>
                </c:pt>
                <c:pt idx="44">
                  <c:v>0.75000000000000155</c:v>
                </c:pt>
                <c:pt idx="45">
                  <c:v>0.75000000000000155</c:v>
                </c:pt>
                <c:pt idx="46">
                  <c:v>0.75000000000000155</c:v>
                </c:pt>
                <c:pt idx="47">
                  <c:v>0.75000000000000155</c:v>
                </c:pt>
                <c:pt idx="48">
                  <c:v>0.75000000000000155</c:v>
                </c:pt>
                <c:pt idx="49">
                  <c:v>0.75000000000000155</c:v>
                </c:pt>
              </c:numCache>
            </c:numRef>
          </c:val>
        </c:ser>
        <c:marker val="1"/>
        <c:axId val="79342592"/>
        <c:axId val="79360768"/>
      </c:lineChart>
      <c:catAx>
        <c:axId val="79342592"/>
        <c:scaling>
          <c:orientation val="minMax"/>
        </c:scaling>
        <c:axPos val="b"/>
        <c:numFmt formatCode="General" sourceLinked="1"/>
        <c:majorTickMark val="none"/>
        <c:tickLblPos val="nextTo"/>
        <c:txPr>
          <a:bodyPr/>
          <a:lstStyle/>
          <a:p>
            <a:pPr>
              <a:defRPr sz="800"/>
            </a:pPr>
            <a:endParaRPr lang="en-US"/>
          </a:p>
        </c:txPr>
        <c:crossAx val="79360768"/>
        <c:crosses val="autoZero"/>
        <c:auto val="1"/>
        <c:lblAlgn val="ctr"/>
        <c:lblOffset val="100"/>
      </c:catAx>
      <c:valAx>
        <c:axId val="79360768"/>
        <c:scaling>
          <c:orientation val="minMax"/>
          <c:max val="1"/>
        </c:scaling>
        <c:axPos val="l"/>
        <c:majorGridlines/>
        <c:numFmt formatCode="0%" sourceLinked="0"/>
        <c:majorTickMark val="none"/>
        <c:tickLblPos val="nextTo"/>
        <c:crossAx val="79342592"/>
        <c:crosses val="autoZero"/>
        <c:crossBetween val="between"/>
      </c:valAx>
    </c:plotArea>
    <c:legend>
      <c:legendPos val="r"/>
      <c:legendEntry>
        <c:idx val="0"/>
        <c:delete val="1"/>
      </c:legendEntry>
      <c:legendEntry>
        <c:idx val="2"/>
        <c:delete val="1"/>
      </c:legendEntry>
      <c:layout>
        <c:manualLayout>
          <c:xMode val="edge"/>
          <c:yMode val="edge"/>
          <c:x val="0.82966407814588716"/>
          <c:y val="3.1538496912575036E-2"/>
          <c:w val="0.16776713488213005"/>
          <c:h val="0.14779993175853168"/>
        </c:manualLayout>
      </c:layou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roundedCorners val="1"/>
  <c:chart>
    <c:title>
      <c:tx>
        <c:rich>
          <a:bodyPr/>
          <a:lstStyle/>
          <a:p>
            <a:pPr>
              <a:defRPr/>
            </a:pPr>
            <a:r>
              <a:rPr lang="en-US"/>
              <a:t>The percentage of patients with COPD with a record of FeV1 by deprevation index of practice</a:t>
            </a:r>
          </a:p>
        </c:rich>
      </c:tx>
      <c:layout>
        <c:manualLayout>
          <c:xMode val="edge"/>
          <c:yMode val="edge"/>
          <c:x val="0.10344266021865429"/>
          <c:y val="1.7353579175704993E-2"/>
        </c:manualLayout>
      </c:layout>
    </c:title>
    <c:plotArea>
      <c:layout/>
      <c:scatterChart>
        <c:scatterStyle val="lineMarker"/>
        <c:ser>
          <c:idx val="0"/>
          <c:order val="0"/>
          <c:tx>
            <c:strRef>
              <c:f>'IMD FEV'!$D$102</c:f>
              <c:strCache>
                <c:ptCount val="1"/>
                <c:pt idx="0">
                  <c:v>COPD10 The percentage of patients with COPD with a record of FeV1 in the previous 15 months</c:v>
                </c:pt>
              </c:strCache>
            </c:strRef>
          </c:tx>
          <c:spPr>
            <a:ln w="28575">
              <a:noFill/>
            </a:ln>
          </c:spPr>
          <c:trendline>
            <c:trendlineType val="linear"/>
            <c:dispRSqr val="1"/>
            <c:trendlineLbl>
              <c:layout>
                <c:manualLayout>
                  <c:x val="1.1506566332432488E-3"/>
                  <c:y val="2.8307619233324258E-2"/>
                </c:manualLayout>
              </c:layout>
              <c:numFmt formatCode="General" sourceLinked="0"/>
            </c:trendlineLbl>
          </c:trendline>
          <c:trendline>
            <c:trendlineType val="linear"/>
          </c:trendline>
          <c:trendline>
            <c:trendlineType val="linear"/>
          </c:trendline>
          <c:xVal>
            <c:numRef>
              <c:f>'IMD FEV'!$C$103:$C$150</c:f>
              <c:numCache>
                <c:formatCode>0.0</c:formatCode>
                <c:ptCount val="48"/>
                <c:pt idx="0">
                  <c:v>17.997701327826988</c:v>
                </c:pt>
                <c:pt idx="1">
                  <c:v>28.662284684961076</c:v>
                </c:pt>
                <c:pt idx="2">
                  <c:v>28.50643641874802</c:v>
                </c:pt>
                <c:pt idx="3">
                  <c:v>13.337466393744172</c:v>
                </c:pt>
                <c:pt idx="4">
                  <c:v>19.927069187860418</c:v>
                </c:pt>
                <c:pt idx="5">
                  <c:v>27.524944141003658</c:v>
                </c:pt>
                <c:pt idx="6">
                  <c:v>10.593536727680856</c:v>
                </c:pt>
                <c:pt idx="7">
                  <c:v>25.532779630707449</c:v>
                </c:pt>
                <c:pt idx="8">
                  <c:v>20.912186469016891</c:v>
                </c:pt>
                <c:pt idx="9">
                  <c:v>19.857099238584222</c:v>
                </c:pt>
                <c:pt idx="10">
                  <c:v>15.593893216605341</c:v>
                </c:pt>
                <c:pt idx="11">
                  <c:v>21.045059224344627</c:v>
                </c:pt>
                <c:pt idx="12">
                  <c:v>18.287665450741152</c:v>
                </c:pt>
                <c:pt idx="13">
                  <c:v>24.161087055969585</c:v>
                </c:pt>
                <c:pt idx="14">
                  <c:v>26.414870268542131</c:v>
                </c:pt>
                <c:pt idx="15">
                  <c:v>18.818128199073765</c:v>
                </c:pt>
                <c:pt idx="16">
                  <c:v>14.268707449970693</c:v>
                </c:pt>
                <c:pt idx="17">
                  <c:v>24.576206383493627</c:v>
                </c:pt>
                <c:pt idx="18">
                  <c:v>19.84952472790269</c:v>
                </c:pt>
                <c:pt idx="19">
                  <c:v>11.353885574617848</c:v>
                </c:pt>
                <c:pt idx="20">
                  <c:v>13.687098700245715</c:v>
                </c:pt>
                <c:pt idx="21">
                  <c:v>30.102613177648685</c:v>
                </c:pt>
                <c:pt idx="22">
                  <c:v>17.239747570268687</c:v>
                </c:pt>
                <c:pt idx="23">
                  <c:v>30.410705850828414</c:v>
                </c:pt>
                <c:pt idx="24">
                  <c:v>21.688155038934674</c:v>
                </c:pt>
                <c:pt idx="25">
                  <c:v>20.763661659489763</c:v>
                </c:pt>
                <c:pt idx="26">
                  <c:v>18.245018353875189</c:v>
                </c:pt>
                <c:pt idx="27">
                  <c:v>18.96282162088897</c:v>
                </c:pt>
                <c:pt idx="28">
                  <c:v>23.91601933331718</c:v>
                </c:pt>
                <c:pt idx="29">
                  <c:v>25.884969318229349</c:v>
                </c:pt>
                <c:pt idx="30">
                  <c:v>19.426292748763824</c:v>
                </c:pt>
                <c:pt idx="32">
                  <c:v>33.861407137857896</c:v>
                </c:pt>
                <c:pt idx="33">
                  <c:v>11.519968979570098</c:v>
                </c:pt>
                <c:pt idx="34">
                  <c:v>26.855756048172189</c:v>
                </c:pt>
                <c:pt idx="35">
                  <c:v>17.159383259289005</c:v>
                </c:pt>
                <c:pt idx="36">
                  <c:v>21.410431952812068</c:v>
                </c:pt>
                <c:pt idx="37">
                  <c:v>19.17147064675909</c:v>
                </c:pt>
                <c:pt idx="38">
                  <c:v>19.04465322755766</c:v>
                </c:pt>
                <c:pt idx="39">
                  <c:v>22.323008570928799</c:v>
                </c:pt>
                <c:pt idx="40">
                  <c:v>21.698672424930919</c:v>
                </c:pt>
                <c:pt idx="41">
                  <c:v>21.397277471709685</c:v>
                </c:pt>
                <c:pt idx="42">
                  <c:v>23.833397123671951</c:v>
                </c:pt>
                <c:pt idx="43">
                  <c:v>21.988170883426694</c:v>
                </c:pt>
                <c:pt idx="44">
                  <c:v>23.685121950931489</c:v>
                </c:pt>
                <c:pt idx="45">
                  <c:v>14.901126549233515</c:v>
                </c:pt>
                <c:pt idx="46">
                  <c:v>25.869622006005589</c:v>
                </c:pt>
                <c:pt idx="47">
                  <c:v>17.921202001008322</c:v>
                </c:pt>
              </c:numCache>
            </c:numRef>
          </c:xVal>
          <c:yVal>
            <c:numRef>
              <c:f>'IMD FEV'!$D$103:$D$150</c:f>
              <c:numCache>
                <c:formatCode>0.0%</c:formatCode>
                <c:ptCount val="48"/>
                <c:pt idx="0">
                  <c:v>0.80645161867142179</c:v>
                </c:pt>
                <c:pt idx="1">
                  <c:v>0.87142854928970304</c:v>
                </c:pt>
                <c:pt idx="2">
                  <c:v>0.81372547149659147</c:v>
                </c:pt>
                <c:pt idx="3">
                  <c:v>0.78260868787765459</c:v>
                </c:pt>
                <c:pt idx="4">
                  <c:v>0.62222224473953203</c:v>
                </c:pt>
                <c:pt idx="5">
                  <c:v>0.8536585569381806</c:v>
                </c:pt>
                <c:pt idx="6">
                  <c:v>0.84112149477005005</c:v>
                </c:pt>
                <c:pt idx="7">
                  <c:v>0.51515150070189997</c:v>
                </c:pt>
                <c:pt idx="8">
                  <c:v>0.54166668653488736</c:v>
                </c:pt>
                <c:pt idx="9">
                  <c:v>0.42857143282890298</c:v>
                </c:pt>
                <c:pt idx="10">
                  <c:v>0.7878788113594124</c:v>
                </c:pt>
                <c:pt idx="11">
                  <c:v>0.84375000000000433</c:v>
                </c:pt>
                <c:pt idx="12">
                  <c:v>0.46875</c:v>
                </c:pt>
                <c:pt idx="13">
                  <c:v>0.82317072153091397</c:v>
                </c:pt>
                <c:pt idx="14">
                  <c:v>0.77272725105286044</c:v>
                </c:pt>
                <c:pt idx="15">
                  <c:v>0.84615385532379817</c:v>
                </c:pt>
                <c:pt idx="16">
                  <c:v>0.84210526943206798</c:v>
                </c:pt>
                <c:pt idx="17">
                  <c:v>0.80303031206131004</c:v>
                </c:pt>
                <c:pt idx="18">
                  <c:v>0.8125</c:v>
                </c:pt>
                <c:pt idx="19">
                  <c:v>0.89189189672470648</c:v>
                </c:pt>
                <c:pt idx="20">
                  <c:v>0.70491802692413363</c:v>
                </c:pt>
                <c:pt idx="21">
                  <c:v>0.79629629850388228</c:v>
                </c:pt>
                <c:pt idx="22">
                  <c:v>0.73913043737412276</c:v>
                </c:pt>
                <c:pt idx="23">
                  <c:v>0.75471699237823564</c:v>
                </c:pt>
                <c:pt idx="24">
                  <c:v>0.75675678253173795</c:v>
                </c:pt>
                <c:pt idx="25">
                  <c:v>0.75757575035095204</c:v>
                </c:pt>
                <c:pt idx="26">
                  <c:v>0.88888889551162698</c:v>
                </c:pt>
                <c:pt idx="27">
                  <c:v>0.95238095521926858</c:v>
                </c:pt>
                <c:pt idx="28">
                  <c:v>0.87323945760726895</c:v>
                </c:pt>
                <c:pt idx="29">
                  <c:v>0.66666668653489169</c:v>
                </c:pt>
                <c:pt idx="30">
                  <c:v>0.9696969985961974</c:v>
                </c:pt>
                <c:pt idx="31">
                  <c:v>0.80645161867142179</c:v>
                </c:pt>
                <c:pt idx="32">
                  <c:v>0</c:v>
                </c:pt>
                <c:pt idx="33">
                  <c:v>0.80882352590560858</c:v>
                </c:pt>
                <c:pt idx="34">
                  <c:v>0.89795917272567705</c:v>
                </c:pt>
                <c:pt idx="35">
                  <c:v>0.60000002384185802</c:v>
                </c:pt>
                <c:pt idx="36">
                  <c:v>0.66666668653489169</c:v>
                </c:pt>
                <c:pt idx="37">
                  <c:v>0.77999997138978183</c:v>
                </c:pt>
                <c:pt idx="38">
                  <c:v>0</c:v>
                </c:pt>
                <c:pt idx="39">
                  <c:v>0.81818181276321833</c:v>
                </c:pt>
                <c:pt idx="40">
                  <c:v>0.66666668653489169</c:v>
                </c:pt>
                <c:pt idx="41">
                  <c:v>0.65217393636704002</c:v>
                </c:pt>
                <c:pt idx="42">
                  <c:v>0.91836732625961259</c:v>
                </c:pt>
                <c:pt idx="43">
                  <c:v>1</c:v>
                </c:pt>
                <c:pt idx="44">
                  <c:v>0.53333336114883356</c:v>
                </c:pt>
                <c:pt idx="45">
                  <c:v>1</c:v>
                </c:pt>
                <c:pt idx="46">
                  <c:v>8.3333335816860227E-2</c:v>
                </c:pt>
                <c:pt idx="47">
                  <c:v>0.7108433842659001</c:v>
                </c:pt>
              </c:numCache>
            </c:numRef>
          </c:yVal>
        </c:ser>
        <c:axId val="79453184"/>
        <c:axId val="79459456"/>
      </c:scatterChart>
      <c:valAx>
        <c:axId val="79453184"/>
        <c:scaling>
          <c:orientation val="minMax"/>
        </c:scaling>
        <c:axPos val="b"/>
        <c:title>
          <c:tx>
            <c:rich>
              <a:bodyPr/>
              <a:lstStyle/>
              <a:p>
                <a:pPr>
                  <a:defRPr/>
                </a:pPr>
                <a:r>
                  <a:rPr lang="en-GB"/>
                  <a:t>Average IMD of GP Practices</a:t>
                </a:r>
              </a:p>
            </c:rich>
          </c:tx>
        </c:title>
        <c:numFmt formatCode="0.0" sourceLinked="1"/>
        <c:majorTickMark val="none"/>
        <c:tickLblPos val="nextTo"/>
        <c:crossAx val="79459456"/>
        <c:crosses val="autoZero"/>
        <c:crossBetween val="midCat"/>
      </c:valAx>
      <c:valAx>
        <c:axId val="79459456"/>
        <c:scaling>
          <c:orientation val="minMax"/>
          <c:max val="1"/>
        </c:scaling>
        <c:axPos val="l"/>
        <c:majorGridlines/>
        <c:title>
          <c:tx>
            <c:rich>
              <a:bodyPr/>
              <a:lstStyle/>
              <a:p>
                <a:pPr>
                  <a:defRPr/>
                </a:pPr>
                <a:r>
                  <a:rPr lang="en-US" sz="1200" b="1" i="0" baseline="0"/>
                  <a:t>The percentage of patients with COPD with a record of FeV1 in the previous 15 months</a:t>
                </a:r>
                <a:endParaRPr lang="en-GB" sz="1200"/>
              </a:p>
            </c:rich>
          </c:tx>
        </c:title>
        <c:numFmt formatCode="0%" sourceLinked="0"/>
        <c:majorTickMark val="none"/>
        <c:tickLblPos val="nextTo"/>
        <c:crossAx val="79453184"/>
        <c:crosses val="autoZero"/>
        <c:crossBetween val="midCat"/>
      </c:valAx>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800" b="1" i="0" u="none" strike="noStrike" baseline="0"/>
              <a:t>% of patients with COPD with diagnosis confirmed by post bronchodilator spirometry </a:t>
            </a:r>
            <a:endParaRPr lang="en-GB"/>
          </a:p>
        </c:rich>
      </c:tx>
    </c:title>
    <c:plotArea>
      <c:layout>
        <c:manualLayout>
          <c:layoutTarget val="inner"/>
          <c:xMode val="edge"/>
          <c:yMode val="edge"/>
          <c:x val="4.9998042460870445E-2"/>
          <c:y val="0.20152696102860557"/>
          <c:w val="0.87529324732923863"/>
          <c:h val="0.36561303254814664"/>
        </c:manualLayout>
      </c:layout>
      <c:barChart>
        <c:barDir val="col"/>
        <c:grouping val="stacked"/>
        <c:ser>
          <c:idx val="3"/>
          <c:order val="0"/>
          <c:tx>
            <c:strRef>
              <c:f>'IMD FEV'!$M$5</c:f>
              <c:strCache>
                <c:ptCount val="1"/>
                <c:pt idx="0">
                  <c:v>% of patients with COPD with diagnosis confirmed by post bronchodilator spirometry</c:v>
                </c:pt>
              </c:strCache>
            </c:strRef>
          </c:tx>
          <c:cat>
            <c:multiLvlStrRef>
              <c:f>'IMD FEV'!$H$6:$I$55</c:f>
              <c:multiLvlStrCache>
                <c:ptCount val="50"/>
                <c:lvl>
                  <c:pt idx="0">
                    <c:v>TOOTING BEC SURGERY</c:v>
                  </c:pt>
                  <c:pt idx="1">
                    <c:v>FURZEDOWN PRIMARY CARE CENTRE</c:v>
                  </c:pt>
                  <c:pt idx="2">
                    <c:v>THE FRANCISCAN SURGERY</c:v>
                  </c:pt>
                  <c:pt idx="3">
                    <c:v>BALHAM HEALTH CENTRE</c:v>
                  </c:pt>
                  <c:pt idx="4">
                    <c:v>SAI MEDICAL CENTRE</c:v>
                  </c:pt>
                  <c:pt idx="5">
                    <c:v>DR NICHOLAS &amp; PARTNERS</c:v>
                  </c:pt>
                  <c:pt idx="6">
                    <c:v>THE GRAYSWOOD PRACTICE</c:v>
                  </c:pt>
                  <c:pt idx="7">
                    <c:v>BALHAM PARK SURGERY</c:v>
                  </c:pt>
                  <c:pt idx="8">
                    <c:v>MITCHAM ROAD SURGERY</c:v>
                  </c:pt>
                  <c:pt idx="9">
                    <c:v>TOOTING SOUTH MEDICAL CENTRE</c:v>
                  </c:pt>
                  <c:pt idx="10">
                    <c:v>BEDFORD HILL FAMILY PRACTICE</c:v>
                  </c:pt>
                  <c:pt idx="11">
                    <c:v>STREATHAM PARK SURGERY</c:v>
                  </c:pt>
                  <c:pt idx="12">
                    <c:v>WATERFALL HOUSE</c:v>
                  </c:pt>
                  <c:pt idx="13">
                    <c:v>BALHAM HILL MEDICAL PRACTICE</c:v>
                  </c:pt>
                  <c:pt idx="14">
                    <c:v>THURLEIGH ROAD PRACTICE</c:v>
                  </c:pt>
                  <c:pt idx="15">
                    <c:v>OPEN DOOR SURGERY</c:v>
                  </c:pt>
                  <c:pt idx="17">
                    <c:v>GRANVILLE ROAD SURGERY</c:v>
                  </c:pt>
                  <c:pt idx="18">
                    <c:v>EARLSFIELD SURGERY</c:v>
                  </c:pt>
                  <c:pt idx="19">
                    <c:v>ST. JOHN'S HILL PRACTICE</c:v>
                  </c:pt>
                  <c:pt idx="20">
                    <c:v>SOUTHFIELDS GROUP PRACTICE</c:v>
                  </c:pt>
                  <c:pt idx="21">
                    <c:v>THE MEDICAL CENTRE</c:v>
                  </c:pt>
                  <c:pt idx="22">
                    <c:v>THE SURGERY</c:v>
                  </c:pt>
                  <c:pt idx="23">
                    <c:v>BROCKLEBANK HEALTH CENTRE</c:v>
                  </c:pt>
                  <c:pt idx="24">
                    <c:v>ELBOROUGH STREET SURGERY</c:v>
                  </c:pt>
                  <c:pt idx="25">
                    <c:v>TRIANGLE SURGERY</c:v>
                  </c:pt>
                  <c:pt idx="27">
                    <c:v>NORTHCOTE ROAD SURGERY</c:v>
                  </c:pt>
                  <c:pt idx="28">
                    <c:v>LAVENDER HILL SURGERY</c:v>
                  </c:pt>
                  <c:pt idx="29">
                    <c:v>BRIDGE LANE GROUP PRACTICE</c:v>
                  </c:pt>
                  <c:pt idx="30">
                    <c:v>LAVENDER HILL GROUP PRACTICE</c:v>
                  </c:pt>
                  <c:pt idx="31">
                    <c:v>CHATFIELD MEDICAL CENTRE</c:v>
                  </c:pt>
                  <c:pt idx="32">
                    <c:v>QUEENSTOWN ROAD MEDICAL PRACTICE</c:v>
                  </c:pt>
                  <c:pt idx="33">
                    <c:v>BATTERSEA FIELDS PRACTICE</c:v>
                  </c:pt>
                  <c:pt idx="34">
                    <c:v>BATTERSEA RISE GROUP PRACTICE</c:v>
                  </c:pt>
                  <c:pt idx="35">
                    <c:v>THE FALCON ROAD MEDICAL CENTRE</c:v>
                  </c:pt>
                  <c:pt idx="36">
                    <c:v>THE HERITAGE MEDICAL CENTRE</c:v>
                  </c:pt>
                  <c:pt idx="38">
                    <c:v>THE HEATHBRIDGE PRACTICE</c:v>
                  </c:pt>
                  <c:pt idx="39">
                    <c:v>MAYFIELD SURGERY</c:v>
                  </c:pt>
                  <c:pt idx="40">
                    <c:v>THE ROEHAMPTON SURGERY</c:v>
                  </c:pt>
                  <c:pt idx="41">
                    <c:v>DANEBURY AVENUE SURGERY</c:v>
                  </c:pt>
                  <c:pt idx="42">
                    <c:v>THE SURGERY</c:v>
                  </c:pt>
                  <c:pt idx="43">
                    <c:v>PUTNEYMEAD MEDICAL CENTRE</c:v>
                  </c:pt>
                  <c:pt idx="44">
                    <c:v>CHARTFIELD SURGERY</c:v>
                  </c:pt>
                  <c:pt idx="45">
                    <c:v>THE ALTON PRACTICE</c:v>
                  </c:pt>
                  <c:pt idx="46">
                    <c:v>INNER PARK ROAD HEALTH CENTRE</c:v>
                  </c:pt>
                  <c:pt idx="47">
                    <c:v>THE PUTNEY SURGERY</c:v>
                  </c:pt>
                  <c:pt idx="48">
                    <c:v>TUDOR LODGE HEALTH CENTRE</c:v>
                  </c:pt>
                  <c:pt idx="49">
                    <c:v>ST PAUL'S COTTAGE PRACTICE</c:v>
                  </c:pt>
                </c:lvl>
                <c:lvl>
                  <c:pt idx="0">
                    <c:v>South</c:v>
                  </c:pt>
                  <c:pt idx="17">
                    <c:v>Central</c:v>
                  </c:pt>
                  <c:pt idx="27">
                    <c:v>North</c:v>
                  </c:pt>
                  <c:pt idx="40">
                    <c:v>West</c:v>
                  </c:pt>
                </c:lvl>
              </c:multiLvlStrCache>
            </c:multiLvlStrRef>
          </c:cat>
          <c:val>
            <c:numRef>
              <c:f>'IMD FEV'!$M$6:$M$55</c:f>
              <c:numCache>
                <c:formatCode>0.0%</c:formatCode>
                <c:ptCount val="50"/>
                <c:pt idx="0">
                  <c:v>0</c:v>
                </c:pt>
                <c:pt idx="1">
                  <c:v>0</c:v>
                </c:pt>
                <c:pt idx="2">
                  <c:v>0</c:v>
                </c:pt>
                <c:pt idx="3">
                  <c:v>0</c:v>
                </c:pt>
                <c:pt idx="4">
                  <c:v>0</c:v>
                </c:pt>
                <c:pt idx="5">
                  <c:v>0.69230771064758456</c:v>
                </c:pt>
                <c:pt idx="6">
                  <c:v>0.80000001192092896</c:v>
                </c:pt>
                <c:pt idx="7">
                  <c:v>0.87500000000000155</c:v>
                </c:pt>
                <c:pt idx="8">
                  <c:v>1</c:v>
                </c:pt>
                <c:pt idx="9">
                  <c:v>1</c:v>
                </c:pt>
                <c:pt idx="10">
                  <c:v>1</c:v>
                </c:pt>
                <c:pt idx="11">
                  <c:v>1</c:v>
                </c:pt>
                <c:pt idx="12">
                  <c:v>1</c:v>
                </c:pt>
                <c:pt idx="13">
                  <c:v>1</c:v>
                </c:pt>
                <c:pt idx="14">
                  <c:v>1</c:v>
                </c:pt>
                <c:pt idx="15">
                  <c:v>1</c:v>
                </c:pt>
                <c:pt idx="17">
                  <c:v>0</c:v>
                </c:pt>
                <c:pt idx="18">
                  <c:v>0</c:v>
                </c:pt>
                <c:pt idx="19">
                  <c:v>0.33333334326744268</c:v>
                </c:pt>
                <c:pt idx="20">
                  <c:v>0.85714286565780595</c:v>
                </c:pt>
                <c:pt idx="21">
                  <c:v>1</c:v>
                </c:pt>
                <c:pt idx="22">
                  <c:v>1</c:v>
                </c:pt>
                <c:pt idx="23">
                  <c:v>1</c:v>
                </c:pt>
                <c:pt idx="24">
                  <c:v>1</c:v>
                </c:pt>
                <c:pt idx="25">
                  <c:v>1</c:v>
                </c:pt>
                <c:pt idx="27">
                  <c:v>0</c:v>
                </c:pt>
                <c:pt idx="28">
                  <c:v>0</c:v>
                </c:pt>
                <c:pt idx="29">
                  <c:v>0.83333331346511863</c:v>
                </c:pt>
                <c:pt idx="30">
                  <c:v>0.91666668653488392</c:v>
                </c:pt>
                <c:pt idx="31">
                  <c:v>1</c:v>
                </c:pt>
                <c:pt idx="32">
                  <c:v>1</c:v>
                </c:pt>
                <c:pt idx="33">
                  <c:v>1</c:v>
                </c:pt>
                <c:pt idx="34">
                  <c:v>1</c:v>
                </c:pt>
                <c:pt idx="35">
                  <c:v>1</c:v>
                </c:pt>
                <c:pt idx="36">
                  <c:v>1</c:v>
                </c:pt>
                <c:pt idx="38">
                  <c:v>0.83333331346511863</c:v>
                </c:pt>
                <c:pt idx="39">
                  <c:v>0.85714286565780595</c:v>
                </c:pt>
                <c:pt idx="40">
                  <c:v>1</c:v>
                </c:pt>
                <c:pt idx="41">
                  <c:v>1</c:v>
                </c:pt>
                <c:pt idx="42">
                  <c:v>1</c:v>
                </c:pt>
                <c:pt idx="43">
                  <c:v>1</c:v>
                </c:pt>
                <c:pt idx="44">
                  <c:v>1</c:v>
                </c:pt>
                <c:pt idx="45">
                  <c:v>1</c:v>
                </c:pt>
                <c:pt idx="46">
                  <c:v>1</c:v>
                </c:pt>
                <c:pt idx="47">
                  <c:v>1</c:v>
                </c:pt>
                <c:pt idx="48">
                  <c:v>1</c:v>
                </c:pt>
                <c:pt idx="49">
                  <c:v>1</c:v>
                </c:pt>
              </c:numCache>
            </c:numRef>
          </c:val>
        </c:ser>
        <c:gapWidth val="55"/>
        <c:overlap val="100"/>
        <c:axId val="84763392"/>
        <c:axId val="84764928"/>
      </c:barChart>
      <c:lineChart>
        <c:grouping val="standard"/>
        <c:ser>
          <c:idx val="6"/>
          <c:order val="1"/>
          <c:tx>
            <c:strRef>
              <c:f>'IMD FEV'!$N$5</c:f>
              <c:strCache>
                <c:ptCount val="1"/>
                <c:pt idx="0">
                  <c:v>England</c:v>
                </c:pt>
              </c:strCache>
            </c:strRef>
          </c:tx>
          <c:marker>
            <c:symbol val="none"/>
          </c:marker>
          <c:cat>
            <c:multiLvlStrRef>
              <c:f>'IMD FEV'!$H$6:$I$55</c:f>
              <c:multiLvlStrCache>
                <c:ptCount val="50"/>
                <c:lvl>
                  <c:pt idx="0">
                    <c:v>TOOTING BEC SURGERY</c:v>
                  </c:pt>
                  <c:pt idx="1">
                    <c:v>FURZEDOWN PRIMARY CARE CENTRE</c:v>
                  </c:pt>
                  <c:pt idx="2">
                    <c:v>THE FRANCISCAN SURGERY</c:v>
                  </c:pt>
                  <c:pt idx="3">
                    <c:v>BALHAM HEALTH CENTRE</c:v>
                  </c:pt>
                  <c:pt idx="4">
                    <c:v>SAI MEDICAL CENTRE</c:v>
                  </c:pt>
                  <c:pt idx="5">
                    <c:v>DR NICHOLAS &amp; PARTNERS</c:v>
                  </c:pt>
                  <c:pt idx="6">
                    <c:v>THE GRAYSWOOD PRACTICE</c:v>
                  </c:pt>
                  <c:pt idx="7">
                    <c:v>BALHAM PARK SURGERY</c:v>
                  </c:pt>
                  <c:pt idx="8">
                    <c:v>MITCHAM ROAD SURGERY</c:v>
                  </c:pt>
                  <c:pt idx="9">
                    <c:v>TOOTING SOUTH MEDICAL CENTRE</c:v>
                  </c:pt>
                  <c:pt idx="10">
                    <c:v>BEDFORD HILL FAMILY PRACTICE</c:v>
                  </c:pt>
                  <c:pt idx="11">
                    <c:v>STREATHAM PARK SURGERY</c:v>
                  </c:pt>
                  <c:pt idx="12">
                    <c:v>WATERFALL HOUSE</c:v>
                  </c:pt>
                  <c:pt idx="13">
                    <c:v>BALHAM HILL MEDICAL PRACTICE</c:v>
                  </c:pt>
                  <c:pt idx="14">
                    <c:v>THURLEIGH ROAD PRACTICE</c:v>
                  </c:pt>
                  <c:pt idx="15">
                    <c:v>OPEN DOOR SURGERY</c:v>
                  </c:pt>
                  <c:pt idx="17">
                    <c:v>GRANVILLE ROAD SURGERY</c:v>
                  </c:pt>
                  <c:pt idx="18">
                    <c:v>EARLSFIELD SURGERY</c:v>
                  </c:pt>
                  <c:pt idx="19">
                    <c:v>ST. JOHN'S HILL PRACTICE</c:v>
                  </c:pt>
                  <c:pt idx="20">
                    <c:v>SOUTHFIELDS GROUP PRACTICE</c:v>
                  </c:pt>
                  <c:pt idx="21">
                    <c:v>THE MEDICAL CENTRE</c:v>
                  </c:pt>
                  <c:pt idx="22">
                    <c:v>THE SURGERY</c:v>
                  </c:pt>
                  <c:pt idx="23">
                    <c:v>BROCKLEBANK HEALTH CENTRE</c:v>
                  </c:pt>
                  <c:pt idx="24">
                    <c:v>ELBOROUGH STREET SURGERY</c:v>
                  </c:pt>
                  <c:pt idx="25">
                    <c:v>TRIANGLE SURGERY</c:v>
                  </c:pt>
                  <c:pt idx="27">
                    <c:v>NORTHCOTE ROAD SURGERY</c:v>
                  </c:pt>
                  <c:pt idx="28">
                    <c:v>LAVENDER HILL SURGERY</c:v>
                  </c:pt>
                  <c:pt idx="29">
                    <c:v>BRIDGE LANE GROUP PRACTICE</c:v>
                  </c:pt>
                  <c:pt idx="30">
                    <c:v>LAVENDER HILL GROUP PRACTICE</c:v>
                  </c:pt>
                  <c:pt idx="31">
                    <c:v>CHATFIELD MEDICAL CENTRE</c:v>
                  </c:pt>
                  <c:pt idx="32">
                    <c:v>QUEENSTOWN ROAD MEDICAL PRACTICE</c:v>
                  </c:pt>
                  <c:pt idx="33">
                    <c:v>BATTERSEA FIELDS PRACTICE</c:v>
                  </c:pt>
                  <c:pt idx="34">
                    <c:v>BATTERSEA RISE GROUP PRACTICE</c:v>
                  </c:pt>
                  <c:pt idx="35">
                    <c:v>THE FALCON ROAD MEDICAL CENTRE</c:v>
                  </c:pt>
                  <c:pt idx="36">
                    <c:v>THE HERITAGE MEDICAL CENTRE</c:v>
                  </c:pt>
                  <c:pt idx="38">
                    <c:v>THE HEATHBRIDGE PRACTICE</c:v>
                  </c:pt>
                  <c:pt idx="39">
                    <c:v>MAYFIELD SURGERY</c:v>
                  </c:pt>
                  <c:pt idx="40">
                    <c:v>THE ROEHAMPTON SURGERY</c:v>
                  </c:pt>
                  <c:pt idx="41">
                    <c:v>DANEBURY AVENUE SURGERY</c:v>
                  </c:pt>
                  <c:pt idx="42">
                    <c:v>THE SURGERY</c:v>
                  </c:pt>
                  <c:pt idx="43">
                    <c:v>PUTNEYMEAD MEDICAL CENTRE</c:v>
                  </c:pt>
                  <c:pt idx="44">
                    <c:v>CHARTFIELD SURGERY</c:v>
                  </c:pt>
                  <c:pt idx="45">
                    <c:v>THE ALTON PRACTICE</c:v>
                  </c:pt>
                  <c:pt idx="46">
                    <c:v>INNER PARK ROAD HEALTH CENTRE</c:v>
                  </c:pt>
                  <c:pt idx="47">
                    <c:v>THE PUTNEY SURGERY</c:v>
                  </c:pt>
                  <c:pt idx="48">
                    <c:v>TUDOR LODGE HEALTH CENTRE</c:v>
                  </c:pt>
                  <c:pt idx="49">
                    <c:v>ST PAUL'S COTTAGE PRACTICE</c:v>
                  </c:pt>
                </c:lvl>
                <c:lvl>
                  <c:pt idx="0">
                    <c:v>South</c:v>
                  </c:pt>
                  <c:pt idx="17">
                    <c:v>Central</c:v>
                  </c:pt>
                  <c:pt idx="27">
                    <c:v>North</c:v>
                  </c:pt>
                  <c:pt idx="40">
                    <c:v>West</c:v>
                  </c:pt>
                </c:lvl>
              </c:multiLvlStrCache>
            </c:multiLvlStrRef>
          </c:cat>
          <c:val>
            <c:numRef>
              <c:f>'IMD FEV'!$N$6:$N$55</c:f>
              <c:numCache>
                <c:formatCode>0.0%</c:formatCode>
                <c:ptCount val="50"/>
                <c:pt idx="0">
                  <c:v>0.90500000000000003</c:v>
                </c:pt>
                <c:pt idx="1">
                  <c:v>0.90500000000000003</c:v>
                </c:pt>
                <c:pt idx="2">
                  <c:v>0.90500000000000003</c:v>
                </c:pt>
                <c:pt idx="3">
                  <c:v>0.90500000000000003</c:v>
                </c:pt>
                <c:pt idx="4">
                  <c:v>0.90500000000000003</c:v>
                </c:pt>
                <c:pt idx="5">
                  <c:v>0.90500000000000003</c:v>
                </c:pt>
                <c:pt idx="6">
                  <c:v>0.90500000000000003</c:v>
                </c:pt>
                <c:pt idx="7">
                  <c:v>0.90500000000000003</c:v>
                </c:pt>
                <c:pt idx="8">
                  <c:v>0.90500000000000003</c:v>
                </c:pt>
                <c:pt idx="9">
                  <c:v>0.90500000000000003</c:v>
                </c:pt>
                <c:pt idx="10">
                  <c:v>0.90500000000000003</c:v>
                </c:pt>
                <c:pt idx="11">
                  <c:v>0.90500000000000003</c:v>
                </c:pt>
                <c:pt idx="12">
                  <c:v>0.90500000000000003</c:v>
                </c:pt>
                <c:pt idx="13">
                  <c:v>0.90500000000000003</c:v>
                </c:pt>
                <c:pt idx="14">
                  <c:v>0.90500000000000003</c:v>
                </c:pt>
                <c:pt idx="15">
                  <c:v>0.90500000000000003</c:v>
                </c:pt>
                <c:pt idx="16">
                  <c:v>0.90500000000000003</c:v>
                </c:pt>
                <c:pt idx="17">
                  <c:v>0.90500000000000003</c:v>
                </c:pt>
                <c:pt idx="18">
                  <c:v>0.90500000000000003</c:v>
                </c:pt>
                <c:pt idx="19">
                  <c:v>0.90500000000000003</c:v>
                </c:pt>
                <c:pt idx="20">
                  <c:v>0.90500000000000003</c:v>
                </c:pt>
                <c:pt idx="21">
                  <c:v>0.90500000000000003</c:v>
                </c:pt>
                <c:pt idx="22">
                  <c:v>0.90500000000000003</c:v>
                </c:pt>
                <c:pt idx="23">
                  <c:v>0.90500000000000003</c:v>
                </c:pt>
                <c:pt idx="24">
                  <c:v>0.90500000000000003</c:v>
                </c:pt>
                <c:pt idx="25">
                  <c:v>0.90500000000000003</c:v>
                </c:pt>
                <c:pt idx="26">
                  <c:v>0.90500000000000003</c:v>
                </c:pt>
                <c:pt idx="27">
                  <c:v>0.90500000000000003</c:v>
                </c:pt>
                <c:pt idx="28">
                  <c:v>0.90500000000000003</c:v>
                </c:pt>
                <c:pt idx="29">
                  <c:v>0.90500000000000003</c:v>
                </c:pt>
                <c:pt idx="30">
                  <c:v>0.90500000000000003</c:v>
                </c:pt>
                <c:pt idx="31">
                  <c:v>0.90500000000000003</c:v>
                </c:pt>
                <c:pt idx="32">
                  <c:v>0.90500000000000003</c:v>
                </c:pt>
                <c:pt idx="33">
                  <c:v>0.90500000000000003</c:v>
                </c:pt>
                <c:pt idx="34">
                  <c:v>0.90500000000000003</c:v>
                </c:pt>
                <c:pt idx="35">
                  <c:v>0.90500000000000003</c:v>
                </c:pt>
                <c:pt idx="36">
                  <c:v>0.90500000000000003</c:v>
                </c:pt>
                <c:pt idx="37">
                  <c:v>0.90500000000000003</c:v>
                </c:pt>
                <c:pt idx="38">
                  <c:v>0.90500000000000003</c:v>
                </c:pt>
                <c:pt idx="39">
                  <c:v>0.90500000000000003</c:v>
                </c:pt>
                <c:pt idx="40">
                  <c:v>0.90500000000000003</c:v>
                </c:pt>
                <c:pt idx="41">
                  <c:v>0.90500000000000003</c:v>
                </c:pt>
                <c:pt idx="42">
                  <c:v>0.90500000000000003</c:v>
                </c:pt>
                <c:pt idx="43">
                  <c:v>0.90500000000000003</c:v>
                </c:pt>
                <c:pt idx="44">
                  <c:v>0.90500000000000003</c:v>
                </c:pt>
                <c:pt idx="45">
                  <c:v>0.90500000000000003</c:v>
                </c:pt>
                <c:pt idx="46">
                  <c:v>0.90500000000000003</c:v>
                </c:pt>
                <c:pt idx="47">
                  <c:v>0.90500000000000003</c:v>
                </c:pt>
                <c:pt idx="48">
                  <c:v>0.90500000000000003</c:v>
                </c:pt>
                <c:pt idx="49">
                  <c:v>0.90500000000000003</c:v>
                </c:pt>
              </c:numCache>
            </c:numRef>
          </c:val>
        </c:ser>
        <c:ser>
          <c:idx val="7"/>
          <c:order val="2"/>
          <c:tx>
            <c:strRef>
              <c:f>'IMD FEV'!$O$5</c:f>
              <c:strCache>
                <c:ptCount val="1"/>
                <c:pt idx="0">
                  <c:v>London</c:v>
                </c:pt>
              </c:strCache>
            </c:strRef>
          </c:tx>
          <c:marker>
            <c:symbol val="none"/>
          </c:marker>
          <c:cat>
            <c:multiLvlStrRef>
              <c:f>'IMD FEV'!$H$6:$I$55</c:f>
              <c:multiLvlStrCache>
                <c:ptCount val="50"/>
                <c:lvl>
                  <c:pt idx="0">
                    <c:v>TOOTING BEC SURGERY</c:v>
                  </c:pt>
                  <c:pt idx="1">
                    <c:v>FURZEDOWN PRIMARY CARE CENTRE</c:v>
                  </c:pt>
                  <c:pt idx="2">
                    <c:v>THE FRANCISCAN SURGERY</c:v>
                  </c:pt>
                  <c:pt idx="3">
                    <c:v>BALHAM HEALTH CENTRE</c:v>
                  </c:pt>
                  <c:pt idx="4">
                    <c:v>SAI MEDICAL CENTRE</c:v>
                  </c:pt>
                  <c:pt idx="5">
                    <c:v>DR NICHOLAS &amp; PARTNERS</c:v>
                  </c:pt>
                  <c:pt idx="6">
                    <c:v>THE GRAYSWOOD PRACTICE</c:v>
                  </c:pt>
                  <c:pt idx="7">
                    <c:v>BALHAM PARK SURGERY</c:v>
                  </c:pt>
                  <c:pt idx="8">
                    <c:v>MITCHAM ROAD SURGERY</c:v>
                  </c:pt>
                  <c:pt idx="9">
                    <c:v>TOOTING SOUTH MEDICAL CENTRE</c:v>
                  </c:pt>
                  <c:pt idx="10">
                    <c:v>BEDFORD HILL FAMILY PRACTICE</c:v>
                  </c:pt>
                  <c:pt idx="11">
                    <c:v>STREATHAM PARK SURGERY</c:v>
                  </c:pt>
                  <c:pt idx="12">
                    <c:v>WATERFALL HOUSE</c:v>
                  </c:pt>
                  <c:pt idx="13">
                    <c:v>BALHAM HILL MEDICAL PRACTICE</c:v>
                  </c:pt>
                  <c:pt idx="14">
                    <c:v>THURLEIGH ROAD PRACTICE</c:v>
                  </c:pt>
                  <c:pt idx="15">
                    <c:v>OPEN DOOR SURGERY</c:v>
                  </c:pt>
                  <c:pt idx="17">
                    <c:v>GRANVILLE ROAD SURGERY</c:v>
                  </c:pt>
                  <c:pt idx="18">
                    <c:v>EARLSFIELD SURGERY</c:v>
                  </c:pt>
                  <c:pt idx="19">
                    <c:v>ST. JOHN'S HILL PRACTICE</c:v>
                  </c:pt>
                  <c:pt idx="20">
                    <c:v>SOUTHFIELDS GROUP PRACTICE</c:v>
                  </c:pt>
                  <c:pt idx="21">
                    <c:v>THE MEDICAL CENTRE</c:v>
                  </c:pt>
                  <c:pt idx="22">
                    <c:v>THE SURGERY</c:v>
                  </c:pt>
                  <c:pt idx="23">
                    <c:v>BROCKLEBANK HEALTH CENTRE</c:v>
                  </c:pt>
                  <c:pt idx="24">
                    <c:v>ELBOROUGH STREET SURGERY</c:v>
                  </c:pt>
                  <c:pt idx="25">
                    <c:v>TRIANGLE SURGERY</c:v>
                  </c:pt>
                  <c:pt idx="27">
                    <c:v>NORTHCOTE ROAD SURGERY</c:v>
                  </c:pt>
                  <c:pt idx="28">
                    <c:v>LAVENDER HILL SURGERY</c:v>
                  </c:pt>
                  <c:pt idx="29">
                    <c:v>BRIDGE LANE GROUP PRACTICE</c:v>
                  </c:pt>
                  <c:pt idx="30">
                    <c:v>LAVENDER HILL GROUP PRACTICE</c:v>
                  </c:pt>
                  <c:pt idx="31">
                    <c:v>CHATFIELD MEDICAL CENTRE</c:v>
                  </c:pt>
                  <c:pt idx="32">
                    <c:v>QUEENSTOWN ROAD MEDICAL PRACTICE</c:v>
                  </c:pt>
                  <c:pt idx="33">
                    <c:v>BATTERSEA FIELDS PRACTICE</c:v>
                  </c:pt>
                  <c:pt idx="34">
                    <c:v>BATTERSEA RISE GROUP PRACTICE</c:v>
                  </c:pt>
                  <c:pt idx="35">
                    <c:v>THE FALCON ROAD MEDICAL CENTRE</c:v>
                  </c:pt>
                  <c:pt idx="36">
                    <c:v>THE HERITAGE MEDICAL CENTRE</c:v>
                  </c:pt>
                  <c:pt idx="38">
                    <c:v>THE HEATHBRIDGE PRACTICE</c:v>
                  </c:pt>
                  <c:pt idx="39">
                    <c:v>MAYFIELD SURGERY</c:v>
                  </c:pt>
                  <c:pt idx="40">
                    <c:v>THE ROEHAMPTON SURGERY</c:v>
                  </c:pt>
                  <c:pt idx="41">
                    <c:v>DANEBURY AVENUE SURGERY</c:v>
                  </c:pt>
                  <c:pt idx="42">
                    <c:v>THE SURGERY</c:v>
                  </c:pt>
                  <c:pt idx="43">
                    <c:v>PUTNEYMEAD MEDICAL CENTRE</c:v>
                  </c:pt>
                  <c:pt idx="44">
                    <c:v>CHARTFIELD SURGERY</c:v>
                  </c:pt>
                  <c:pt idx="45">
                    <c:v>THE ALTON PRACTICE</c:v>
                  </c:pt>
                  <c:pt idx="46">
                    <c:v>INNER PARK ROAD HEALTH CENTRE</c:v>
                  </c:pt>
                  <c:pt idx="47">
                    <c:v>THE PUTNEY SURGERY</c:v>
                  </c:pt>
                  <c:pt idx="48">
                    <c:v>TUDOR LODGE HEALTH CENTRE</c:v>
                  </c:pt>
                  <c:pt idx="49">
                    <c:v>ST PAUL'S COTTAGE PRACTICE</c:v>
                  </c:pt>
                </c:lvl>
                <c:lvl>
                  <c:pt idx="0">
                    <c:v>South</c:v>
                  </c:pt>
                  <c:pt idx="17">
                    <c:v>Central</c:v>
                  </c:pt>
                  <c:pt idx="27">
                    <c:v>North</c:v>
                  </c:pt>
                  <c:pt idx="40">
                    <c:v>West</c:v>
                  </c:pt>
                </c:lvl>
              </c:multiLvlStrCache>
            </c:multiLvlStrRef>
          </c:cat>
          <c:val>
            <c:numRef>
              <c:f>'IMD FEV'!$O$6:$O$55</c:f>
              <c:numCache>
                <c:formatCode>0.0%</c:formatCode>
                <c:ptCount val="50"/>
                <c:pt idx="0">
                  <c:v>3.54</c:v>
                </c:pt>
                <c:pt idx="1">
                  <c:v>3.54</c:v>
                </c:pt>
                <c:pt idx="2">
                  <c:v>3.54</c:v>
                </c:pt>
                <c:pt idx="3">
                  <c:v>3.54</c:v>
                </c:pt>
                <c:pt idx="4">
                  <c:v>3.54</c:v>
                </c:pt>
                <c:pt idx="5">
                  <c:v>3.54</c:v>
                </c:pt>
                <c:pt idx="6">
                  <c:v>3.54</c:v>
                </c:pt>
                <c:pt idx="7">
                  <c:v>3.54</c:v>
                </c:pt>
                <c:pt idx="8">
                  <c:v>3.54</c:v>
                </c:pt>
                <c:pt idx="9">
                  <c:v>3.54</c:v>
                </c:pt>
                <c:pt idx="10">
                  <c:v>3.54</c:v>
                </c:pt>
                <c:pt idx="11">
                  <c:v>3.54</c:v>
                </c:pt>
                <c:pt idx="12">
                  <c:v>3.54</c:v>
                </c:pt>
                <c:pt idx="13">
                  <c:v>3.54</c:v>
                </c:pt>
                <c:pt idx="14">
                  <c:v>3.54</c:v>
                </c:pt>
                <c:pt idx="15">
                  <c:v>3.54</c:v>
                </c:pt>
                <c:pt idx="16">
                  <c:v>3.54</c:v>
                </c:pt>
                <c:pt idx="17">
                  <c:v>3.54</c:v>
                </c:pt>
                <c:pt idx="18">
                  <c:v>3.54</c:v>
                </c:pt>
                <c:pt idx="19">
                  <c:v>3.54</c:v>
                </c:pt>
                <c:pt idx="20">
                  <c:v>3.54</c:v>
                </c:pt>
                <c:pt idx="21">
                  <c:v>3.54</c:v>
                </c:pt>
                <c:pt idx="22">
                  <c:v>3.54</c:v>
                </c:pt>
                <c:pt idx="23">
                  <c:v>3.54</c:v>
                </c:pt>
                <c:pt idx="24">
                  <c:v>3.54</c:v>
                </c:pt>
                <c:pt idx="25">
                  <c:v>3.54</c:v>
                </c:pt>
                <c:pt idx="26">
                  <c:v>3.54</c:v>
                </c:pt>
                <c:pt idx="27">
                  <c:v>3.54</c:v>
                </c:pt>
                <c:pt idx="28">
                  <c:v>3.54</c:v>
                </c:pt>
                <c:pt idx="29">
                  <c:v>3.54</c:v>
                </c:pt>
                <c:pt idx="30">
                  <c:v>3.54</c:v>
                </c:pt>
                <c:pt idx="31">
                  <c:v>3.54</c:v>
                </c:pt>
                <c:pt idx="32">
                  <c:v>3.54</c:v>
                </c:pt>
                <c:pt idx="33">
                  <c:v>3.54</c:v>
                </c:pt>
                <c:pt idx="34">
                  <c:v>3.54</c:v>
                </c:pt>
                <c:pt idx="35">
                  <c:v>3.54</c:v>
                </c:pt>
                <c:pt idx="36">
                  <c:v>3.54</c:v>
                </c:pt>
                <c:pt idx="37">
                  <c:v>3.54</c:v>
                </c:pt>
                <c:pt idx="38">
                  <c:v>3.54</c:v>
                </c:pt>
                <c:pt idx="39">
                  <c:v>3.54</c:v>
                </c:pt>
                <c:pt idx="40">
                  <c:v>3.54</c:v>
                </c:pt>
                <c:pt idx="41">
                  <c:v>3.54</c:v>
                </c:pt>
                <c:pt idx="42">
                  <c:v>3.54</c:v>
                </c:pt>
                <c:pt idx="43">
                  <c:v>3.54</c:v>
                </c:pt>
                <c:pt idx="44">
                  <c:v>3.54</c:v>
                </c:pt>
                <c:pt idx="45">
                  <c:v>3.54</c:v>
                </c:pt>
                <c:pt idx="46">
                  <c:v>3.54</c:v>
                </c:pt>
                <c:pt idx="47">
                  <c:v>3.54</c:v>
                </c:pt>
                <c:pt idx="48">
                  <c:v>3.54</c:v>
                </c:pt>
                <c:pt idx="49">
                  <c:v>3.54</c:v>
                </c:pt>
              </c:numCache>
            </c:numRef>
          </c:val>
        </c:ser>
        <c:ser>
          <c:idx val="8"/>
          <c:order val="3"/>
          <c:tx>
            <c:strRef>
              <c:f>'IMD FEV'!$P$5</c:f>
              <c:strCache>
                <c:ptCount val="1"/>
                <c:pt idx="0">
                  <c:v>Wandsworth</c:v>
                </c:pt>
              </c:strCache>
            </c:strRef>
          </c:tx>
          <c:marker>
            <c:symbol val="none"/>
          </c:marker>
          <c:cat>
            <c:multiLvlStrRef>
              <c:f>'IMD FEV'!$H$6:$I$55</c:f>
              <c:multiLvlStrCache>
                <c:ptCount val="50"/>
                <c:lvl>
                  <c:pt idx="0">
                    <c:v>TOOTING BEC SURGERY</c:v>
                  </c:pt>
                  <c:pt idx="1">
                    <c:v>FURZEDOWN PRIMARY CARE CENTRE</c:v>
                  </c:pt>
                  <c:pt idx="2">
                    <c:v>THE FRANCISCAN SURGERY</c:v>
                  </c:pt>
                  <c:pt idx="3">
                    <c:v>BALHAM HEALTH CENTRE</c:v>
                  </c:pt>
                  <c:pt idx="4">
                    <c:v>SAI MEDICAL CENTRE</c:v>
                  </c:pt>
                  <c:pt idx="5">
                    <c:v>DR NICHOLAS &amp; PARTNERS</c:v>
                  </c:pt>
                  <c:pt idx="6">
                    <c:v>THE GRAYSWOOD PRACTICE</c:v>
                  </c:pt>
                  <c:pt idx="7">
                    <c:v>BALHAM PARK SURGERY</c:v>
                  </c:pt>
                  <c:pt idx="8">
                    <c:v>MITCHAM ROAD SURGERY</c:v>
                  </c:pt>
                  <c:pt idx="9">
                    <c:v>TOOTING SOUTH MEDICAL CENTRE</c:v>
                  </c:pt>
                  <c:pt idx="10">
                    <c:v>BEDFORD HILL FAMILY PRACTICE</c:v>
                  </c:pt>
                  <c:pt idx="11">
                    <c:v>STREATHAM PARK SURGERY</c:v>
                  </c:pt>
                  <c:pt idx="12">
                    <c:v>WATERFALL HOUSE</c:v>
                  </c:pt>
                  <c:pt idx="13">
                    <c:v>BALHAM HILL MEDICAL PRACTICE</c:v>
                  </c:pt>
                  <c:pt idx="14">
                    <c:v>THURLEIGH ROAD PRACTICE</c:v>
                  </c:pt>
                  <c:pt idx="15">
                    <c:v>OPEN DOOR SURGERY</c:v>
                  </c:pt>
                  <c:pt idx="17">
                    <c:v>GRANVILLE ROAD SURGERY</c:v>
                  </c:pt>
                  <c:pt idx="18">
                    <c:v>EARLSFIELD SURGERY</c:v>
                  </c:pt>
                  <c:pt idx="19">
                    <c:v>ST. JOHN'S HILL PRACTICE</c:v>
                  </c:pt>
                  <c:pt idx="20">
                    <c:v>SOUTHFIELDS GROUP PRACTICE</c:v>
                  </c:pt>
                  <c:pt idx="21">
                    <c:v>THE MEDICAL CENTRE</c:v>
                  </c:pt>
                  <c:pt idx="22">
                    <c:v>THE SURGERY</c:v>
                  </c:pt>
                  <c:pt idx="23">
                    <c:v>BROCKLEBANK HEALTH CENTRE</c:v>
                  </c:pt>
                  <c:pt idx="24">
                    <c:v>ELBOROUGH STREET SURGERY</c:v>
                  </c:pt>
                  <c:pt idx="25">
                    <c:v>TRIANGLE SURGERY</c:v>
                  </c:pt>
                  <c:pt idx="27">
                    <c:v>NORTHCOTE ROAD SURGERY</c:v>
                  </c:pt>
                  <c:pt idx="28">
                    <c:v>LAVENDER HILL SURGERY</c:v>
                  </c:pt>
                  <c:pt idx="29">
                    <c:v>BRIDGE LANE GROUP PRACTICE</c:v>
                  </c:pt>
                  <c:pt idx="30">
                    <c:v>LAVENDER HILL GROUP PRACTICE</c:v>
                  </c:pt>
                  <c:pt idx="31">
                    <c:v>CHATFIELD MEDICAL CENTRE</c:v>
                  </c:pt>
                  <c:pt idx="32">
                    <c:v>QUEENSTOWN ROAD MEDICAL PRACTICE</c:v>
                  </c:pt>
                  <c:pt idx="33">
                    <c:v>BATTERSEA FIELDS PRACTICE</c:v>
                  </c:pt>
                  <c:pt idx="34">
                    <c:v>BATTERSEA RISE GROUP PRACTICE</c:v>
                  </c:pt>
                  <c:pt idx="35">
                    <c:v>THE FALCON ROAD MEDICAL CENTRE</c:v>
                  </c:pt>
                  <c:pt idx="36">
                    <c:v>THE HERITAGE MEDICAL CENTRE</c:v>
                  </c:pt>
                  <c:pt idx="38">
                    <c:v>THE HEATHBRIDGE PRACTICE</c:v>
                  </c:pt>
                  <c:pt idx="39">
                    <c:v>MAYFIELD SURGERY</c:v>
                  </c:pt>
                  <c:pt idx="40">
                    <c:v>THE ROEHAMPTON SURGERY</c:v>
                  </c:pt>
                  <c:pt idx="41">
                    <c:v>DANEBURY AVENUE SURGERY</c:v>
                  </c:pt>
                  <c:pt idx="42">
                    <c:v>THE SURGERY</c:v>
                  </c:pt>
                  <c:pt idx="43">
                    <c:v>PUTNEYMEAD MEDICAL CENTRE</c:v>
                  </c:pt>
                  <c:pt idx="44">
                    <c:v>CHARTFIELD SURGERY</c:v>
                  </c:pt>
                  <c:pt idx="45">
                    <c:v>THE ALTON PRACTICE</c:v>
                  </c:pt>
                  <c:pt idx="46">
                    <c:v>INNER PARK ROAD HEALTH CENTRE</c:v>
                  </c:pt>
                  <c:pt idx="47">
                    <c:v>THE PUTNEY SURGERY</c:v>
                  </c:pt>
                  <c:pt idx="48">
                    <c:v>TUDOR LODGE HEALTH CENTRE</c:v>
                  </c:pt>
                  <c:pt idx="49">
                    <c:v>ST PAUL'S COTTAGE PRACTICE</c:v>
                  </c:pt>
                </c:lvl>
                <c:lvl>
                  <c:pt idx="0">
                    <c:v>South</c:v>
                  </c:pt>
                  <c:pt idx="17">
                    <c:v>Central</c:v>
                  </c:pt>
                  <c:pt idx="27">
                    <c:v>North</c:v>
                  </c:pt>
                  <c:pt idx="40">
                    <c:v>West</c:v>
                  </c:pt>
                </c:lvl>
              </c:multiLvlStrCache>
            </c:multiLvlStrRef>
          </c:cat>
          <c:val>
            <c:numRef>
              <c:f>'IMD FEV'!$P$6:$P$55</c:f>
              <c:numCache>
                <c:formatCode>0.0%</c:formatCode>
                <c:ptCount val="50"/>
                <c:pt idx="0">
                  <c:v>0.90500000000000003</c:v>
                </c:pt>
                <c:pt idx="1">
                  <c:v>0.90500000000000003</c:v>
                </c:pt>
                <c:pt idx="2">
                  <c:v>0.90500000000000003</c:v>
                </c:pt>
                <c:pt idx="3">
                  <c:v>0.90500000000000003</c:v>
                </c:pt>
                <c:pt idx="4">
                  <c:v>0.90500000000000003</c:v>
                </c:pt>
                <c:pt idx="5">
                  <c:v>0.90500000000000003</c:v>
                </c:pt>
                <c:pt idx="6">
                  <c:v>0.90500000000000003</c:v>
                </c:pt>
                <c:pt idx="7">
                  <c:v>0.90500000000000003</c:v>
                </c:pt>
                <c:pt idx="8">
                  <c:v>0.90500000000000003</c:v>
                </c:pt>
                <c:pt idx="9">
                  <c:v>0.90500000000000003</c:v>
                </c:pt>
                <c:pt idx="10">
                  <c:v>0.90500000000000003</c:v>
                </c:pt>
                <c:pt idx="11">
                  <c:v>0.90500000000000003</c:v>
                </c:pt>
                <c:pt idx="12">
                  <c:v>0.90500000000000003</c:v>
                </c:pt>
                <c:pt idx="13">
                  <c:v>0.90500000000000003</c:v>
                </c:pt>
                <c:pt idx="14">
                  <c:v>0.90500000000000003</c:v>
                </c:pt>
                <c:pt idx="15">
                  <c:v>0.90500000000000003</c:v>
                </c:pt>
                <c:pt idx="16">
                  <c:v>0.90500000000000003</c:v>
                </c:pt>
                <c:pt idx="17">
                  <c:v>0.90500000000000003</c:v>
                </c:pt>
                <c:pt idx="18">
                  <c:v>0.90500000000000003</c:v>
                </c:pt>
                <c:pt idx="19">
                  <c:v>0.90500000000000003</c:v>
                </c:pt>
                <c:pt idx="20">
                  <c:v>0.90500000000000003</c:v>
                </c:pt>
                <c:pt idx="21">
                  <c:v>0.90500000000000003</c:v>
                </c:pt>
                <c:pt idx="22">
                  <c:v>0.90500000000000003</c:v>
                </c:pt>
                <c:pt idx="23">
                  <c:v>0.90500000000000003</c:v>
                </c:pt>
                <c:pt idx="24">
                  <c:v>0.90500000000000003</c:v>
                </c:pt>
                <c:pt idx="25">
                  <c:v>0.90500000000000003</c:v>
                </c:pt>
                <c:pt idx="26">
                  <c:v>0.90500000000000003</c:v>
                </c:pt>
                <c:pt idx="27">
                  <c:v>0.90500000000000003</c:v>
                </c:pt>
                <c:pt idx="28">
                  <c:v>0.90500000000000003</c:v>
                </c:pt>
                <c:pt idx="29">
                  <c:v>0.90500000000000003</c:v>
                </c:pt>
                <c:pt idx="30">
                  <c:v>0.90500000000000003</c:v>
                </c:pt>
                <c:pt idx="31">
                  <c:v>0.90500000000000003</c:v>
                </c:pt>
                <c:pt idx="32">
                  <c:v>0.90500000000000003</c:v>
                </c:pt>
                <c:pt idx="33">
                  <c:v>0.90500000000000003</c:v>
                </c:pt>
                <c:pt idx="34">
                  <c:v>0.90500000000000003</c:v>
                </c:pt>
                <c:pt idx="35">
                  <c:v>0.90500000000000003</c:v>
                </c:pt>
                <c:pt idx="36">
                  <c:v>0.90500000000000003</c:v>
                </c:pt>
                <c:pt idx="37">
                  <c:v>0.90500000000000003</c:v>
                </c:pt>
                <c:pt idx="38">
                  <c:v>0.90500000000000003</c:v>
                </c:pt>
                <c:pt idx="39">
                  <c:v>0.90500000000000003</c:v>
                </c:pt>
                <c:pt idx="40">
                  <c:v>0.90500000000000003</c:v>
                </c:pt>
                <c:pt idx="41">
                  <c:v>0.90500000000000003</c:v>
                </c:pt>
                <c:pt idx="42">
                  <c:v>0.90500000000000003</c:v>
                </c:pt>
                <c:pt idx="43">
                  <c:v>0.90500000000000003</c:v>
                </c:pt>
                <c:pt idx="44">
                  <c:v>0.90500000000000003</c:v>
                </c:pt>
                <c:pt idx="45">
                  <c:v>0.90500000000000003</c:v>
                </c:pt>
                <c:pt idx="46">
                  <c:v>0.90500000000000003</c:v>
                </c:pt>
                <c:pt idx="47">
                  <c:v>0.90500000000000003</c:v>
                </c:pt>
                <c:pt idx="48">
                  <c:v>0.90500000000000003</c:v>
                </c:pt>
                <c:pt idx="49">
                  <c:v>0.90500000000000003</c:v>
                </c:pt>
              </c:numCache>
            </c:numRef>
          </c:val>
        </c:ser>
        <c:marker val="1"/>
        <c:axId val="84763392"/>
        <c:axId val="84764928"/>
      </c:lineChart>
      <c:catAx>
        <c:axId val="84763392"/>
        <c:scaling>
          <c:orientation val="minMax"/>
        </c:scaling>
        <c:axPos val="b"/>
        <c:numFmt formatCode="General" sourceLinked="1"/>
        <c:majorTickMark val="none"/>
        <c:tickLblPos val="nextTo"/>
        <c:txPr>
          <a:bodyPr/>
          <a:lstStyle/>
          <a:p>
            <a:pPr>
              <a:defRPr sz="700"/>
            </a:pPr>
            <a:endParaRPr lang="en-US"/>
          </a:p>
        </c:txPr>
        <c:crossAx val="84764928"/>
        <c:crosses val="autoZero"/>
        <c:auto val="1"/>
        <c:lblAlgn val="ctr"/>
        <c:lblOffset val="100"/>
      </c:catAx>
      <c:valAx>
        <c:axId val="84764928"/>
        <c:scaling>
          <c:orientation val="minMax"/>
          <c:max val="1"/>
        </c:scaling>
        <c:axPos val="l"/>
        <c:majorGridlines/>
        <c:numFmt formatCode="0%" sourceLinked="0"/>
        <c:majorTickMark val="none"/>
        <c:tickLblPos val="nextTo"/>
        <c:crossAx val="84763392"/>
        <c:crosses val="autoZero"/>
        <c:crossBetween val="between"/>
      </c:valAx>
    </c:plotArea>
    <c:legend>
      <c:legendPos val="r"/>
      <c:legendEntry>
        <c:idx val="0"/>
        <c:delete val="1"/>
      </c:legendEntry>
      <c:legendEntry>
        <c:idx val="2"/>
        <c:delete val="1"/>
      </c:legendEntry>
      <c:layout>
        <c:manualLayout>
          <c:xMode val="edge"/>
          <c:yMode val="edge"/>
          <c:x val="0.20150710720211601"/>
          <c:y val="6.9644273189255604E-2"/>
          <c:w val="0.52555818623713457"/>
          <c:h val="0.175658680962752"/>
        </c:manualLayout>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Graph of STAR-PU for COPD related drugs against prevalence of COPD by practice</a:t>
            </a:r>
            <a:r>
              <a:rPr lang="en-US" baseline="0"/>
              <a:t> in Wandsworth</a:t>
            </a:r>
            <a:r>
              <a:rPr lang="en-US"/>
              <a:t>  </a:t>
            </a:r>
          </a:p>
        </c:rich>
      </c:tx>
    </c:title>
    <c:plotArea>
      <c:layout/>
      <c:scatterChart>
        <c:scatterStyle val="lineMarker"/>
        <c:ser>
          <c:idx val="0"/>
          <c:order val="0"/>
          <c:spPr>
            <a:ln w="28575">
              <a:noFill/>
            </a:ln>
          </c:spPr>
          <c:trendline>
            <c:trendlineType val="linear"/>
          </c:trendline>
          <c:trendline>
            <c:trendlineType val="linear"/>
            <c:dispRSqr val="1"/>
            <c:dispEq val="1"/>
            <c:trendlineLbl>
              <c:layout>
                <c:manualLayout>
                  <c:x val="6.3100823343237702E-2"/>
                  <c:y val="-0.18593934777078314"/>
                </c:manualLayout>
              </c:layout>
              <c:numFmt formatCode="General" sourceLinked="0"/>
            </c:trendlineLbl>
          </c:trendline>
          <c:xVal>
            <c:numRef>
              <c:f>'IMD FEV'!$M$5:$M$51</c:f>
              <c:numCache>
                <c:formatCode>0.0%</c:formatCode>
                <c:ptCount val="47"/>
                <c:pt idx="0">
                  <c:v>7.2840790842872106E-3</c:v>
                </c:pt>
                <c:pt idx="1">
                  <c:v>6.6473176668851155E-3</c:v>
                </c:pt>
                <c:pt idx="2">
                  <c:v>1.2636899747262027E-2</c:v>
                </c:pt>
                <c:pt idx="3">
                  <c:v>5.2559414990859263E-3</c:v>
                </c:pt>
                <c:pt idx="4">
                  <c:v>7.5308444159589904E-3</c:v>
                </c:pt>
                <c:pt idx="5">
                  <c:v>2.3387538826968798E-2</c:v>
                </c:pt>
                <c:pt idx="6">
                  <c:v>8.8473826492995802E-3</c:v>
                </c:pt>
                <c:pt idx="7">
                  <c:v>9.3572009764035912E-3</c:v>
                </c:pt>
                <c:pt idx="8">
                  <c:v>6.9885641677255462E-3</c:v>
                </c:pt>
                <c:pt idx="9">
                  <c:v>6.6497400556160165E-3</c:v>
                </c:pt>
                <c:pt idx="10">
                  <c:v>2.7278089059274632E-3</c:v>
                </c:pt>
                <c:pt idx="11">
                  <c:v>1.2804097311139601E-2</c:v>
                </c:pt>
                <c:pt idx="12">
                  <c:v>8.7151609284666608E-3</c:v>
                </c:pt>
                <c:pt idx="13">
                  <c:v>1.2584407612031901E-2</c:v>
                </c:pt>
                <c:pt idx="14">
                  <c:v>1.0632688927943798E-2</c:v>
                </c:pt>
                <c:pt idx="15">
                  <c:v>7.0457354758961775E-3</c:v>
                </c:pt>
                <c:pt idx="16">
                  <c:v>5.1504472756844734E-3</c:v>
                </c:pt>
                <c:pt idx="17">
                  <c:v>1.3735137351373499E-2</c:v>
                </c:pt>
                <c:pt idx="18">
                  <c:v>6.1092019854906655E-3</c:v>
                </c:pt>
                <c:pt idx="19">
                  <c:v>5.8027079303675103E-3</c:v>
                </c:pt>
                <c:pt idx="20">
                  <c:v>8.9463220675944279E-3</c:v>
                </c:pt>
                <c:pt idx="21">
                  <c:v>1.4219171365530813E-2</c:v>
                </c:pt>
                <c:pt idx="22">
                  <c:v>6.2495055770904204E-3</c:v>
                </c:pt>
                <c:pt idx="23">
                  <c:v>1.5510434292160228E-2</c:v>
                </c:pt>
                <c:pt idx="24">
                  <c:v>6.2950385156961865E-3</c:v>
                </c:pt>
                <c:pt idx="25">
                  <c:v>1.4556682840758698E-2</c:v>
                </c:pt>
                <c:pt idx="26">
                  <c:v>2.7900146842878152E-3</c:v>
                </c:pt>
                <c:pt idx="27">
                  <c:v>9.6723253059613212E-3</c:v>
                </c:pt>
                <c:pt idx="28">
                  <c:v>6.8499490882162496E-3</c:v>
                </c:pt>
                <c:pt idx="29">
                  <c:v>4.1879944160074442E-3</c:v>
                </c:pt>
                <c:pt idx="30">
                  <c:v>7.6416896624920475E-3</c:v>
                </c:pt>
                <c:pt idx="31">
                  <c:v>4.8124557678697775E-3</c:v>
                </c:pt>
                <c:pt idx="32">
                  <c:v>2.0136931131695501E-3</c:v>
                </c:pt>
                <c:pt idx="33">
                  <c:v>8.1464240372408035E-3</c:v>
                </c:pt>
                <c:pt idx="34">
                  <c:v>4.9275945293644355E-3</c:v>
                </c:pt>
                <c:pt idx="35">
                  <c:v>7.7720207253886139E-3</c:v>
                </c:pt>
                <c:pt idx="36">
                  <c:v>2.1626297577854773E-3</c:v>
                </c:pt>
                <c:pt idx="37">
                  <c:v>1.7980221756068324E-2</c:v>
                </c:pt>
                <c:pt idx="38">
                  <c:v>6.4641241111829323E-4</c:v>
                </c:pt>
                <c:pt idx="39">
                  <c:v>8.2530949105914728E-3</c:v>
                </c:pt>
                <c:pt idx="40">
                  <c:v>1.5756302521008399E-3</c:v>
                </c:pt>
                <c:pt idx="41">
                  <c:v>5.6015586945932904E-3</c:v>
                </c:pt>
                <c:pt idx="42">
                  <c:v>1.6930891180544898E-2</c:v>
                </c:pt>
                <c:pt idx="43">
                  <c:v>6.1500615006150118E-4</c:v>
                </c:pt>
                <c:pt idx="44">
                  <c:v>6.7393458870168566E-3</c:v>
                </c:pt>
                <c:pt idx="45">
                  <c:v>6.2418725617685387E-3</c:v>
                </c:pt>
                <c:pt idx="46">
                  <c:v>8.2000000000000007E-3</c:v>
                </c:pt>
              </c:numCache>
            </c:numRef>
          </c:xVal>
          <c:yVal>
            <c:numRef>
              <c:f>'IMD FEV'!$N$5:$N$51</c:f>
              <c:numCache>
                <c:formatCode>General</c:formatCode>
                <c:ptCount val="47"/>
                <c:pt idx="0">
                  <c:v>0.74000000000000066</c:v>
                </c:pt>
                <c:pt idx="1">
                  <c:v>0.62000000000000066</c:v>
                </c:pt>
                <c:pt idx="2">
                  <c:v>1.22</c:v>
                </c:pt>
                <c:pt idx="3">
                  <c:v>0.52</c:v>
                </c:pt>
                <c:pt idx="4">
                  <c:v>0.79</c:v>
                </c:pt>
                <c:pt idx="5">
                  <c:v>0.91</c:v>
                </c:pt>
                <c:pt idx="6">
                  <c:v>0.85000000000000064</c:v>
                </c:pt>
                <c:pt idx="7">
                  <c:v>0.93</c:v>
                </c:pt>
                <c:pt idx="8">
                  <c:v>0.84000000000000064</c:v>
                </c:pt>
                <c:pt idx="9">
                  <c:v>0.95000000000000062</c:v>
                </c:pt>
                <c:pt idx="10">
                  <c:v>0.61000000000000065</c:v>
                </c:pt>
                <c:pt idx="11">
                  <c:v>0.75000000000000078</c:v>
                </c:pt>
                <c:pt idx="12">
                  <c:v>0.86000000000000065</c:v>
                </c:pt>
                <c:pt idx="13">
                  <c:v>0.8</c:v>
                </c:pt>
                <c:pt idx="14">
                  <c:v>0.93</c:v>
                </c:pt>
                <c:pt idx="15">
                  <c:v>0.91</c:v>
                </c:pt>
                <c:pt idx="16">
                  <c:v>0.81</c:v>
                </c:pt>
                <c:pt idx="17">
                  <c:v>0.8</c:v>
                </c:pt>
                <c:pt idx="18">
                  <c:v>0.53</c:v>
                </c:pt>
                <c:pt idx="19">
                  <c:v>0.72000000000000064</c:v>
                </c:pt>
                <c:pt idx="20">
                  <c:v>0.55000000000000004</c:v>
                </c:pt>
                <c:pt idx="21">
                  <c:v>1</c:v>
                </c:pt>
                <c:pt idx="22">
                  <c:v>0.79</c:v>
                </c:pt>
                <c:pt idx="23">
                  <c:v>1.35</c:v>
                </c:pt>
                <c:pt idx="24">
                  <c:v>0.74000000000000066</c:v>
                </c:pt>
                <c:pt idx="25">
                  <c:v>0.53</c:v>
                </c:pt>
                <c:pt idx="26">
                  <c:v>0.54</c:v>
                </c:pt>
                <c:pt idx="27">
                  <c:v>0.73000000000000065</c:v>
                </c:pt>
                <c:pt idx="28">
                  <c:v>0.60000000000000064</c:v>
                </c:pt>
                <c:pt idx="29">
                  <c:v>0.70000000000000062</c:v>
                </c:pt>
                <c:pt idx="30">
                  <c:v>0.75000000000000078</c:v>
                </c:pt>
                <c:pt idx="31">
                  <c:v>0.43000000000000033</c:v>
                </c:pt>
                <c:pt idx="32">
                  <c:v>0.56000000000000005</c:v>
                </c:pt>
                <c:pt idx="33">
                  <c:v>1.04</c:v>
                </c:pt>
                <c:pt idx="34">
                  <c:v>0.61000000000000065</c:v>
                </c:pt>
                <c:pt idx="35">
                  <c:v>1.2</c:v>
                </c:pt>
                <c:pt idx="36">
                  <c:v>0.49000000000000032</c:v>
                </c:pt>
                <c:pt idx="37">
                  <c:v>1.1000000000000001</c:v>
                </c:pt>
                <c:pt idx="38">
                  <c:v>0.49000000000000032</c:v>
                </c:pt>
                <c:pt idx="39">
                  <c:v>0.68</c:v>
                </c:pt>
                <c:pt idx="40">
                  <c:v>0.46</c:v>
                </c:pt>
                <c:pt idx="41">
                  <c:v>1.02</c:v>
                </c:pt>
                <c:pt idx="42">
                  <c:v>1.1399999999999986</c:v>
                </c:pt>
                <c:pt idx="43">
                  <c:v>0.60000000000000064</c:v>
                </c:pt>
                <c:pt idx="44">
                  <c:v>0.76000000000000079</c:v>
                </c:pt>
                <c:pt idx="45">
                  <c:v>1.4</c:v>
                </c:pt>
                <c:pt idx="46">
                  <c:v>0.56999999999999995</c:v>
                </c:pt>
              </c:numCache>
            </c:numRef>
          </c:yVal>
        </c:ser>
        <c:axId val="85546496"/>
        <c:axId val="85548416"/>
      </c:scatterChart>
      <c:valAx>
        <c:axId val="85546496"/>
        <c:scaling>
          <c:orientation val="minMax"/>
        </c:scaling>
        <c:axPos val="b"/>
        <c:title>
          <c:tx>
            <c:rich>
              <a:bodyPr/>
              <a:lstStyle/>
              <a:p>
                <a:pPr>
                  <a:defRPr/>
                </a:pPr>
                <a:r>
                  <a:rPr lang="en-US"/>
                  <a:t>Prevalence</a:t>
                </a:r>
              </a:p>
            </c:rich>
          </c:tx>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5548416"/>
        <c:crosses val="autoZero"/>
        <c:crossBetween val="midCat"/>
      </c:valAx>
      <c:valAx>
        <c:axId val="85548416"/>
        <c:scaling>
          <c:orientation val="minMax"/>
        </c:scaling>
        <c:axPos val="l"/>
        <c:majorGridlines/>
        <c:title>
          <c:tx>
            <c:rich>
              <a:bodyPr rot="-5400000" vert="horz"/>
              <a:lstStyle/>
              <a:p>
                <a:pPr>
                  <a:defRPr/>
                </a:pPr>
                <a:r>
                  <a:rPr lang="en-US"/>
                  <a:t>STAR-PU</a:t>
                </a:r>
              </a:p>
            </c:rich>
          </c:tx>
        </c:title>
        <c:numFmt formatCode="General" sourceLinked="1"/>
        <c:tickLblPos val="nextTo"/>
        <c:crossAx val="85546496"/>
        <c:crosses val="autoZero"/>
        <c:crossBetween val="midCat"/>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600"/>
            </a:pPr>
            <a:r>
              <a:rPr lang="en-GB" sz="1600" b="1" i="0" u="none" strike="noStrike" baseline="0"/>
              <a:t>% of patients with COPD whose  inhaler technique has been checked  </a:t>
            </a:r>
            <a:endParaRPr lang="en-GB" sz="1600"/>
          </a:p>
        </c:rich>
      </c:tx>
    </c:title>
    <c:plotArea>
      <c:layout>
        <c:manualLayout>
          <c:layoutTarget val="inner"/>
          <c:xMode val="edge"/>
          <c:yMode val="edge"/>
          <c:x val="4.9998042460870445E-2"/>
          <c:y val="0.19367405463205967"/>
          <c:w val="0.89301981502256822"/>
          <c:h val="0.32974652473996402"/>
        </c:manualLayout>
      </c:layout>
      <c:barChart>
        <c:barDir val="col"/>
        <c:grouping val="stacked"/>
        <c:ser>
          <c:idx val="2"/>
          <c:order val="0"/>
          <c:tx>
            <c:strRef>
              <c:f>'IMD FEV'!$L$5</c:f>
              <c:strCache>
                <c:ptCount val="1"/>
                <c:pt idx="0">
                  <c:v>% of patients with COPD whose  inhaler technique has been checked </c:v>
                </c:pt>
              </c:strCache>
            </c:strRef>
          </c:tx>
          <c:cat>
            <c:multiLvlStrRef>
              <c:f>'IMD FEV'!$H$6:$I$55</c:f>
              <c:multiLvlStrCache>
                <c:ptCount val="50"/>
                <c:lvl>
                  <c:pt idx="0">
                    <c:v>TOOTING BEC SURGERY</c:v>
                  </c:pt>
                  <c:pt idx="1">
                    <c:v>THE FRANCISCAN SURGERY</c:v>
                  </c:pt>
                  <c:pt idx="2">
                    <c:v>FURZEDOWN PRIMARY CARE CENTRE</c:v>
                  </c:pt>
                  <c:pt idx="3">
                    <c:v>DR NICHOLAS &amp; PARTNERS</c:v>
                  </c:pt>
                  <c:pt idx="4">
                    <c:v>THE GRAYSWOOD PRACTICE</c:v>
                  </c:pt>
                  <c:pt idx="5">
                    <c:v>TOOTING SOUTH MEDICAL CENTRE</c:v>
                  </c:pt>
                  <c:pt idx="6">
                    <c:v>STREATHAM PARK SURGERY</c:v>
                  </c:pt>
                  <c:pt idx="7">
                    <c:v>BEDFORD HILL FAMILY PRACTICE</c:v>
                  </c:pt>
                  <c:pt idx="8">
                    <c:v>OPEN DOOR SURGERY</c:v>
                  </c:pt>
                  <c:pt idx="9">
                    <c:v>BALHAM PARK SURGERY</c:v>
                  </c:pt>
                  <c:pt idx="10">
                    <c:v>THURLEIGH ROAD PRACTICE</c:v>
                  </c:pt>
                  <c:pt idx="11">
                    <c:v>WATERFALL HOUSE</c:v>
                  </c:pt>
                  <c:pt idx="12">
                    <c:v>BALHAM HEALTH CENTRE</c:v>
                  </c:pt>
                  <c:pt idx="13">
                    <c:v>SAI MEDICAL CENTRE</c:v>
                  </c:pt>
                  <c:pt idx="14">
                    <c:v>MITCHAM ROAD SURGERY</c:v>
                  </c:pt>
                  <c:pt idx="15">
                    <c:v>BALHAM HILL MEDICAL PRACTICE</c:v>
                  </c:pt>
                  <c:pt idx="17">
                    <c:v>GRANVILLE ROAD SURGERY</c:v>
                  </c:pt>
                  <c:pt idx="18">
                    <c:v>EARLSFIELD SURGERY</c:v>
                  </c:pt>
                  <c:pt idx="19">
                    <c:v>SOUTHFIELDS GROUP PRACTICE</c:v>
                  </c:pt>
                  <c:pt idx="20">
                    <c:v>BROCKLEBANK HEALTH CENTRE</c:v>
                  </c:pt>
                  <c:pt idx="21">
                    <c:v>THE SURGERY</c:v>
                  </c:pt>
                  <c:pt idx="22">
                    <c:v>THE MEDICAL CENTRE</c:v>
                  </c:pt>
                  <c:pt idx="23">
                    <c:v>TRIANGLE SURGERY</c:v>
                  </c:pt>
                  <c:pt idx="24">
                    <c:v>ST. JOHN'S HILL PRACTICE</c:v>
                  </c:pt>
                  <c:pt idx="25">
                    <c:v>ELBOROUGH STREET SURGERY</c:v>
                  </c:pt>
                  <c:pt idx="27">
                    <c:v>BATTERSEA FIELDS PRACTICE</c:v>
                  </c:pt>
                  <c:pt idx="28">
                    <c:v>LAVENDER HILL GROUP PRACTICE</c:v>
                  </c:pt>
                  <c:pt idx="29">
                    <c:v>BRIDGE LANE GROUP PRACTICE</c:v>
                  </c:pt>
                  <c:pt idx="30">
                    <c:v>THE HERITAGE MEDICAL CENTRE</c:v>
                  </c:pt>
                  <c:pt idx="31">
                    <c:v>LAVENDER HILL SURGERY</c:v>
                  </c:pt>
                  <c:pt idx="32">
                    <c:v>THE FALCON ROAD MEDICAL CENTRE</c:v>
                  </c:pt>
                  <c:pt idx="33">
                    <c:v>CHATFIELD MEDICAL CENTRE</c:v>
                  </c:pt>
                  <c:pt idx="34">
                    <c:v>QUEENSTOWN ROAD MEDICAL PRACTICE</c:v>
                  </c:pt>
                  <c:pt idx="35">
                    <c:v>BATTERSEA RISE GROUP PRACTICE</c:v>
                  </c:pt>
                  <c:pt idx="36">
                    <c:v>NORTHCOTE ROAD SURGERY</c:v>
                  </c:pt>
                  <c:pt idx="38">
                    <c:v>DANEBURY AVENUE SURGERY</c:v>
                  </c:pt>
                  <c:pt idx="39">
                    <c:v>CHARTFIELD SURGERY</c:v>
                  </c:pt>
                  <c:pt idx="40">
                    <c:v>THE HEATHBRIDGE PRACTICE</c:v>
                  </c:pt>
                  <c:pt idx="41">
                    <c:v>THE ROEHAMPTON SURGERY</c:v>
                  </c:pt>
                  <c:pt idx="42">
                    <c:v>TUDOR LODGE HEALTH CENTRE</c:v>
                  </c:pt>
                  <c:pt idx="43">
                    <c:v>THE ALTON PRACTICE</c:v>
                  </c:pt>
                  <c:pt idx="44">
                    <c:v>THE SURGERY</c:v>
                  </c:pt>
                  <c:pt idx="45">
                    <c:v>MAYFIELD SURGERY</c:v>
                  </c:pt>
                  <c:pt idx="46">
                    <c:v>THE PUTNEY SURGERY</c:v>
                  </c:pt>
                  <c:pt idx="47">
                    <c:v>PUTNEYMEAD MEDICAL CENTRE</c:v>
                  </c:pt>
                  <c:pt idx="48">
                    <c:v>ST PAUL'S COTTAGE PRACTICE</c:v>
                  </c:pt>
                  <c:pt idx="49">
                    <c:v>INNER PARK ROAD HEALTH CENTRE</c:v>
                  </c:pt>
                </c:lvl>
                <c:lvl>
                  <c:pt idx="0">
                    <c:v>South</c:v>
                  </c:pt>
                  <c:pt idx="17">
                    <c:v>Central</c:v>
                  </c:pt>
                  <c:pt idx="27">
                    <c:v>North</c:v>
                  </c:pt>
                  <c:pt idx="38">
                    <c:v>West</c:v>
                  </c:pt>
                </c:lvl>
              </c:multiLvlStrCache>
            </c:multiLvlStrRef>
          </c:cat>
          <c:val>
            <c:numRef>
              <c:f>'IMD FEV'!$L$6:$L$55</c:f>
              <c:numCache>
                <c:formatCode>0.0%</c:formatCode>
                <c:ptCount val="50"/>
                <c:pt idx="0">
                  <c:v>0</c:v>
                </c:pt>
                <c:pt idx="1">
                  <c:v>0.65217393636703691</c:v>
                </c:pt>
                <c:pt idx="2">
                  <c:v>0.66666668653488537</c:v>
                </c:pt>
                <c:pt idx="3">
                  <c:v>0.74666666984558105</c:v>
                </c:pt>
                <c:pt idx="4">
                  <c:v>0.79069769382476862</c:v>
                </c:pt>
                <c:pt idx="5">
                  <c:v>0.85000002384185802</c:v>
                </c:pt>
                <c:pt idx="6">
                  <c:v>0.92982459068298295</c:v>
                </c:pt>
                <c:pt idx="7">
                  <c:v>0.94915252923965332</c:v>
                </c:pt>
                <c:pt idx="8">
                  <c:v>0.95555555820465099</c:v>
                </c:pt>
                <c:pt idx="9">
                  <c:v>0.96296298503875555</c:v>
                </c:pt>
                <c:pt idx="10">
                  <c:v>0.97435897588729858</c:v>
                </c:pt>
                <c:pt idx="11">
                  <c:v>0.98076921701431363</c:v>
                </c:pt>
                <c:pt idx="12">
                  <c:v>1</c:v>
                </c:pt>
                <c:pt idx="13">
                  <c:v>1</c:v>
                </c:pt>
                <c:pt idx="14">
                  <c:v>1</c:v>
                </c:pt>
                <c:pt idx="15">
                  <c:v>1</c:v>
                </c:pt>
                <c:pt idx="17">
                  <c:v>0</c:v>
                </c:pt>
                <c:pt idx="18">
                  <c:v>0.69620251655578769</c:v>
                </c:pt>
                <c:pt idx="19">
                  <c:v>0.89361703395843495</c:v>
                </c:pt>
                <c:pt idx="20">
                  <c:v>0.90163934230804543</c:v>
                </c:pt>
                <c:pt idx="21">
                  <c:v>0.90476191043853993</c:v>
                </c:pt>
                <c:pt idx="22">
                  <c:v>0.93617022037506104</c:v>
                </c:pt>
                <c:pt idx="23">
                  <c:v>0.94117647409439165</c:v>
                </c:pt>
                <c:pt idx="24">
                  <c:v>0.94444441795349376</c:v>
                </c:pt>
                <c:pt idx="25">
                  <c:v>0.96428573131561302</c:v>
                </c:pt>
                <c:pt idx="27">
                  <c:v>0.91071426868438765</c:v>
                </c:pt>
                <c:pt idx="28">
                  <c:v>0.91379308700561501</c:v>
                </c:pt>
                <c:pt idx="29">
                  <c:v>0.92307692766189664</c:v>
                </c:pt>
                <c:pt idx="30">
                  <c:v>0.92307692766189664</c:v>
                </c:pt>
                <c:pt idx="31">
                  <c:v>0.93333333730697599</c:v>
                </c:pt>
                <c:pt idx="32">
                  <c:v>0.94915252923965332</c:v>
                </c:pt>
                <c:pt idx="33">
                  <c:v>0.96666663885116599</c:v>
                </c:pt>
                <c:pt idx="34">
                  <c:v>0.9670329689979521</c:v>
                </c:pt>
                <c:pt idx="35">
                  <c:v>0.96774190664291593</c:v>
                </c:pt>
                <c:pt idx="36">
                  <c:v>1</c:v>
                </c:pt>
                <c:pt idx="38">
                  <c:v>0.80851066112518299</c:v>
                </c:pt>
                <c:pt idx="39">
                  <c:v>0.90566039085388195</c:v>
                </c:pt>
                <c:pt idx="40">
                  <c:v>0.91208791732788164</c:v>
                </c:pt>
                <c:pt idx="41">
                  <c:v>0.92307692766189664</c:v>
                </c:pt>
                <c:pt idx="42">
                  <c:v>0.93333333730697599</c:v>
                </c:pt>
                <c:pt idx="43">
                  <c:v>0.93877553939819625</c:v>
                </c:pt>
                <c:pt idx="44">
                  <c:v>0.94444441795349376</c:v>
                </c:pt>
                <c:pt idx="45">
                  <c:v>0.95999997854232944</c:v>
                </c:pt>
                <c:pt idx="46">
                  <c:v>0.96153843402862504</c:v>
                </c:pt>
                <c:pt idx="47">
                  <c:v>0.96296298503875555</c:v>
                </c:pt>
                <c:pt idx="48">
                  <c:v>0.96428573131561302</c:v>
                </c:pt>
                <c:pt idx="49">
                  <c:v>1</c:v>
                </c:pt>
              </c:numCache>
            </c:numRef>
          </c:val>
        </c:ser>
        <c:gapWidth val="55"/>
        <c:overlap val="100"/>
        <c:axId val="85768064"/>
        <c:axId val="85769600"/>
      </c:barChart>
      <c:lineChart>
        <c:grouping val="standard"/>
        <c:ser>
          <c:idx val="6"/>
          <c:order val="1"/>
          <c:tx>
            <c:strRef>
              <c:f>'IMD FEV'!$N$5</c:f>
              <c:strCache>
                <c:ptCount val="1"/>
                <c:pt idx="0">
                  <c:v>England</c:v>
                </c:pt>
              </c:strCache>
            </c:strRef>
          </c:tx>
          <c:marker>
            <c:symbol val="none"/>
          </c:marker>
          <c:cat>
            <c:multiLvlStrRef>
              <c:f>'IMD FEV'!$H$6:$I$55</c:f>
              <c:multiLvlStrCache>
                <c:ptCount val="50"/>
                <c:lvl>
                  <c:pt idx="0">
                    <c:v>TOOTING BEC SURGERY</c:v>
                  </c:pt>
                  <c:pt idx="1">
                    <c:v>THE FRANCISCAN SURGERY</c:v>
                  </c:pt>
                  <c:pt idx="2">
                    <c:v>FURZEDOWN PRIMARY CARE CENTRE</c:v>
                  </c:pt>
                  <c:pt idx="3">
                    <c:v>DR NICHOLAS &amp; PARTNERS</c:v>
                  </c:pt>
                  <c:pt idx="4">
                    <c:v>THE GRAYSWOOD PRACTICE</c:v>
                  </c:pt>
                  <c:pt idx="5">
                    <c:v>TOOTING SOUTH MEDICAL CENTRE</c:v>
                  </c:pt>
                  <c:pt idx="6">
                    <c:v>STREATHAM PARK SURGERY</c:v>
                  </c:pt>
                  <c:pt idx="7">
                    <c:v>BEDFORD HILL FAMILY PRACTICE</c:v>
                  </c:pt>
                  <c:pt idx="8">
                    <c:v>OPEN DOOR SURGERY</c:v>
                  </c:pt>
                  <c:pt idx="9">
                    <c:v>BALHAM PARK SURGERY</c:v>
                  </c:pt>
                  <c:pt idx="10">
                    <c:v>THURLEIGH ROAD PRACTICE</c:v>
                  </c:pt>
                  <c:pt idx="11">
                    <c:v>WATERFALL HOUSE</c:v>
                  </c:pt>
                  <c:pt idx="12">
                    <c:v>BALHAM HEALTH CENTRE</c:v>
                  </c:pt>
                  <c:pt idx="13">
                    <c:v>SAI MEDICAL CENTRE</c:v>
                  </c:pt>
                  <c:pt idx="14">
                    <c:v>MITCHAM ROAD SURGERY</c:v>
                  </c:pt>
                  <c:pt idx="15">
                    <c:v>BALHAM HILL MEDICAL PRACTICE</c:v>
                  </c:pt>
                  <c:pt idx="17">
                    <c:v>GRANVILLE ROAD SURGERY</c:v>
                  </c:pt>
                  <c:pt idx="18">
                    <c:v>EARLSFIELD SURGERY</c:v>
                  </c:pt>
                  <c:pt idx="19">
                    <c:v>SOUTHFIELDS GROUP PRACTICE</c:v>
                  </c:pt>
                  <c:pt idx="20">
                    <c:v>BROCKLEBANK HEALTH CENTRE</c:v>
                  </c:pt>
                  <c:pt idx="21">
                    <c:v>THE SURGERY</c:v>
                  </c:pt>
                  <c:pt idx="22">
                    <c:v>THE MEDICAL CENTRE</c:v>
                  </c:pt>
                  <c:pt idx="23">
                    <c:v>TRIANGLE SURGERY</c:v>
                  </c:pt>
                  <c:pt idx="24">
                    <c:v>ST. JOHN'S HILL PRACTICE</c:v>
                  </c:pt>
                  <c:pt idx="25">
                    <c:v>ELBOROUGH STREET SURGERY</c:v>
                  </c:pt>
                  <c:pt idx="27">
                    <c:v>BATTERSEA FIELDS PRACTICE</c:v>
                  </c:pt>
                  <c:pt idx="28">
                    <c:v>LAVENDER HILL GROUP PRACTICE</c:v>
                  </c:pt>
                  <c:pt idx="29">
                    <c:v>BRIDGE LANE GROUP PRACTICE</c:v>
                  </c:pt>
                  <c:pt idx="30">
                    <c:v>THE HERITAGE MEDICAL CENTRE</c:v>
                  </c:pt>
                  <c:pt idx="31">
                    <c:v>LAVENDER HILL SURGERY</c:v>
                  </c:pt>
                  <c:pt idx="32">
                    <c:v>THE FALCON ROAD MEDICAL CENTRE</c:v>
                  </c:pt>
                  <c:pt idx="33">
                    <c:v>CHATFIELD MEDICAL CENTRE</c:v>
                  </c:pt>
                  <c:pt idx="34">
                    <c:v>QUEENSTOWN ROAD MEDICAL PRACTICE</c:v>
                  </c:pt>
                  <c:pt idx="35">
                    <c:v>BATTERSEA RISE GROUP PRACTICE</c:v>
                  </c:pt>
                  <c:pt idx="36">
                    <c:v>NORTHCOTE ROAD SURGERY</c:v>
                  </c:pt>
                  <c:pt idx="38">
                    <c:v>DANEBURY AVENUE SURGERY</c:v>
                  </c:pt>
                  <c:pt idx="39">
                    <c:v>CHARTFIELD SURGERY</c:v>
                  </c:pt>
                  <c:pt idx="40">
                    <c:v>THE HEATHBRIDGE PRACTICE</c:v>
                  </c:pt>
                  <c:pt idx="41">
                    <c:v>THE ROEHAMPTON SURGERY</c:v>
                  </c:pt>
                  <c:pt idx="42">
                    <c:v>TUDOR LODGE HEALTH CENTRE</c:v>
                  </c:pt>
                  <c:pt idx="43">
                    <c:v>THE ALTON PRACTICE</c:v>
                  </c:pt>
                  <c:pt idx="44">
                    <c:v>THE SURGERY</c:v>
                  </c:pt>
                  <c:pt idx="45">
                    <c:v>MAYFIELD SURGERY</c:v>
                  </c:pt>
                  <c:pt idx="46">
                    <c:v>THE PUTNEY SURGERY</c:v>
                  </c:pt>
                  <c:pt idx="47">
                    <c:v>PUTNEYMEAD MEDICAL CENTRE</c:v>
                  </c:pt>
                  <c:pt idx="48">
                    <c:v>ST PAUL'S COTTAGE PRACTICE</c:v>
                  </c:pt>
                  <c:pt idx="49">
                    <c:v>INNER PARK ROAD HEALTH CENTRE</c:v>
                  </c:pt>
                </c:lvl>
                <c:lvl>
                  <c:pt idx="0">
                    <c:v>South</c:v>
                  </c:pt>
                  <c:pt idx="17">
                    <c:v>Central</c:v>
                  </c:pt>
                  <c:pt idx="27">
                    <c:v>North</c:v>
                  </c:pt>
                  <c:pt idx="38">
                    <c:v>West</c:v>
                  </c:pt>
                </c:lvl>
              </c:multiLvlStrCache>
            </c:multiLvlStrRef>
          </c:cat>
          <c:val>
            <c:numRef>
              <c:f>'IMD FEV'!$N$6:$N$55</c:f>
              <c:numCache>
                <c:formatCode>0.0%</c:formatCode>
                <c:ptCount val="50"/>
                <c:pt idx="0">
                  <c:v>0.91600000000000004</c:v>
                </c:pt>
                <c:pt idx="1">
                  <c:v>0.91600000000000004</c:v>
                </c:pt>
                <c:pt idx="2">
                  <c:v>0.91600000000000004</c:v>
                </c:pt>
                <c:pt idx="3">
                  <c:v>0.91600000000000004</c:v>
                </c:pt>
                <c:pt idx="4">
                  <c:v>0.91600000000000004</c:v>
                </c:pt>
                <c:pt idx="5">
                  <c:v>0.91600000000000004</c:v>
                </c:pt>
                <c:pt idx="6">
                  <c:v>0.91600000000000004</c:v>
                </c:pt>
                <c:pt idx="7">
                  <c:v>0.91600000000000004</c:v>
                </c:pt>
                <c:pt idx="8">
                  <c:v>0.91600000000000004</c:v>
                </c:pt>
                <c:pt idx="9">
                  <c:v>0.91600000000000004</c:v>
                </c:pt>
                <c:pt idx="10">
                  <c:v>0.91600000000000004</c:v>
                </c:pt>
                <c:pt idx="11">
                  <c:v>0.91600000000000004</c:v>
                </c:pt>
                <c:pt idx="12">
                  <c:v>0.91600000000000004</c:v>
                </c:pt>
                <c:pt idx="13">
                  <c:v>0.91600000000000004</c:v>
                </c:pt>
                <c:pt idx="14">
                  <c:v>0.91600000000000004</c:v>
                </c:pt>
                <c:pt idx="15">
                  <c:v>0.91600000000000004</c:v>
                </c:pt>
                <c:pt idx="16">
                  <c:v>0.91600000000000004</c:v>
                </c:pt>
                <c:pt idx="17">
                  <c:v>0.91600000000000004</c:v>
                </c:pt>
                <c:pt idx="18">
                  <c:v>0.91600000000000004</c:v>
                </c:pt>
                <c:pt idx="19">
                  <c:v>0.91600000000000004</c:v>
                </c:pt>
                <c:pt idx="20">
                  <c:v>0.91600000000000004</c:v>
                </c:pt>
                <c:pt idx="21">
                  <c:v>0.91600000000000004</c:v>
                </c:pt>
                <c:pt idx="22">
                  <c:v>0.91600000000000004</c:v>
                </c:pt>
                <c:pt idx="23">
                  <c:v>0.91600000000000004</c:v>
                </c:pt>
                <c:pt idx="24">
                  <c:v>0.91600000000000004</c:v>
                </c:pt>
                <c:pt idx="25">
                  <c:v>0.91600000000000004</c:v>
                </c:pt>
                <c:pt idx="26">
                  <c:v>0.91600000000000004</c:v>
                </c:pt>
                <c:pt idx="27">
                  <c:v>0.91600000000000004</c:v>
                </c:pt>
                <c:pt idx="28">
                  <c:v>0.91600000000000004</c:v>
                </c:pt>
                <c:pt idx="29">
                  <c:v>0.91600000000000004</c:v>
                </c:pt>
                <c:pt idx="30">
                  <c:v>0.91600000000000004</c:v>
                </c:pt>
                <c:pt idx="31">
                  <c:v>0.91600000000000004</c:v>
                </c:pt>
                <c:pt idx="32">
                  <c:v>0.91600000000000004</c:v>
                </c:pt>
                <c:pt idx="33">
                  <c:v>0.91600000000000004</c:v>
                </c:pt>
                <c:pt idx="34">
                  <c:v>0.91600000000000004</c:v>
                </c:pt>
                <c:pt idx="35">
                  <c:v>0.91600000000000004</c:v>
                </c:pt>
                <c:pt idx="36">
                  <c:v>0.91600000000000004</c:v>
                </c:pt>
                <c:pt idx="37">
                  <c:v>0.91600000000000004</c:v>
                </c:pt>
                <c:pt idx="38">
                  <c:v>0.91600000000000004</c:v>
                </c:pt>
                <c:pt idx="39">
                  <c:v>0.91600000000000004</c:v>
                </c:pt>
                <c:pt idx="40">
                  <c:v>0.91600000000000004</c:v>
                </c:pt>
                <c:pt idx="41">
                  <c:v>0.91600000000000004</c:v>
                </c:pt>
                <c:pt idx="42">
                  <c:v>0.91600000000000004</c:v>
                </c:pt>
                <c:pt idx="43">
                  <c:v>0.91600000000000004</c:v>
                </c:pt>
                <c:pt idx="44">
                  <c:v>0.91600000000000004</c:v>
                </c:pt>
                <c:pt idx="45">
                  <c:v>0.91600000000000004</c:v>
                </c:pt>
                <c:pt idx="46">
                  <c:v>0.91600000000000004</c:v>
                </c:pt>
                <c:pt idx="47">
                  <c:v>0.91600000000000004</c:v>
                </c:pt>
                <c:pt idx="48">
                  <c:v>0.91600000000000004</c:v>
                </c:pt>
                <c:pt idx="49">
                  <c:v>0.91600000000000004</c:v>
                </c:pt>
              </c:numCache>
            </c:numRef>
          </c:val>
        </c:ser>
        <c:ser>
          <c:idx val="7"/>
          <c:order val="2"/>
          <c:tx>
            <c:strRef>
              <c:f>'IMD FEV'!$O$5</c:f>
              <c:strCache>
                <c:ptCount val="1"/>
                <c:pt idx="0">
                  <c:v>London</c:v>
                </c:pt>
              </c:strCache>
            </c:strRef>
          </c:tx>
          <c:marker>
            <c:symbol val="none"/>
          </c:marker>
          <c:cat>
            <c:multiLvlStrRef>
              <c:f>'IMD FEV'!$H$6:$I$55</c:f>
              <c:multiLvlStrCache>
                <c:ptCount val="50"/>
                <c:lvl>
                  <c:pt idx="0">
                    <c:v>TOOTING BEC SURGERY</c:v>
                  </c:pt>
                  <c:pt idx="1">
                    <c:v>THE FRANCISCAN SURGERY</c:v>
                  </c:pt>
                  <c:pt idx="2">
                    <c:v>FURZEDOWN PRIMARY CARE CENTRE</c:v>
                  </c:pt>
                  <c:pt idx="3">
                    <c:v>DR NICHOLAS &amp; PARTNERS</c:v>
                  </c:pt>
                  <c:pt idx="4">
                    <c:v>THE GRAYSWOOD PRACTICE</c:v>
                  </c:pt>
                  <c:pt idx="5">
                    <c:v>TOOTING SOUTH MEDICAL CENTRE</c:v>
                  </c:pt>
                  <c:pt idx="6">
                    <c:v>STREATHAM PARK SURGERY</c:v>
                  </c:pt>
                  <c:pt idx="7">
                    <c:v>BEDFORD HILL FAMILY PRACTICE</c:v>
                  </c:pt>
                  <c:pt idx="8">
                    <c:v>OPEN DOOR SURGERY</c:v>
                  </c:pt>
                  <c:pt idx="9">
                    <c:v>BALHAM PARK SURGERY</c:v>
                  </c:pt>
                  <c:pt idx="10">
                    <c:v>THURLEIGH ROAD PRACTICE</c:v>
                  </c:pt>
                  <c:pt idx="11">
                    <c:v>WATERFALL HOUSE</c:v>
                  </c:pt>
                  <c:pt idx="12">
                    <c:v>BALHAM HEALTH CENTRE</c:v>
                  </c:pt>
                  <c:pt idx="13">
                    <c:v>SAI MEDICAL CENTRE</c:v>
                  </c:pt>
                  <c:pt idx="14">
                    <c:v>MITCHAM ROAD SURGERY</c:v>
                  </c:pt>
                  <c:pt idx="15">
                    <c:v>BALHAM HILL MEDICAL PRACTICE</c:v>
                  </c:pt>
                  <c:pt idx="17">
                    <c:v>GRANVILLE ROAD SURGERY</c:v>
                  </c:pt>
                  <c:pt idx="18">
                    <c:v>EARLSFIELD SURGERY</c:v>
                  </c:pt>
                  <c:pt idx="19">
                    <c:v>SOUTHFIELDS GROUP PRACTICE</c:v>
                  </c:pt>
                  <c:pt idx="20">
                    <c:v>BROCKLEBANK HEALTH CENTRE</c:v>
                  </c:pt>
                  <c:pt idx="21">
                    <c:v>THE SURGERY</c:v>
                  </c:pt>
                  <c:pt idx="22">
                    <c:v>THE MEDICAL CENTRE</c:v>
                  </c:pt>
                  <c:pt idx="23">
                    <c:v>TRIANGLE SURGERY</c:v>
                  </c:pt>
                  <c:pt idx="24">
                    <c:v>ST. JOHN'S HILL PRACTICE</c:v>
                  </c:pt>
                  <c:pt idx="25">
                    <c:v>ELBOROUGH STREET SURGERY</c:v>
                  </c:pt>
                  <c:pt idx="27">
                    <c:v>BATTERSEA FIELDS PRACTICE</c:v>
                  </c:pt>
                  <c:pt idx="28">
                    <c:v>LAVENDER HILL GROUP PRACTICE</c:v>
                  </c:pt>
                  <c:pt idx="29">
                    <c:v>BRIDGE LANE GROUP PRACTICE</c:v>
                  </c:pt>
                  <c:pt idx="30">
                    <c:v>THE HERITAGE MEDICAL CENTRE</c:v>
                  </c:pt>
                  <c:pt idx="31">
                    <c:v>LAVENDER HILL SURGERY</c:v>
                  </c:pt>
                  <c:pt idx="32">
                    <c:v>THE FALCON ROAD MEDICAL CENTRE</c:v>
                  </c:pt>
                  <c:pt idx="33">
                    <c:v>CHATFIELD MEDICAL CENTRE</c:v>
                  </c:pt>
                  <c:pt idx="34">
                    <c:v>QUEENSTOWN ROAD MEDICAL PRACTICE</c:v>
                  </c:pt>
                  <c:pt idx="35">
                    <c:v>BATTERSEA RISE GROUP PRACTICE</c:v>
                  </c:pt>
                  <c:pt idx="36">
                    <c:v>NORTHCOTE ROAD SURGERY</c:v>
                  </c:pt>
                  <c:pt idx="38">
                    <c:v>DANEBURY AVENUE SURGERY</c:v>
                  </c:pt>
                  <c:pt idx="39">
                    <c:v>CHARTFIELD SURGERY</c:v>
                  </c:pt>
                  <c:pt idx="40">
                    <c:v>THE HEATHBRIDGE PRACTICE</c:v>
                  </c:pt>
                  <c:pt idx="41">
                    <c:v>THE ROEHAMPTON SURGERY</c:v>
                  </c:pt>
                  <c:pt idx="42">
                    <c:v>TUDOR LODGE HEALTH CENTRE</c:v>
                  </c:pt>
                  <c:pt idx="43">
                    <c:v>THE ALTON PRACTICE</c:v>
                  </c:pt>
                  <c:pt idx="44">
                    <c:v>THE SURGERY</c:v>
                  </c:pt>
                  <c:pt idx="45">
                    <c:v>MAYFIELD SURGERY</c:v>
                  </c:pt>
                  <c:pt idx="46">
                    <c:v>THE PUTNEY SURGERY</c:v>
                  </c:pt>
                  <c:pt idx="47">
                    <c:v>PUTNEYMEAD MEDICAL CENTRE</c:v>
                  </c:pt>
                  <c:pt idx="48">
                    <c:v>ST PAUL'S COTTAGE PRACTICE</c:v>
                  </c:pt>
                  <c:pt idx="49">
                    <c:v>INNER PARK ROAD HEALTH CENTRE</c:v>
                  </c:pt>
                </c:lvl>
                <c:lvl>
                  <c:pt idx="0">
                    <c:v>South</c:v>
                  </c:pt>
                  <c:pt idx="17">
                    <c:v>Central</c:v>
                  </c:pt>
                  <c:pt idx="27">
                    <c:v>North</c:v>
                  </c:pt>
                  <c:pt idx="38">
                    <c:v>West</c:v>
                  </c:pt>
                </c:lvl>
              </c:multiLvlStrCache>
            </c:multiLvlStrRef>
          </c:cat>
          <c:val>
            <c:numRef>
              <c:f>'IMD FEV'!$O$6:$O$55</c:f>
              <c:numCache>
                <c:formatCode>0.0%</c:formatCode>
                <c:ptCount val="50"/>
                <c:pt idx="0">
                  <c:v>3.54</c:v>
                </c:pt>
                <c:pt idx="1">
                  <c:v>3.54</c:v>
                </c:pt>
                <c:pt idx="2">
                  <c:v>3.54</c:v>
                </c:pt>
                <c:pt idx="3">
                  <c:v>3.54</c:v>
                </c:pt>
                <c:pt idx="4">
                  <c:v>3.54</c:v>
                </c:pt>
                <c:pt idx="5">
                  <c:v>3.54</c:v>
                </c:pt>
                <c:pt idx="6">
                  <c:v>3.54</c:v>
                </c:pt>
                <c:pt idx="7">
                  <c:v>3.54</c:v>
                </c:pt>
                <c:pt idx="8">
                  <c:v>3.54</c:v>
                </c:pt>
                <c:pt idx="9">
                  <c:v>3.54</c:v>
                </c:pt>
                <c:pt idx="10">
                  <c:v>3.54</c:v>
                </c:pt>
                <c:pt idx="11">
                  <c:v>3.54</c:v>
                </c:pt>
                <c:pt idx="12">
                  <c:v>3.54</c:v>
                </c:pt>
                <c:pt idx="13">
                  <c:v>3.54</c:v>
                </c:pt>
                <c:pt idx="14">
                  <c:v>3.54</c:v>
                </c:pt>
                <c:pt idx="15">
                  <c:v>3.54</c:v>
                </c:pt>
                <c:pt idx="16">
                  <c:v>3.54</c:v>
                </c:pt>
                <c:pt idx="17">
                  <c:v>3.54</c:v>
                </c:pt>
                <c:pt idx="18">
                  <c:v>3.54</c:v>
                </c:pt>
                <c:pt idx="19">
                  <c:v>3.54</c:v>
                </c:pt>
                <c:pt idx="20">
                  <c:v>3.54</c:v>
                </c:pt>
                <c:pt idx="21">
                  <c:v>3.54</c:v>
                </c:pt>
                <c:pt idx="22">
                  <c:v>3.54</c:v>
                </c:pt>
                <c:pt idx="23">
                  <c:v>3.54</c:v>
                </c:pt>
                <c:pt idx="24">
                  <c:v>3.54</c:v>
                </c:pt>
                <c:pt idx="25">
                  <c:v>3.54</c:v>
                </c:pt>
                <c:pt idx="26">
                  <c:v>3.54</c:v>
                </c:pt>
                <c:pt idx="27">
                  <c:v>3.54</c:v>
                </c:pt>
                <c:pt idx="28">
                  <c:v>3.54</c:v>
                </c:pt>
                <c:pt idx="29">
                  <c:v>3.54</c:v>
                </c:pt>
                <c:pt idx="30">
                  <c:v>3.54</c:v>
                </c:pt>
                <c:pt idx="31">
                  <c:v>3.54</c:v>
                </c:pt>
                <c:pt idx="32">
                  <c:v>3.54</c:v>
                </c:pt>
                <c:pt idx="33">
                  <c:v>3.54</c:v>
                </c:pt>
                <c:pt idx="34">
                  <c:v>3.54</c:v>
                </c:pt>
                <c:pt idx="35">
                  <c:v>3.54</c:v>
                </c:pt>
                <c:pt idx="36">
                  <c:v>3.54</c:v>
                </c:pt>
                <c:pt idx="37">
                  <c:v>3.54</c:v>
                </c:pt>
                <c:pt idx="38">
                  <c:v>3.54</c:v>
                </c:pt>
                <c:pt idx="39">
                  <c:v>3.54</c:v>
                </c:pt>
                <c:pt idx="40">
                  <c:v>3.54</c:v>
                </c:pt>
                <c:pt idx="41">
                  <c:v>3.54</c:v>
                </c:pt>
                <c:pt idx="42">
                  <c:v>3.54</c:v>
                </c:pt>
                <c:pt idx="43">
                  <c:v>3.54</c:v>
                </c:pt>
                <c:pt idx="44">
                  <c:v>3.54</c:v>
                </c:pt>
                <c:pt idx="45">
                  <c:v>3.54</c:v>
                </c:pt>
                <c:pt idx="46">
                  <c:v>3.54</c:v>
                </c:pt>
                <c:pt idx="47">
                  <c:v>3.54</c:v>
                </c:pt>
                <c:pt idx="48">
                  <c:v>3.54</c:v>
                </c:pt>
                <c:pt idx="49">
                  <c:v>3.54</c:v>
                </c:pt>
              </c:numCache>
            </c:numRef>
          </c:val>
        </c:ser>
        <c:ser>
          <c:idx val="8"/>
          <c:order val="3"/>
          <c:tx>
            <c:strRef>
              <c:f>'IMD FEV'!$P$5</c:f>
              <c:strCache>
                <c:ptCount val="1"/>
                <c:pt idx="0">
                  <c:v>Wandsworth</c:v>
                </c:pt>
              </c:strCache>
            </c:strRef>
          </c:tx>
          <c:marker>
            <c:symbol val="none"/>
          </c:marker>
          <c:cat>
            <c:multiLvlStrRef>
              <c:f>'IMD FEV'!$H$6:$I$55</c:f>
              <c:multiLvlStrCache>
                <c:ptCount val="50"/>
                <c:lvl>
                  <c:pt idx="0">
                    <c:v>TOOTING BEC SURGERY</c:v>
                  </c:pt>
                  <c:pt idx="1">
                    <c:v>THE FRANCISCAN SURGERY</c:v>
                  </c:pt>
                  <c:pt idx="2">
                    <c:v>FURZEDOWN PRIMARY CARE CENTRE</c:v>
                  </c:pt>
                  <c:pt idx="3">
                    <c:v>DR NICHOLAS &amp; PARTNERS</c:v>
                  </c:pt>
                  <c:pt idx="4">
                    <c:v>THE GRAYSWOOD PRACTICE</c:v>
                  </c:pt>
                  <c:pt idx="5">
                    <c:v>TOOTING SOUTH MEDICAL CENTRE</c:v>
                  </c:pt>
                  <c:pt idx="6">
                    <c:v>STREATHAM PARK SURGERY</c:v>
                  </c:pt>
                  <c:pt idx="7">
                    <c:v>BEDFORD HILL FAMILY PRACTICE</c:v>
                  </c:pt>
                  <c:pt idx="8">
                    <c:v>OPEN DOOR SURGERY</c:v>
                  </c:pt>
                  <c:pt idx="9">
                    <c:v>BALHAM PARK SURGERY</c:v>
                  </c:pt>
                  <c:pt idx="10">
                    <c:v>THURLEIGH ROAD PRACTICE</c:v>
                  </c:pt>
                  <c:pt idx="11">
                    <c:v>WATERFALL HOUSE</c:v>
                  </c:pt>
                  <c:pt idx="12">
                    <c:v>BALHAM HEALTH CENTRE</c:v>
                  </c:pt>
                  <c:pt idx="13">
                    <c:v>SAI MEDICAL CENTRE</c:v>
                  </c:pt>
                  <c:pt idx="14">
                    <c:v>MITCHAM ROAD SURGERY</c:v>
                  </c:pt>
                  <c:pt idx="15">
                    <c:v>BALHAM HILL MEDICAL PRACTICE</c:v>
                  </c:pt>
                  <c:pt idx="17">
                    <c:v>GRANVILLE ROAD SURGERY</c:v>
                  </c:pt>
                  <c:pt idx="18">
                    <c:v>EARLSFIELD SURGERY</c:v>
                  </c:pt>
                  <c:pt idx="19">
                    <c:v>SOUTHFIELDS GROUP PRACTICE</c:v>
                  </c:pt>
                  <c:pt idx="20">
                    <c:v>BROCKLEBANK HEALTH CENTRE</c:v>
                  </c:pt>
                  <c:pt idx="21">
                    <c:v>THE SURGERY</c:v>
                  </c:pt>
                  <c:pt idx="22">
                    <c:v>THE MEDICAL CENTRE</c:v>
                  </c:pt>
                  <c:pt idx="23">
                    <c:v>TRIANGLE SURGERY</c:v>
                  </c:pt>
                  <c:pt idx="24">
                    <c:v>ST. JOHN'S HILL PRACTICE</c:v>
                  </c:pt>
                  <c:pt idx="25">
                    <c:v>ELBOROUGH STREET SURGERY</c:v>
                  </c:pt>
                  <c:pt idx="27">
                    <c:v>BATTERSEA FIELDS PRACTICE</c:v>
                  </c:pt>
                  <c:pt idx="28">
                    <c:v>LAVENDER HILL GROUP PRACTICE</c:v>
                  </c:pt>
                  <c:pt idx="29">
                    <c:v>BRIDGE LANE GROUP PRACTICE</c:v>
                  </c:pt>
                  <c:pt idx="30">
                    <c:v>THE HERITAGE MEDICAL CENTRE</c:v>
                  </c:pt>
                  <c:pt idx="31">
                    <c:v>LAVENDER HILL SURGERY</c:v>
                  </c:pt>
                  <c:pt idx="32">
                    <c:v>THE FALCON ROAD MEDICAL CENTRE</c:v>
                  </c:pt>
                  <c:pt idx="33">
                    <c:v>CHATFIELD MEDICAL CENTRE</c:v>
                  </c:pt>
                  <c:pt idx="34">
                    <c:v>QUEENSTOWN ROAD MEDICAL PRACTICE</c:v>
                  </c:pt>
                  <c:pt idx="35">
                    <c:v>BATTERSEA RISE GROUP PRACTICE</c:v>
                  </c:pt>
                  <c:pt idx="36">
                    <c:v>NORTHCOTE ROAD SURGERY</c:v>
                  </c:pt>
                  <c:pt idx="38">
                    <c:v>DANEBURY AVENUE SURGERY</c:v>
                  </c:pt>
                  <c:pt idx="39">
                    <c:v>CHARTFIELD SURGERY</c:v>
                  </c:pt>
                  <c:pt idx="40">
                    <c:v>THE HEATHBRIDGE PRACTICE</c:v>
                  </c:pt>
                  <c:pt idx="41">
                    <c:v>THE ROEHAMPTON SURGERY</c:v>
                  </c:pt>
                  <c:pt idx="42">
                    <c:v>TUDOR LODGE HEALTH CENTRE</c:v>
                  </c:pt>
                  <c:pt idx="43">
                    <c:v>THE ALTON PRACTICE</c:v>
                  </c:pt>
                  <c:pt idx="44">
                    <c:v>THE SURGERY</c:v>
                  </c:pt>
                  <c:pt idx="45">
                    <c:v>MAYFIELD SURGERY</c:v>
                  </c:pt>
                  <c:pt idx="46">
                    <c:v>THE PUTNEY SURGERY</c:v>
                  </c:pt>
                  <c:pt idx="47">
                    <c:v>PUTNEYMEAD MEDICAL CENTRE</c:v>
                  </c:pt>
                  <c:pt idx="48">
                    <c:v>ST PAUL'S COTTAGE PRACTICE</c:v>
                  </c:pt>
                  <c:pt idx="49">
                    <c:v>INNER PARK ROAD HEALTH CENTRE</c:v>
                  </c:pt>
                </c:lvl>
                <c:lvl>
                  <c:pt idx="0">
                    <c:v>South</c:v>
                  </c:pt>
                  <c:pt idx="17">
                    <c:v>Central</c:v>
                  </c:pt>
                  <c:pt idx="27">
                    <c:v>North</c:v>
                  </c:pt>
                  <c:pt idx="38">
                    <c:v>West</c:v>
                  </c:pt>
                </c:lvl>
              </c:multiLvlStrCache>
            </c:multiLvlStrRef>
          </c:cat>
          <c:val>
            <c:numRef>
              <c:f>'IMD FEV'!$P$6:$P$55</c:f>
              <c:numCache>
                <c:formatCode>0.0%</c:formatCode>
                <c:ptCount val="50"/>
                <c:pt idx="0">
                  <c:v>0.91</c:v>
                </c:pt>
                <c:pt idx="1">
                  <c:v>0.91</c:v>
                </c:pt>
                <c:pt idx="2">
                  <c:v>0.91</c:v>
                </c:pt>
                <c:pt idx="3">
                  <c:v>0.91</c:v>
                </c:pt>
                <c:pt idx="4">
                  <c:v>0.91</c:v>
                </c:pt>
                <c:pt idx="5">
                  <c:v>0.91</c:v>
                </c:pt>
                <c:pt idx="6">
                  <c:v>0.91</c:v>
                </c:pt>
                <c:pt idx="7">
                  <c:v>0.91</c:v>
                </c:pt>
                <c:pt idx="8">
                  <c:v>0.91</c:v>
                </c:pt>
                <c:pt idx="9">
                  <c:v>0.91</c:v>
                </c:pt>
                <c:pt idx="10">
                  <c:v>0.91</c:v>
                </c:pt>
                <c:pt idx="11">
                  <c:v>0.91</c:v>
                </c:pt>
                <c:pt idx="12">
                  <c:v>0.91</c:v>
                </c:pt>
                <c:pt idx="13">
                  <c:v>0.91</c:v>
                </c:pt>
                <c:pt idx="14">
                  <c:v>0.91</c:v>
                </c:pt>
                <c:pt idx="15">
                  <c:v>0.91</c:v>
                </c:pt>
                <c:pt idx="16">
                  <c:v>0.91</c:v>
                </c:pt>
                <c:pt idx="17">
                  <c:v>0.91</c:v>
                </c:pt>
                <c:pt idx="18">
                  <c:v>0.91</c:v>
                </c:pt>
                <c:pt idx="19">
                  <c:v>0.91</c:v>
                </c:pt>
                <c:pt idx="20">
                  <c:v>0.91</c:v>
                </c:pt>
                <c:pt idx="21">
                  <c:v>0.91</c:v>
                </c:pt>
                <c:pt idx="22">
                  <c:v>0.91</c:v>
                </c:pt>
                <c:pt idx="23">
                  <c:v>0.91</c:v>
                </c:pt>
                <c:pt idx="24">
                  <c:v>0.91</c:v>
                </c:pt>
                <c:pt idx="25">
                  <c:v>0.91</c:v>
                </c:pt>
                <c:pt idx="26">
                  <c:v>0.91</c:v>
                </c:pt>
                <c:pt idx="27">
                  <c:v>0.91</c:v>
                </c:pt>
                <c:pt idx="28">
                  <c:v>0.91</c:v>
                </c:pt>
                <c:pt idx="29">
                  <c:v>0.91</c:v>
                </c:pt>
                <c:pt idx="30">
                  <c:v>0.91</c:v>
                </c:pt>
                <c:pt idx="31">
                  <c:v>0.91</c:v>
                </c:pt>
                <c:pt idx="32">
                  <c:v>0.91</c:v>
                </c:pt>
                <c:pt idx="33">
                  <c:v>0.91</c:v>
                </c:pt>
                <c:pt idx="34">
                  <c:v>0.91</c:v>
                </c:pt>
                <c:pt idx="35">
                  <c:v>0.91</c:v>
                </c:pt>
                <c:pt idx="36">
                  <c:v>0.91</c:v>
                </c:pt>
                <c:pt idx="37">
                  <c:v>0.91</c:v>
                </c:pt>
                <c:pt idx="38">
                  <c:v>0.91</c:v>
                </c:pt>
                <c:pt idx="39">
                  <c:v>0.91</c:v>
                </c:pt>
                <c:pt idx="40">
                  <c:v>0.91</c:v>
                </c:pt>
                <c:pt idx="41">
                  <c:v>0.91</c:v>
                </c:pt>
                <c:pt idx="42">
                  <c:v>0.91</c:v>
                </c:pt>
                <c:pt idx="43">
                  <c:v>0.91</c:v>
                </c:pt>
                <c:pt idx="44">
                  <c:v>0.91</c:v>
                </c:pt>
                <c:pt idx="45">
                  <c:v>0.91</c:v>
                </c:pt>
                <c:pt idx="46">
                  <c:v>0.91</c:v>
                </c:pt>
                <c:pt idx="47">
                  <c:v>0.91</c:v>
                </c:pt>
                <c:pt idx="48">
                  <c:v>0.91</c:v>
                </c:pt>
                <c:pt idx="49">
                  <c:v>0.91</c:v>
                </c:pt>
              </c:numCache>
            </c:numRef>
          </c:val>
        </c:ser>
        <c:marker val="1"/>
        <c:axId val="85768064"/>
        <c:axId val="85769600"/>
      </c:lineChart>
      <c:catAx>
        <c:axId val="85768064"/>
        <c:scaling>
          <c:orientation val="minMax"/>
        </c:scaling>
        <c:axPos val="b"/>
        <c:numFmt formatCode="General" sourceLinked="1"/>
        <c:majorTickMark val="none"/>
        <c:tickLblPos val="nextTo"/>
        <c:txPr>
          <a:bodyPr/>
          <a:lstStyle/>
          <a:p>
            <a:pPr>
              <a:defRPr sz="700"/>
            </a:pPr>
            <a:endParaRPr lang="en-US"/>
          </a:p>
        </c:txPr>
        <c:crossAx val="85769600"/>
        <c:crosses val="autoZero"/>
        <c:auto val="1"/>
        <c:lblAlgn val="ctr"/>
        <c:lblOffset val="100"/>
      </c:catAx>
      <c:valAx>
        <c:axId val="85769600"/>
        <c:scaling>
          <c:orientation val="minMax"/>
          <c:max val="1"/>
        </c:scaling>
        <c:axPos val="l"/>
        <c:majorGridlines/>
        <c:numFmt formatCode="0%" sourceLinked="0"/>
        <c:majorTickMark val="none"/>
        <c:tickLblPos val="nextTo"/>
        <c:crossAx val="85768064"/>
        <c:crosses val="autoZero"/>
        <c:crossBetween val="between"/>
      </c:valAx>
    </c:plotArea>
    <c:legend>
      <c:legendPos val="r"/>
      <c:legendEntry>
        <c:idx val="0"/>
        <c:delete val="1"/>
      </c:legendEntry>
      <c:legendEntry>
        <c:idx val="2"/>
        <c:delete val="1"/>
      </c:legendEntry>
      <c:layout>
        <c:manualLayout>
          <c:xMode val="edge"/>
          <c:yMode val="edge"/>
          <c:x val="0.28371401312745526"/>
          <c:y val="0.11457238986066338"/>
          <c:w val="0.43487667298844668"/>
          <c:h val="0.10715976475162826"/>
        </c:manualLayout>
      </c:layout>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600"/>
            </a:pPr>
            <a:r>
              <a:rPr lang="en-GB" sz="1600" b="1" i="0" u="none" strike="noStrike" baseline="0"/>
              <a:t>% of patients with COPD who have had influenza immunisation  </a:t>
            </a:r>
            <a:endParaRPr lang="en-GB" sz="1600"/>
          </a:p>
        </c:rich>
      </c:tx>
    </c:title>
    <c:plotArea>
      <c:layout>
        <c:manualLayout>
          <c:layoutTarget val="inner"/>
          <c:xMode val="edge"/>
          <c:yMode val="edge"/>
          <c:x val="4.9998042460870445E-2"/>
          <c:y val="0.18725515138828538"/>
          <c:w val="0.88415653117590143"/>
          <c:h val="0.40695532690315545"/>
        </c:manualLayout>
      </c:layout>
      <c:barChart>
        <c:barDir val="col"/>
        <c:grouping val="stacked"/>
        <c:ser>
          <c:idx val="0"/>
          <c:order val="0"/>
          <c:tx>
            <c:strRef>
              <c:f>'IMD FEV'!$J$5</c:f>
              <c:strCache>
                <c:ptCount val="1"/>
                <c:pt idx="0">
                  <c:v>% of patients with COPD who have had influenza immunisation </c:v>
                </c:pt>
              </c:strCache>
            </c:strRef>
          </c:tx>
          <c:cat>
            <c:multiLvlStrRef>
              <c:f>'IMD FEV'!$H$6:$I$55</c:f>
              <c:multiLvlStrCache>
                <c:ptCount val="50"/>
                <c:lvl>
                  <c:pt idx="0">
                    <c:v>TOOTING SOUTH MEDICAL CENTRE</c:v>
                  </c:pt>
                  <c:pt idx="1">
                    <c:v>TOOTING BEC SURGERY</c:v>
                  </c:pt>
                  <c:pt idx="2">
                    <c:v>THE FRANCISCAN SURGERY</c:v>
                  </c:pt>
                  <c:pt idx="3">
                    <c:v>FURZEDOWN PRIMARY CARE CENTRE</c:v>
                  </c:pt>
                  <c:pt idx="4">
                    <c:v>DR NICHOLAS &amp; PARTNERS</c:v>
                  </c:pt>
                  <c:pt idx="5">
                    <c:v>BALHAM PARK SURGERY</c:v>
                  </c:pt>
                  <c:pt idx="6">
                    <c:v>THURLEIGH ROAD PRACTICE</c:v>
                  </c:pt>
                  <c:pt idx="7">
                    <c:v>STREATHAM PARK SURGERY</c:v>
                  </c:pt>
                  <c:pt idx="8">
                    <c:v>BEDFORD HILL FAMILY PRACTICE</c:v>
                  </c:pt>
                  <c:pt idx="9">
                    <c:v>WATERFALL HOUSE</c:v>
                  </c:pt>
                  <c:pt idx="10">
                    <c:v>BALHAM HILL MEDICAL PRACTICE</c:v>
                  </c:pt>
                  <c:pt idx="11">
                    <c:v>THE GRAYSWOOD PRACTICE</c:v>
                  </c:pt>
                  <c:pt idx="12">
                    <c:v>OPEN DOOR SURGERY</c:v>
                  </c:pt>
                  <c:pt idx="13">
                    <c:v>BALHAM HEALTH CENTRE</c:v>
                  </c:pt>
                  <c:pt idx="14">
                    <c:v>SAI MEDICAL CENTRE</c:v>
                  </c:pt>
                  <c:pt idx="15">
                    <c:v>MITCHAM ROAD SURGERY</c:v>
                  </c:pt>
                  <c:pt idx="17">
                    <c:v>THE MEDICAL CENTRE</c:v>
                  </c:pt>
                  <c:pt idx="18">
                    <c:v>EARLSFIELD SURGERY</c:v>
                  </c:pt>
                  <c:pt idx="19">
                    <c:v>THE SURGERY</c:v>
                  </c:pt>
                  <c:pt idx="20">
                    <c:v>ST. JOHN'S HILL PRACTICE</c:v>
                  </c:pt>
                  <c:pt idx="21">
                    <c:v>BROCKLEBANK HEALTH CENTRE</c:v>
                  </c:pt>
                  <c:pt idx="22">
                    <c:v>ELBOROUGH STREET SURGERY</c:v>
                  </c:pt>
                  <c:pt idx="23">
                    <c:v>TRIANGLE SURGERY</c:v>
                  </c:pt>
                  <c:pt idx="24">
                    <c:v>SOUTHFIELDS GROUP PRACTICE</c:v>
                  </c:pt>
                  <c:pt idx="25">
                    <c:v>GRANVILLE ROAD SURGERY</c:v>
                  </c:pt>
                  <c:pt idx="27">
                    <c:v>NORTHCOTE ROAD SURGERY</c:v>
                  </c:pt>
                  <c:pt idx="28">
                    <c:v>QUEENSTOWN ROAD MEDICAL PRACTICE</c:v>
                  </c:pt>
                  <c:pt idx="29">
                    <c:v>BRIDGE LANE GROUP PRACTICE</c:v>
                  </c:pt>
                  <c:pt idx="30">
                    <c:v>CHATFIELD MEDICAL CENTRE</c:v>
                  </c:pt>
                  <c:pt idx="31">
                    <c:v>BATTERSEA FIELDS PRACTICE</c:v>
                  </c:pt>
                  <c:pt idx="32">
                    <c:v>LAVENDER HILL SURGERY</c:v>
                  </c:pt>
                  <c:pt idx="33">
                    <c:v>BATTERSEA RISE GROUP PRACTICE</c:v>
                  </c:pt>
                  <c:pt idx="34">
                    <c:v>LAVENDER HILL GROUP PRACTICE</c:v>
                  </c:pt>
                  <c:pt idx="35">
                    <c:v>THE FALCON ROAD MEDICAL CENTRE</c:v>
                  </c:pt>
                  <c:pt idx="36">
                    <c:v>THE HERITAGE MEDICAL CENTRE</c:v>
                  </c:pt>
                  <c:pt idx="38">
                    <c:v>PUTNEYMEAD MEDICAL CENTRE</c:v>
                  </c:pt>
                  <c:pt idx="39">
                    <c:v>THE SURGERY</c:v>
                  </c:pt>
                  <c:pt idx="40">
                    <c:v>THE ROEHAMPTON SURGERY</c:v>
                  </c:pt>
                  <c:pt idx="41">
                    <c:v>MAYFIELD SURGERY</c:v>
                  </c:pt>
                  <c:pt idx="42">
                    <c:v>THE ALTON PRACTICE</c:v>
                  </c:pt>
                  <c:pt idx="43">
                    <c:v>CHARTFIELD SURGERY</c:v>
                  </c:pt>
                  <c:pt idx="44">
                    <c:v>DANEBURY AVENUE SURGERY</c:v>
                  </c:pt>
                  <c:pt idx="45">
                    <c:v>TUDOR LODGE HEALTH CENTRE</c:v>
                  </c:pt>
                  <c:pt idx="46">
                    <c:v>INNER PARK ROAD HEALTH CENTRE</c:v>
                  </c:pt>
                  <c:pt idx="47">
                    <c:v>THE HEATHBRIDGE PRACTICE</c:v>
                  </c:pt>
                  <c:pt idx="48">
                    <c:v>ST PAUL'S COTTAGE PRACTICE</c:v>
                  </c:pt>
                  <c:pt idx="49">
                    <c:v>THE PUTNEY SURGERY</c:v>
                  </c:pt>
                </c:lvl>
                <c:lvl>
                  <c:pt idx="0">
                    <c:v>South</c:v>
                  </c:pt>
                  <c:pt idx="17">
                    <c:v>Central</c:v>
                  </c:pt>
                  <c:pt idx="27">
                    <c:v>North</c:v>
                  </c:pt>
                  <c:pt idx="38">
                    <c:v>West</c:v>
                  </c:pt>
                </c:lvl>
              </c:multiLvlStrCache>
            </c:multiLvlStrRef>
          </c:cat>
          <c:val>
            <c:numRef>
              <c:f>'IMD FEV'!$J$6:$J$55</c:f>
              <c:numCache>
                <c:formatCode>0.0%</c:formatCode>
                <c:ptCount val="50"/>
                <c:pt idx="0">
                  <c:v>0.61904764175414995</c:v>
                </c:pt>
                <c:pt idx="1">
                  <c:v>0.66666668653488537</c:v>
                </c:pt>
                <c:pt idx="2">
                  <c:v>0.67741936445236151</c:v>
                </c:pt>
                <c:pt idx="3">
                  <c:v>0.82608693838119562</c:v>
                </c:pt>
                <c:pt idx="4">
                  <c:v>0.85365855693817427</c:v>
                </c:pt>
                <c:pt idx="5">
                  <c:v>0.88405799865722656</c:v>
                </c:pt>
                <c:pt idx="6">
                  <c:v>0.89130437374114957</c:v>
                </c:pt>
                <c:pt idx="7">
                  <c:v>0.89999997615814464</c:v>
                </c:pt>
                <c:pt idx="8">
                  <c:v>0.90625</c:v>
                </c:pt>
                <c:pt idx="9">
                  <c:v>0.91935485601425204</c:v>
                </c:pt>
                <c:pt idx="10">
                  <c:v>0.93333333730697599</c:v>
                </c:pt>
                <c:pt idx="11">
                  <c:v>0.94117647409439165</c:v>
                </c:pt>
                <c:pt idx="12">
                  <c:v>0.95890408754349088</c:v>
                </c:pt>
                <c:pt idx="13">
                  <c:v>1</c:v>
                </c:pt>
                <c:pt idx="14">
                  <c:v>1</c:v>
                </c:pt>
                <c:pt idx="15">
                  <c:v>1</c:v>
                </c:pt>
                <c:pt idx="17">
                  <c:v>0.81355929374694758</c:v>
                </c:pt>
                <c:pt idx="18">
                  <c:v>0.88764047622680953</c:v>
                </c:pt>
                <c:pt idx="19">
                  <c:v>0.89655172824859664</c:v>
                </c:pt>
                <c:pt idx="20">
                  <c:v>0.89999997615814464</c:v>
                </c:pt>
                <c:pt idx="21">
                  <c:v>0.89999997615814464</c:v>
                </c:pt>
                <c:pt idx="22">
                  <c:v>0.90625</c:v>
                </c:pt>
                <c:pt idx="23">
                  <c:v>0.906976759433746</c:v>
                </c:pt>
                <c:pt idx="24">
                  <c:v>0.91089111566543768</c:v>
                </c:pt>
                <c:pt idx="25">
                  <c:v>1</c:v>
                </c:pt>
                <c:pt idx="27">
                  <c:v>0.76923078298568703</c:v>
                </c:pt>
                <c:pt idx="28">
                  <c:v>0.86170214414596558</c:v>
                </c:pt>
                <c:pt idx="29">
                  <c:v>0.88741719722747758</c:v>
                </c:pt>
                <c:pt idx="30">
                  <c:v>0.89473682641983143</c:v>
                </c:pt>
                <c:pt idx="31">
                  <c:v>0.93939393758773804</c:v>
                </c:pt>
                <c:pt idx="32">
                  <c:v>0.94117647409439165</c:v>
                </c:pt>
                <c:pt idx="33">
                  <c:v>0.96666663885116599</c:v>
                </c:pt>
                <c:pt idx="34">
                  <c:v>0.96825397014617964</c:v>
                </c:pt>
                <c:pt idx="35">
                  <c:v>0.98305082321167003</c:v>
                </c:pt>
                <c:pt idx="36">
                  <c:v>1</c:v>
                </c:pt>
                <c:pt idx="38">
                  <c:v>0.74285715818405262</c:v>
                </c:pt>
                <c:pt idx="39">
                  <c:v>0.75000000000000155</c:v>
                </c:pt>
                <c:pt idx="40">
                  <c:v>0.76190477609634544</c:v>
                </c:pt>
                <c:pt idx="41">
                  <c:v>0.77477478981018244</c:v>
                </c:pt>
                <c:pt idx="42">
                  <c:v>0.87500000000000155</c:v>
                </c:pt>
                <c:pt idx="43">
                  <c:v>0.87804877758026256</c:v>
                </c:pt>
                <c:pt idx="44">
                  <c:v>0.87999999523162864</c:v>
                </c:pt>
                <c:pt idx="45">
                  <c:v>0.89215683937072798</c:v>
                </c:pt>
                <c:pt idx="46">
                  <c:v>0.89999997615814464</c:v>
                </c:pt>
                <c:pt idx="47">
                  <c:v>0.94782608747482444</c:v>
                </c:pt>
                <c:pt idx="48">
                  <c:v>0.96666663885116599</c:v>
                </c:pt>
                <c:pt idx="49">
                  <c:v>0.96875000000000155</c:v>
                </c:pt>
              </c:numCache>
            </c:numRef>
          </c:val>
        </c:ser>
        <c:gapWidth val="55"/>
        <c:overlap val="100"/>
        <c:axId val="85940864"/>
        <c:axId val="85971328"/>
      </c:barChart>
      <c:lineChart>
        <c:grouping val="standard"/>
        <c:ser>
          <c:idx val="6"/>
          <c:order val="1"/>
          <c:tx>
            <c:strRef>
              <c:f>'IMD FEV'!$N$5</c:f>
              <c:strCache>
                <c:ptCount val="1"/>
                <c:pt idx="0">
                  <c:v>England</c:v>
                </c:pt>
              </c:strCache>
            </c:strRef>
          </c:tx>
          <c:marker>
            <c:symbol val="none"/>
          </c:marker>
          <c:cat>
            <c:multiLvlStrRef>
              <c:f>'IMD FEV'!$H$6:$I$55</c:f>
              <c:multiLvlStrCache>
                <c:ptCount val="50"/>
                <c:lvl>
                  <c:pt idx="0">
                    <c:v>TOOTING SOUTH MEDICAL CENTRE</c:v>
                  </c:pt>
                  <c:pt idx="1">
                    <c:v>TOOTING BEC SURGERY</c:v>
                  </c:pt>
                  <c:pt idx="2">
                    <c:v>THE FRANCISCAN SURGERY</c:v>
                  </c:pt>
                  <c:pt idx="3">
                    <c:v>FURZEDOWN PRIMARY CARE CENTRE</c:v>
                  </c:pt>
                  <c:pt idx="4">
                    <c:v>DR NICHOLAS &amp; PARTNERS</c:v>
                  </c:pt>
                  <c:pt idx="5">
                    <c:v>BALHAM PARK SURGERY</c:v>
                  </c:pt>
                  <c:pt idx="6">
                    <c:v>THURLEIGH ROAD PRACTICE</c:v>
                  </c:pt>
                  <c:pt idx="7">
                    <c:v>STREATHAM PARK SURGERY</c:v>
                  </c:pt>
                  <c:pt idx="8">
                    <c:v>BEDFORD HILL FAMILY PRACTICE</c:v>
                  </c:pt>
                  <c:pt idx="9">
                    <c:v>WATERFALL HOUSE</c:v>
                  </c:pt>
                  <c:pt idx="10">
                    <c:v>BALHAM HILL MEDICAL PRACTICE</c:v>
                  </c:pt>
                  <c:pt idx="11">
                    <c:v>THE GRAYSWOOD PRACTICE</c:v>
                  </c:pt>
                  <c:pt idx="12">
                    <c:v>OPEN DOOR SURGERY</c:v>
                  </c:pt>
                  <c:pt idx="13">
                    <c:v>BALHAM HEALTH CENTRE</c:v>
                  </c:pt>
                  <c:pt idx="14">
                    <c:v>SAI MEDICAL CENTRE</c:v>
                  </c:pt>
                  <c:pt idx="15">
                    <c:v>MITCHAM ROAD SURGERY</c:v>
                  </c:pt>
                  <c:pt idx="17">
                    <c:v>THE MEDICAL CENTRE</c:v>
                  </c:pt>
                  <c:pt idx="18">
                    <c:v>EARLSFIELD SURGERY</c:v>
                  </c:pt>
                  <c:pt idx="19">
                    <c:v>THE SURGERY</c:v>
                  </c:pt>
                  <c:pt idx="20">
                    <c:v>ST. JOHN'S HILL PRACTICE</c:v>
                  </c:pt>
                  <c:pt idx="21">
                    <c:v>BROCKLEBANK HEALTH CENTRE</c:v>
                  </c:pt>
                  <c:pt idx="22">
                    <c:v>ELBOROUGH STREET SURGERY</c:v>
                  </c:pt>
                  <c:pt idx="23">
                    <c:v>TRIANGLE SURGERY</c:v>
                  </c:pt>
                  <c:pt idx="24">
                    <c:v>SOUTHFIELDS GROUP PRACTICE</c:v>
                  </c:pt>
                  <c:pt idx="25">
                    <c:v>GRANVILLE ROAD SURGERY</c:v>
                  </c:pt>
                  <c:pt idx="27">
                    <c:v>NORTHCOTE ROAD SURGERY</c:v>
                  </c:pt>
                  <c:pt idx="28">
                    <c:v>QUEENSTOWN ROAD MEDICAL PRACTICE</c:v>
                  </c:pt>
                  <c:pt idx="29">
                    <c:v>BRIDGE LANE GROUP PRACTICE</c:v>
                  </c:pt>
                  <c:pt idx="30">
                    <c:v>CHATFIELD MEDICAL CENTRE</c:v>
                  </c:pt>
                  <c:pt idx="31">
                    <c:v>BATTERSEA FIELDS PRACTICE</c:v>
                  </c:pt>
                  <c:pt idx="32">
                    <c:v>LAVENDER HILL SURGERY</c:v>
                  </c:pt>
                  <c:pt idx="33">
                    <c:v>BATTERSEA RISE GROUP PRACTICE</c:v>
                  </c:pt>
                  <c:pt idx="34">
                    <c:v>LAVENDER HILL GROUP PRACTICE</c:v>
                  </c:pt>
                  <c:pt idx="35">
                    <c:v>THE FALCON ROAD MEDICAL CENTRE</c:v>
                  </c:pt>
                  <c:pt idx="36">
                    <c:v>THE HERITAGE MEDICAL CENTRE</c:v>
                  </c:pt>
                  <c:pt idx="38">
                    <c:v>PUTNEYMEAD MEDICAL CENTRE</c:v>
                  </c:pt>
                  <c:pt idx="39">
                    <c:v>THE SURGERY</c:v>
                  </c:pt>
                  <c:pt idx="40">
                    <c:v>THE ROEHAMPTON SURGERY</c:v>
                  </c:pt>
                  <c:pt idx="41">
                    <c:v>MAYFIELD SURGERY</c:v>
                  </c:pt>
                  <c:pt idx="42">
                    <c:v>THE ALTON PRACTICE</c:v>
                  </c:pt>
                  <c:pt idx="43">
                    <c:v>CHARTFIELD SURGERY</c:v>
                  </c:pt>
                  <c:pt idx="44">
                    <c:v>DANEBURY AVENUE SURGERY</c:v>
                  </c:pt>
                  <c:pt idx="45">
                    <c:v>TUDOR LODGE HEALTH CENTRE</c:v>
                  </c:pt>
                  <c:pt idx="46">
                    <c:v>INNER PARK ROAD HEALTH CENTRE</c:v>
                  </c:pt>
                  <c:pt idx="47">
                    <c:v>THE HEATHBRIDGE PRACTICE</c:v>
                  </c:pt>
                  <c:pt idx="48">
                    <c:v>ST PAUL'S COTTAGE PRACTICE</c:v>
                  </c:pt>
                  <c:pt idx="49">
                    <c:v>THE PUTNEY SURGERY</c:v>
                  </c:pt>
                </c:lvl>
                <c:lvl>
                  <c:pt idx="0">
                    <c:v>South</c:v>
                  </c:pt>
                  <c:pt idx="17">
                    <c:v>Central</c:v>
                  </c:pt>
                  <c:pt idx="27">
                    <c:v>North</c:v>
                  </c:pt>
                  <c:pt idx="38">
                    <c:v>West</c:v>
                  </c:pt>
                </c:lvl>
              </c:multiLvlStrCache>
            </c:multiLvlStrRef>
          </c:cat>
          <c:val>
            <c:numRef>
              <c:f>'IMD FEV'!$N$6:$N$55</c:f>
              <c:numCache>
                <c:formatCode>0.0%</c:formatCode>
                <c:ptCount val="50"/>
                <c:pt idx="0">
                  <c:v>0.91700000000000004</c:v>
                </c:pt>
                <c:pt idx="1">
                  <c:v>0.91700000000000004</c:v>
                </c:pt>
                <c:pt idx="2">
                  <c:v>0.91700000000000004</c:v>
                </c:pt>
                <c:pt idx="3">
                  <c:v>0.91700000000000004</c:v>
                </c:pt>
                <c:pt idx="4">
                  <c:v>0.91700000000000004</c:v>
                </c:pt>
                <c:pt idx="5">
                  <c:v>0.91700000000000004</c:v>
                </c:pt>
                <c:pt idx="6">
                  <c:v>0.91700000000000004</c:v>
                </c:pt>
                <c:pt idx="7">
                  <c:v>0.91700000000000004</c:v>
                </c:pt>
                <c:pt idx="8">
                  <c:v>0.91700000000000004</c:v>
                </c:pt>
                <c:pt idx="9">
                  <c:v>0.91700000000000004</c:v>
                </c:pt>
                <c:pt idx="10">
                  <c:v>0.91700000000000004</c:v>
                </c:pt>
                <c:pt idx="11">
                  <c:v>0.91700000000000004</c:v>
                </c:pt>
                <c:pt idx="12">
                  <c:v>0.91700000000000004</c:v>
                </c:pt>
                <c:pt idx="13">
                  <c:v>0.91700000000000004</c:v>
                </c:pt>
                <c:pt idx="14">
                  <c:v>0.91700000000000004</c:v>
                </c:pt>
                <c:pt idx="15">
                  <c:v>0.91700000000000004</c:v>
                </c:pt>
                <c:pt idx="16">
                  <c:v>0.91700000000000004</c:v>
                </c:pt>
                <c:pt idx="17">
                  <c:v>0.91700000000000004</c:v>
                </c:pt>
                <c:pt idx="18">
                  <c:v>0.91700000000000004</c:v>
                </c:pt>
                <c:pt idx="19">
                  <c:v>0.91700000000000004</c:v>
                </c:pt>
                <c:pt idx="20">
                  <c:v>0.91700000000000004</c:v>
                </c:pt>
                <c:pt idx="21">
                  <c:v>0.91700000000000004</c:v>
                </c:pt>
                <c:pt idx="22">
                  <c:v>0.91700000000000004</c:v>
                </c:pt>
                <c:pt idx="23">
                  <c:v>0.91700000000000004</c:v>
                </c:pt>
                <c:pt idx="24">
                  <c:v>0.91700000000000004</c:v>
                </c:pt>
                <c:pt idx="25">
                  <c:v>0.91700000000000004</c:v>
                </c:pt>
                <c:pt idx="26">
                  <c:v>0.91700000000000004</c:v>
                </c:pt>
                <c:pt idx="27">
                  <c:v>0.91700000000000004</c:v>
                </c:pt>
                <c:pt idx="28">
                  <c:v>0.91700000000000004</c:v>
                </c:pt>
                <c:pt idx="29">
                  <c:v>0.91700000000000004</c:v>
                </c:pt>
                <c:pt idx="30">
                  <c:v>0.91700000000000004</c:v>
                </c:pt>
                <c:pt idx="31">
                  <c:v>0.91700000000000004</c:v>
                </c:pt>
                <c:pt idx="32">
                  <c:v>0.91700000000000004</c:v>
                </c:pt>
                <c:pt idx="33">
                  <c:v>0.91700000000000004</c:v>
                </c:pt>
                <c:pt idx="34">
                  <c:v>0.91700000000000004</c:v>
                </c:pt>
                <c:pt idx="35">
                  <c:v>0.91700000000000004</c:v>
                </c:pt>
                <c:pt idx="36">
                  <c:v>0.91700000000000004</c:v>
                </c:pt>
                <c:pt idx="37">
                  <c:v>0.91700000000000004</c:v>
                </c:pt>
                <c:pt idx="38">
                  <c:v>0.91700000000000004</c:v>
                </c:pt>
                <c:pt idx="39">
                  <c:v>0.91700000000000004</c:v>
                </c:pt>
                <c:pt idx="40">
                  <c:v>0.91700000000000004</c:v>
                </c:pt>
                <c:pt idx="41">
                  <c:v>0.91700000000000004</c:v>
                </c:pt>
                <c:pt idx="42">
                  <c:v>0.91700000000000004</c:v>
                </c:pt>
                <c:pt idx="43">
                  <c:v>0.91700000000000004</c:v>
                </c:pt>
                <c:pt idx="44">
                  <c:v>0.91700000000000004</c:v>
                </c:pt>
                <c:pt idx="45">
                  <c:v>0.91700000000000004</c:v>
                </c:pt>
                <c:pt idx="46">
                  <c:v>0.91700000000000004</c:v>
                </c:pt>
                <c:pt idx="47">
                  <c:v>0.91700000000000004</c:v>
                </c:pt>
                <c:pt idx="48">
                  <c:v>0.91700000000000004</c:v>
                </c:pt>
                <c:pt idx="49">
                  <c:v>0.91700000000000004</c:v>
                </c:pt>
              </c:numCache>
            </c:numRef>
          </c:val>
        </c:ser>
        <c:ser>
          <c:idx val="7"/>
          <c:order val="2"/>
          <c:tx>
            <c:strRef>
              <c:f>'IMD FEV'!$O$5</c:f>
              <c:strCache>
                <c:ptCount val="1"/>
                <c:pt idx="0">
                  <c:v>London</c:v>
                </c:pt>
              </c:strCache>
            </c:strRef>
          </c:tx>
          <c:marker>
            <c:symbol val="none"/>
          </c:marker>
          <c:cat>
            <c:multiLvlStrRef>
              <c:f>'IMD FEV'!$H$6:$I$55</c:f>
              <c:multiLvlStrCache>
                <c:ptCount val="50"/>
                <c:lvl>
                  <c:pt idx="0">
                    <c:v>TOOTING SOUTH MEDICAL CENTRE</c:v>
                  </c:pt>
                  <c:pt idx="1">
                    <c:v>TOOTING BEC SURGERY</c:v>
                  </c:pt>
                  <c:pt idx="2">
                    <c:v>THE FRANCISCAN SURGERY</c:v>
                  </c:pt>
                  <c:pt idx="3">
                    <c:v>FURZEDOWN PRIMARY CARE CENTRE</c:v>
                  </c:pt>
                  <c:pt idx="4">
                    <c:v>DR NICHOLAS &amp; PARTNERS</c:v>
                  </c:pt>
                  <c:pt idx="5">
                    <c:v>BALHAM PARK SURGERY</c:v>
                  </c:pt>
                  <c:pt idx="6">
                    <c:v>THURLEIGH ROAD PRACTICE</c:v>
                  </c:pt>
                  <c:pt idx="7">
                    <c:v>STREATHAM PARK SURGERY</c:v>
                  </c:pt>
                  <c:pt idx="8">
                    <c:v>BEDFORD HILL FAMILY PRACTICE</c:v>
                  </c:pt>
                  <c:pt idx="9">
                    <c:v>WATERFALL HOUSE</c:v>
                  </c:pt>
                  <c:pt idx="10">
                    <c:v>BALHAM HILL MEDICAL PRACTICE</c:v>
                  </c:pt>
                  <c:pt idx="11">
                    <c:v>THE GRAYSWOOD PRACTICE</c:v>
                  </c:pt>
                  <c:pt idx="12">
                    <c:v>OPEN DOOR SURGERY</c:v>
                  </c:pt>
                  <c:pt idx="13">
                    <c:v>BALHAM HEALTH CENTRE</c:v>
                  </c:pt>
                  <c:pt idx="14">
                    <c:v>SAI MEDICAL CENTRE</c:v>
                  </c:pt>
                  <c:pt idx="15">
                    <c:v>MITCHAM ROAD SURGERY</c:v>
                  </c:pt>
                  <c:pt idx="17">
                    <c:v>THE MEDICAL CENTRE</c:v>
                  </c:pt>
                  <c:pt idx="18">
                    <c:v>EARLSFIELD SURGERY</c:v>
                  </c:pt>
                  <c:pt idx="19">
                    <c:v>THE SURGERY</c:v>
                  </c:pt>
                  <c:pt idx="20">
                    <c:v>ST. JOHN'S HILL PRACTICE</c:v>
                  </c:pt>
                  <c:pt idx="21">
                    <c:v>BROCKLEBANK HEALTH CENTRE</c:v>
                  </c:pt>
                  <c:pt idx="22">
                    <c:v>ELBOROUGH STREET SURGERY</c:v>
                  </c:pt>
                  <c:pt idx="23">
                    <c:v>TRIANGLE SURGERY</c:v>
                  </c:pt>
                  <c:pt idx="24">
                    <c:v>SOUTHFIELDS GROUP PRACTICE</c:v>
                  </c:pt>
                  <c:pt idx="25">
                    <c:v>GRANVILLE ROAD SURGERY</c:v>
                  </c:pt>
                  <c:pt idx="27">
                    <c:v>NORTHCOTE ROAD SURGERY</c:v>
                  </c:pt>
                  <c:pt idx="28">
                    <c:v>QUEENSTOWN ROAD MEDICAL PRACTICE</c:v>
                  </c:pt>
                  <c:pt idx="29">
                    <c:v>BRIDGE LANE GROUP PRACTICE</c:v>
                  </c:pt>
                  <c:pt idx="30">
                    <c:v>CHATFIELD MEDICAL CENTRE</c:v>
                  </c:pt>
                  <c:pt idx="31">
                    <c:v>BATTERSEA FIELDS PRACTICE</c:v>
                  </c:pt>
                  <c:pt idx="32">
                    <c:v>LAVENDER HILL SURGERY</c:v>
                  </c:pt>
                  <c:pt idx="33">
                    <c:v>BATTERSEA RISE GROUP PRACTICE</c:v>
                  </c:pt>
                  <c:pt idx="34">
                    <c:v>LAVENDER HILL GROUP PRACTICE</c:v>
                  </c:pt>
                  <c:pt idx="35">
                    <c:v>THE FALCON ROAD MEDICAL CENTRE</c:v>
                  </c:pt>
                  <c:pt idx="36">
                    <c:v>THE HERITAGE MEDICAL CENTRE</c:v>
                  </c:pt>
                  <c:pt idx="38">
                    <c:v>PUTNEYMEAD MEDICAL CENTRE</c:v>
                  </c:pt>
                  <c:pt idx="39">
                    <c:v>THE SURGERY</c:v>
                  </c:pt>
                  <c:pt idx="40">
                    <c:v>THE ROEHAMPTON SURGERY</c:v>
                  </c:pt>
                  <c:pt idx="41">
                    <c:v>MAYFIELD SURGERY</c:v>
                  </c:pt>
                  <c:pt idx="42">
                    <c:v>THE ALTON PRACTICE</c:v>
                  </c:pt>
                  <c:pt idx="43">
                    <c:v>CHARTFIELD SURGERY</c:v>
                  </c:pt>
                  <c:pt idx="44">
                    <c:v>DANEBURY AVENUE SURGERY</c:v>
                  </c:pt>
                  <c:pt idx="45">
                    <c:v>TUDOR LODGE HEALTH CENTRE</c:v>
                  </c:pt>
                  <c:pt idx="46">
                    <c:v>INNER PARK ROAD HEALTH CENTRE</c:v>
                  </c:pt>
                  <c:pt idx="47">
                    <c:v>THE HEATHBRIDGE PRACTICE</c:v>
                  </c:pt>
                  <c:pt idx="48">
                    <c:v>ST PAUL'S COTTAGE PRACTICE</c:v>
                  </c:pt>
                  <c:pt idx="49">
                    <c:v>THE PUTNEY SURGERY</c:v>
                  </c:pt>
                </c:lvl>
                <c:lvl>
                  <c:pt idx="0">
                    <c:v>South</c:v>
                  </c:pt>
                  <c:pt idx="17">
                    <c:v>Central</c:v>
                  </c:pt>
                  <c:pt idx="27">
                    <c:v>North</c:v>
                  </c:pt>
                  <c:pt idx="38">
                    <c:v>West</c:v>
                  </c:pt>
                </c:lvl>
              </c:multiLvlStrCache>
            </c:multiLvlStrRef>
          </c:cat>
          <c:val>
            <c:numRef>
              <c:f>'IMD FEV'!$O$6:$O$55</c:f>
              <c:numCache>
                <c:formatCode>0.0%</c:formatCode>
                <c:ptCount val="50"/>
                <c:pt idx="0">
                  <c:v>3.54</c:v>
                </c:pt>
                <c:pt idx="1">
                  <c:v>3.54</c:v>
                </c:pt>
                <c:pt idx="2">
                  <c:v>3.54</c:v>
                </c:pt>
                <c:pt idx="3">
                  <c:v>3.54</c:v>
                </c:pt>
                <c:pt idx="4">
                  <c:v>3.54</c:v>
                </c:pt>
                <c:pt idx="5">
                  <c:v>3.54</c:v>
                </c:pt>
                <c:pt idx="6">
                  <c:v>3.54</c:v>
                </c:pt>
                <c:pt idx="7">
                  <c:v>3.54</c:v>
                </c:pt>
                <c:pt idx="8">
                  <c:v>3.54</c:v>
                </c:pt>
                <c:pt idx="9">
                  <c:v>3.54</c:v>
                </c:pt>
                <c:pt idx="10">
                  <c:v>3.54</c:v>
                </c:pt>
                <c:pt idx="11">
                  <c:v>3.54</c:v>
                </c:pt>
                <c:pt idx="12">
                  <c:v>3.54</c:v>
                </c:pt>
                <c:pt idx="13">
                  <c:v>3.54</c:v>
                </c:pt>
                <c:pt idx="14">
                  <c:v>3.54</c:v>
                </c:pt>
                <c:pt idx="15">
                  <c:v>3.54</c:v>
                </c:pt>
                <c:pt idx="16">
                  <c:v>3.54</c:v>
                </c:pt>
                <c:pt idx="17">
                  <c:v>3.54</c:v>
                </c:pt>
                <c:pt idx="18">
                  <c:v>3.54</c:v>
                </c:pt>
                <c:pt idx="19">
                  <c:v>3.54</c:v>
                </c:pt>
                <c:pt idx="20">
                  <c:v>3.54</c:v>
                </c:pt>
                <c:pt idx="21">
                  <c:v>3.54</c:v>
                </c:pt>
                <c:pt idx="22">
                  <c:v>3.54</c:v>
                </c:pt>
                <c:pt idx="23">
                  <c:v>3.54</c:v>
                </c:pt>
                <c:pt idx="24">
                  <c:v>3.54</c:v>
                </c:pt>
                <c:pt idx="25">
                  <c:v>3.54</c:v>
                </c:pt>
                <c:pt idx="26">
                  <c:v>3.54</c:v>
                </c:pt>
                <c:pt idx="27">
                  <c:v>3.54</c:v>
                </c:pt>
                <c:pt idx="28">
                  <c:v>3.54</c:v>
                </c:pt>
                <c:pt idx="29">
                  <c:v>3.54</c:v>
                </c:pt>
                <c:pt idx="30">
                  <c:v>3.54</c:v>
                </c:pt>
                <c:pt idx="31">
                  <c:v>3.54</c:v>
                </c:pt>
                <c:pt idx="32">
                  <c:v>3.54</c:v>
                </c:pt>
                <c:pt idx="33">
                  <c:v>3.54</c:v>
                </c:pt>
                <c:pt idx="34">
                  <c:v>3.54</c:v>
                </c:pt>
                <c:pt idx="35">
                  <c:v>3.54</c:v>
                </c:pt>
                <c:pt idx="36">
                  <c:v>3.54</c:v>
                </c:pt>
                <c:pt idx="37">
                  <c:v>3.54</c:v>
                </c:pt>
                <c:pt idx="38">
                  <c:v>3.54</c:v>
                </c:pt>
                <c:pt idx="39">
                  <c:v>3.54</c:v>
                </c:pt>
                <c:pt idx="40">
                  <c:v>3.54</c:v>
                </c:pt>
                <c:pt idx="41">
                  <c:v>3.54</c:v>
                </c:pt>
                <c:pt idx="42">
                  <c:v>3.54</c:v>
                </c:pt>
                <c:pt idx="43">
                  <c:v>3.54</c:v>
                </c:pt>
                <c:pt idx="44">
                  <c:v>3.54</c:v>
                </c:pt>
                <c:pt idx="45">
                  <c:v>3.54</c:v>
                </c:pt>
                <c:pt idx="46">
                  <c:v>3.54</c:v>
                </c:pt>
                <c:pt idx="47">
                  <c:v>3.54</c:v>
                </c:pt>
                <c:pt idx="48">
                  <c:v>3.54</c:v>
                </c:pt>
                <c:pt idx="49">
                  <c:v>3.54</c:v>
                </c:pt>
              </c:numCache>
            </c:numRef>
          </c:val>
        </c:ser>
        <c:ser>
          <c:idx val="8"/>
          <c:order val="3"/>
          <c:tx>
            <c:strRef>
              <c:f>'IMD FEV'!$P$5</c:f>
              <c:strCache>
                <c:ptCount val="1"/>
                <c:pt idx="0">
                  <c:v>Wandsworth</c:v>
                </c:pt>
              </c:strCache>
            </c:strRef>
          </c:tx>
          <c:marker>
            <c:symbol val="none"/>
          </c:marker>
          <c:cat>
            <c:multiLvlStrRef>
              <c:f>'IMD FEV'!$H$6:$I$55</c:f>
              <c:multiLvlStrCache>
                <c:ptCount val="50"/>
                <c:lvl>
                  <c:pt idx="0">
                    <c:v>TOOTING SOUTH MEDICAL CENTRE</c:v>
                  </c:pt>
                  <c:pt idx="1">
                    <c:v>TOOTING BEC SURGERY</c:v>
                  </c:pt>
                  <c:pt idx="2">
                    <c:v>THE FRANCISCAN SURGERY</c:v>
                  </c:pt>
                  <c:pt idx="3">
                    <c:v>FURZEDOWN PRIMARY CARE CENTRE</c:v>
                  </c:pt>
                  <c:pt idx="4">
                    <c:v>DR NICHOLAS &amp; PARTNERS</c:v>
                  </c:pt>
                  <c:pt idx="5">
                    <c:v>BALHAM PARK SURGERY</c:v>
                  </c:pt>
                  <c:pt idx="6">
                    <c:v>THURLEIGH ROAD PRACTICE</c:v>
                  </c:pt>
                  <c:pt idx="7">
                    <c:v>STREATHAM PARK SURGERY</c:v>
                  </c:pt>
                  <c:pt idx="8">
                    <c:v>BEDFORD HILL FAMILY PRACTICE</c:v>
                  </c:pt>
                  <c:pt idx="9">
                    <c:v>WATERFALL HOUSE</c:v>
                  </c:pt>
                  <c:pt idx="10">
                    <c:v>BALHAM HILL MEDICAL PRACTICE</c:v>
                  </c:pt>
                  <c:pt idx="11">
                    <c:v>THE GRAYSWOOD PRACTICE</c:v>
                  </c:pt>
                  <c:pt idx="12">
                    <c:v>OPEN DOOR SURGERY</c:v>
                  </c:pt>
                  <c:pt idx="13">
                    <c:v>BALHAM HEALTH CENTRE</c:v>
                  </c:pt>
                  <c:pt idx="14">
                    <c:v>SAI MEDICAL CENTRE</c:v>
                  </c:pt>
                  <c:pt idx="15">
                    <c:v>MITCHAM ROAD SURGERY</c:v>
                  </c:pt>
                  <c:pt idx="17">
                    <c:v>THE MEDICAL CENTRE</c:v>
                  </c:pt>
                  <c:pt idx="18">
                    <c:v>EARLSFIELD SURGERY</c:v>
                  </c:pt>
                  <c:pt idx="19">
                    <c:v>THE SURGERY</c:v>
                  </c:pt>
                  <c:pt idx="20">
                    <c:v>ST. JOHN'S HILL PRACTICE</c:v>
                  </c:pt>
                  <c:pt idx="21">
                    <c:v>BROCKLEBANK HEALTH CENTRE</c:v>
                  </c:pt>
                  <c:pt idx="22">
                    <c:v>ELBOROUGH STREET SURGERY</c:v>
                  </c:pt>
                  <c:pt idx="23">
                    <c:v>TRIANGLE SURGERY</c:v>
                  </c:pt>
                  <c:pt idx="24">
                    <c:v>SOUTHFIELDS GROUP PRACTICE</c:v>
                  </c:pt>
                  <c:pt idx="25">
                    <c:v>GRANVILLE ROAD SURGERY</c:v>
                  </c:pt>
                  <c:pt idx="27">
                    <c:v>NORTHCOTE ROAD SURGERY</c:v>
                  </c:pt>
                  <c:pt idx="28">
                    <c:v>QUEENSTOWN ROAD MEDICAL PRACTICE</c:v>
                  </c:pt>
                  <c:pt idx="29">
                    <c:v>BRIDGE LANE GROUP PRACTICE</c:v>
                  </c:pt>
                  <c:pt idx="30">
                    <c:v>CHATFIELD MEDICAL CENTRE</c:v>
                  </c:pt>
                  <c:pt idx="31">
                    <c:v>BATTERSEA FIELDS PRACTICE</c:v>
                  </c:pt>
                  <c:pt idx="32">
                    <c:v>LAVENDER HILL SURGERY</c:v>
                  </c:pt>
                  <c:pt idx="33">
                    <c:v>BATTERSEA RISE GROUP PRACTICE</c:v>
                  </c:pt>
                  <c:pt idx="34">
                    <c:v>LAVENDER HILL GROUP PRACTICE</c:v>
                  </c:pt>
                  <c:pt idx="35">
                    <c:v>THE FALCON ROAD MEDICAL CENTRE</c:v>
                  </c:pt>
                  <c:pt idx="36">
                    <c:v>THE HERITAGE MEDICAL CENTRE</c:v>
                  </c:pt>
                  <c:pt idx="38">
                    <c:v>PUTNEYMEAD MEDICAL CENTRE</c:v>
                  </c:pt>
                  <c:pt idx="39">
                    <c:v>THE SURGERY</c:v>
                  </c:pt>
                  <c:pt idx="40">
                    <c:v>THE ROEHAMPTON SURGERY</c:v>
                  </c:pt>
                  <c:pt idx="41">
                    <c:v>MAYFIELD SURGERY</c:v>
                  </c:pt>
                  <c:pt idx="42">
                    <c:v>THE ALTON PRACTICE</c:v>
                  </c:pt>
                  <c:pt idx="43">
                    <c:v>CHARTFIELD SURGERY</c:v>
                  </c:pt>
                  <c:pt idx="44">
                    <c:v>DANEBURY AVENUE SURGERY</c:v>
                  </c:pt>
                  <c:pt idx="45">
                    <c:v>TUDOR LODGE HEALTH CENTRE</c:v>
                  </c:pt>
                  <c:pt idx="46">
                    <c:v>INNER PARK ROAD HEALTH CENTRE</c:v>
                  </c:pt>
                  <c:pt idx="47">
                    <c:v>THE HEATHBRIDGE PRACTICE</c:v>
                  </c:pt>
                  <c:pt idx="48">
                    <c:v>ST PAUL'S COTTAGE PRACTICE</c:v>
                  </c:pt>
                  <c:pt idx="49">
                    <c:v>THE PUTNEY SURGERY</c:v>
                  </c:pt>
                </c:lvl>
                <c:lvl>
                  <c:pt idx="0">
                    <c:v>South</c:v>
                  </c:pt>
                  <c:pt idx="17">
                    <c:v>Central</c:v>
                  </c:pt>
                  <c:pt idx="27">
                    <c:v>North</c:v>
                  </c:pt>
                  <c:pt idx="38">
                    <c:v>West</c:v>
                  </c:pt>
                </c:lvl>
              </c:multiLvlStrCache>
            </c:multiLvlStrRef>
          </c:cat>
          <c:val>
            <c:numRef>
              <c:f>'IMD FEV'!$P$6:$P$55</c:f>
              <c:numCache>
                <c:formatCode>0.0%</c:formatCode>
                <c:ptCount val="50"/>
                <c:pt idx="0">
                  <c:v>0.88600000000000001</c:v>
                </c:pt>
                <c:pt idx="1">
                  <c:v>0.88600000000000001</c:v>
                </c:pt>
                <c:pt idx="2">
                  <c:v>0.88600000000000001</c:v>
                </c:pt>
                <c:pt idx="3">
                  <c:v>0.88600000000000001</c:v>
                </c:pt>
                <c:pt idx="4">
                  <c:v>0.88600000000000001</c:v>
                </c:pt>
                <c:pt idx="5">
                  <c:v>0.88600000000000001</c:v>
                </c:pt>
                <c:pt idx="6">
                  <c:v>0.88600000000000001</c:v>
                </c:pt>
                <c:pt idx="7">
                  <c:v>0.88600000000000001</c:v>
                </c:pt>
                <c:pt idx="8">
                  <c:v>0.88600000000000001</c:v>
                </c:pt>
                <c:pt idx="9">
                  <c:v>0.88600000000000001</c:v>
                </c:pt>
                <c:pt idx="10">
                  <c:v>0.88600000000000001</c:v>
                </c:pt>
                <c:pt idx="11">
                  <c:v>0.88600000000000001</c:v>
                </c:pt>
                <c:pt idx="12">
                  <c:v>0.88600000000000001</c:v>
                </c:pt>
                <c:pt idx="13">
                  <c:v>0.88600000000000001</c:v>
                </c:pt>
                <c:pt idx="14">
                  <c:v>0.88600000000000001</c:v>
                </c:pt>
                <c:pt idx="15">
                  <c:v>0.88600000000000001</c:v>
                </c:pt>
                <c:pt idx="16">
                  <c:v>0.88600000000000001</c:v>
                </c:pt>
                <c:pt idx="17">
                  <c:v>0.88600000000000001</c:v>
                </c:pt>
                <c:pt idx="18">
                  <c:v>0.88600000000000001</c:v>
                </c:pt>
                <c:pt idx="19">
                  <c:v>0.88600000000000001</c:v>
                </c:pt>
                <c:pt idx="20">
                  <c:v>0.88600000000000001</c:v>
                </c:pt>
                <c:pt idx="21">
                  <c:v>0.88600000000000001</c:v>
                </c:pt>
                <c:pt idx="22">
                  <c:v>0.88600000000000001</c:v>
                </c:pt>
                <c:pt idx="23">
                  <c:v>0.88600000000000001</c:v>
                </c:pt>
                <c:pt idx="24">
                  <c:v>0.88600000000000001</c:v>
                </c:pt>
                <c:pt idx="25">
                  <c:v>0.88600000000000001</c:v>
                </c:pt>
                <c:pt idx="26">
                  <c:v>0.88600000000000001</c:v>
                </c:pt>
                <c:pt idx="27">
                  <c:v>0.88600000000000001</c:v>
                </c:pt>
                <c:pt idx="28">
                  <c:v>0.88600000000000001</c:v>
                </c:pt>
                <c:pt idx="29">
                  <c:v>0.88600000000000001</c:v>
                </c:pt>
                <c:pt idx="30">
                  <c:v>0.88600000000000001</c:v>
                </c:pt>
                <c:pt idx="31">
                  <c:v>0.88600000000000001</c:v>
                </c:pt>
                <c:pt idx="32">
                  <c:v>0.88600000000000001</c:v>
                </c:pt>
                <c:pt idx="33">
                  <c:v>0.88600000000000001</c:v>
                </c:pt>
                <c:pt idx="34">
                  <c:v>0.88600000000000001</c:v>
                </c:pt>
                <c:pt idx="35">
                  <c:v>0.88600000000000001</c:v>
                </c:pt>
                <c:pt idx="36">
                  <c:v>0.88600000000000001</c:v>
                </c:pt>
                <c:pt idx="37">
                  <c:v>0.88600000000000001</c:v>
                </c:pt>
                <c:pt idx="38">
                  <c:v>0.88600000000000001</c:v>
                </c:pt>
                <c:pt idx="39">
                  <c:v>0.88600000000000001</c:v>
                </c:pt>
                <c:pt idx="40">
                  <c:v>0.88600000000000001</c:v>
                </c:pt>
                <c:pt idx="41">
                  <c:v>0.88600000000000001</c:v>
                </c:pt>
                <c:pt idx="42">
                  <c:v>0.88600000000000001</c:v>
                </c:pt>
                <c:pt idx="43">
                  <c:v>0.88600000000000001</c:v>
                </c:pt>
                <c:pt idx="44">
                  <c:v>0.88600000000000001</c:v>
                </c:pt>
                <c:pt idx="45">
                  <c:v>0.88600000000000001</c:v>
                </c:pt>
                <c:pt idx="46">
                  <c:v>0.88600000000000001</c:v>
                </c:pt>
                <c:pt idx="47">
                  <c:v>0.88600000000000001</c:v>
                </c:pt>
                <c:pt idx="48">
                  <c:v>0.88600000000000001</c:v>
                </c:pt>
                <c:pt idx="49">
                  <c:v>0.88600000000000001</c:v>
                </c:pt>
              </c:numCache>
            </c:numRef>
          </c:val>
        </c:ser>
        <c:marker val="1"/>
        <c:axId val="85940864"/>
        <c:axId val="85971328"/>
      </c:lineChart>
      <c:catAx>
        <c:axId val="85940864"/>
        <c:scaling>
          <c:orientation val="minMax"/>
        </c:scaling>
        <c:axPos val="b"/>
        <c:numFmt formatCode="General" sourceLinked="1"/>
        <c:majorTickMark val="none"/>
        <c:tickLblPos val="nextTo"/>
        <c:txPr>
          <a:bodyPr/>
          <a:lstStyle/>
          <a:p>
            <a:pPr>
              <a:defRPr sz="700"/>
            </a:pPr>
            <a:endParaRPr lang="en-US"/>
          </a:p>
        </c:txPr>
        <c:crossAx val="85971328"/>
        <c:crosses val="autoZero"/>
        <c:auto val="1"/>
        <c:lblAlgn val="ctr"/>
        <c:lblOffset val="100"/>
      </c:catAx>
      <c:valAx>
        <c:axId val="85971328"/>
        <c:scaling>
          <c:orientation val="minMax"/>
          <c:max val="1"/>
        </c:scaling>
        <c:axPos val="l"/>
        <c:majorGridlines/>
        <c:numFmt formatCode="0%" sourceLinked="0"/>
        <c:majorTickMark val="none"/>
        <c:tickLblPos val="nextTo"/>
        <c:crossAx val="85940864"/>
        <c:crosses val="autoZero"/>
        <c:crossBetween val="between"/>
      </c:valAx>
    </c:plotArea>
    <c:legend>
      <c:legendPos val="r"/>
      <c:legendEntry>
        <c:idx val="0"/>
        <c:delete val="1"/>
      </c:legendEntry>
      <c:legendEntry>
        <c:idx val="2"/>
        <c:delete val="1"/>
      </c:legendEntry>
      <c:layout>
        <c:manualLayout>
          <c:xMode val="edge"/>
          <c:yMode val="edge"/>
          <c:x val="0.24815974157076556"/>
          <c:y val="7.0795935784100622E-2"/>
          <c:w val="0.4994469171300423"/>
          <c:h val="0.15260877940716144"/>
        </c:manualLayout>
      </c:layout>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Composite chart of COPD QOF indicators for GP practices in Wandsworth</a:t>
            </a:r>
          </a:p>
        </c:rich>
      </c:tx>
    </c:title>
    <c:plotArea>
      <c:layout>
        <c:manualLayout>
          <c:layoutTarget val="inner"/>
          <c:xMode val="edge"/>
          <c:yMode val="edge"/>
          <c:x val="4.9998042460870445E-2"/>
          <c:y val="0.17481409437467346"/>
          <c:w val="0.78711844798046249"/>
          <c:h val="0.44873931244597376"/>
        </c:manualLayout>
      </c:layout>
      <c:barChart>
        <c:barDir val="col"/>
        <c:grouping val="stacked"/>
        <c:ser>
          <c:idx val="0"/>
          <c:order val="0"/>
          <c:tx>
            <c:strRef>
              <c:f>'IMD FEV'!$J$5</c:f>
              <c:strCache>
                <c:ptCount val="1"/>
                <c:pt idx="0">
                  <c:v>% of patients with COPD who have had influenza immunisation </c:v>
                </c:pt>
              </c:strCache>
            </c:strRef>
          </c:tx>
          <c:cat>
            <c:multiLvlStrRef>
              <c:f>'IMD FEV'!$H$6:$I$55</c:f>
              <c:multiLvlStrCache>
                <c:ptCount val="50"/>
                <c:lvl>
                  <c:pt idx="0">
                    <c:v>TOOTING BEC SURGERY</c:v>
                  </c:pt>
                  <c:pt idx="1">
                    <c:v>FURZEDOWN PRIMARY CARE CENTRE</c:v>
                  </c:pt>
                  <c:pt idx="2">
                    <c:v>THE FRANCISCAN SURGERY</c:v>
                  </c:pt>
                  <c:pt idx="3">
                    <c:v>BALHAM HEALTH CENTRE</c:v>
                  </c:pt>
                  <c:pt idx="4">
                    <c:v>DR NICHOLAS &amp; PARTNERS</c:v>
                  </c:pt>
                  <c:pt idx="5">
                    <c:v>THE GRAYSWOOD PRACTICE</c:v>
                  </c:pt>
                  <c:pt idx="6">
                    <c:v>SAI MEDICAL CENTRE</c:v>
                  </c:pt>
                  <c:pt idx="7">
                    <c:v>MITCHAM ROAD SURGERY</c:v>
                  </c:pt>
                  <c:pt idx="8">
                    <c:v>TOOTING SOUTH MEDICAL CENTRE</c:v>
                  </c:pt>
                  <c:pt idx="9">
                    <c:v>BEDFORD HILL FAMILY PRACTICE</c:v>
                  </c:pt>
                  <c:pt idx="10">
                    <c:v>BALHAM PARK SURGERY</c:v>
                  </c:pt>
                  <c:pt idx="11">
                    <c:v>STREATHAM PARK SURGERY</c:v>
                  </c:pt>
                  <c:pt idx="12">
                    <c:v>WATERFALL HOUSE</c:v>
                  </c:pt>
                  <c:pt idx="13">
                    <c:v>BALHAM HILL MEDICAL PRACTICE</c:v>
                  </c:pt>
                  <c:pt idx="14">
                    <c:v>THURLEIGH ROAD PRACTICE</c:v>
                  </c:pt>
                  <c:pt idx="15">
                    <c:v>OPEN DOOR SURGERY</c:v>
                  </c:pt>
                  <c:pt idx="17">
                    <c:v>GRANVILLE ROAD SURGERY</c:v>
                  </c:pt>
                  <c:pt idx="18">
                    <c:v>EARLSFIELD SURGERY</c:v>
                  </c:pt>
                  <c:pt idx="19">
                    <c:v>ST. JOHN'S HILL PRACTICE</c:v>
                  </c:pt>
                  <c:pt idx="20">
                    <c:v>SOUTHFIELDS GROUP PRACTICE</c:v>
                  </c:pt>
                  <c:pt idx="21">
                    <c:v>THE MEDICAL CENTRE</c:v>
                  </c:pt>
                  <c:pt idx="22">
                    <c:v>THE SURGERY</c:v>
                  </c:pt>
                  <c:pt idx="23">
                    <c:v>BROCKLEBANK HEALTH CENTRE</c:v>
                  </c:pt>
                  <c:pt idx="24">
                    <c:v>ELBOROUGH STREET SURGERY</c:v>
                  </c:pt>
                  <c:pt idx="25">
                    <c:v>TRIANGLE SURGERY</c:v>
                  </c:pt>
                  <c:pt idx="27">
                    <c:v>NORTHCOTE ROAD SURGERY</c:v>
                  </c:pt>
                  <c:pt idx="28">
                    <c:v>LAVENDER HILL SURGERY</c:v>
                  </c:pt>
                  <c:pt idx="29">
                    <c:v>BRIDGE LANE GROUP PRACTICE</c:v>
                  </c:pt>
                  <c:pt idx="30">
                    <c:v>LAVENDER HILL GROUP PRACTICE</c:v>
                  </c:pt>
                  <c:pt idx="31">
                    <c:v>CHATFIELD MEDICAL CENTRE</c:v>
                  </c:pt>
                  <c:pt idx="32">
                    <c:v>QUEENSTOWN ROAD MEDICAL PRACTICE</c:v>
                  </c:pt>
                  <c:pt idx="33">
                    <c:v>BATTERSEA FIELDS PRACTICE</c:v>
                  </c:pt>
                  <c:pt idx="34">
                    <c:v>BATTERSEA RISE GROUP PRACTICE</c:v>
                  </c:pt>
                  <c:pt idx="35">
                    <c:v>THE FALCON ROAD MEDICAL CENTRE</c:v>
                  </c:pt>
                  <c:pt idx="36">
                    <c:v>THE HERITAGE MEDICAL CENTRE</c:v>
                  </c:pt>
                  <c:pt idx="38">
                    <c:v>THE ROEHAMPTON SURGERY</c:v>
                  </c:pt>
                  <c:pt idx="39">
                    <c:v>THE HEATHBRIDGE PRACTICE</c:v>
                  </c:pt>
                  <c:pt idx="40">
                    <c:v>DANEBURY AVENUE SURGERY</c:v>
                  </c:pt>
                  <c:pt idx="41">
                    <c:v>MAYFIELD SURGERY</c:v>
                  </c:pt>
                  <c:pt idx="42">
                    <c:v>THE SURGERY</c:v>
                  </c:pt>
                  <c:pt idx="43">
                    <c:v>PUTNEYMEAD MEDICAL CENTRE</c:v>
                  </c:pt>
                  <c:pt idx="44">
                    <c:v>CHARTFIELD SURGERY</c:v>
                  </c:pt>
                  <c:pt idx="45">
                    <c:v>THE ALTON PRACTICE</c:v>
                  </c:pt>
                  <c:pt idx="46">
                    <c:v>INNER PARK ROAD HEALTH CENTRE</c:v>
                  </c:pt>
                  <c:pt idx="47">
                    <c:v>THE PUTNEY SURGERY</c:v>
                  </c:pt>
                  <c:pt idx="48">
                    <c:v>TUDOR LODGE HEALTH CENTRE</c:v>
                  </c:pt>
                  <c:pt idx="49">
                    <c:v>ST PAUL'S COTTAGE PRACTICE</c:v>
                  </c:pt>
                </c:lvl>
                <c:lvl>
                  <c:pt idx="0">
                    <c:v>South</c:v>
                  </c:pt>
                  <c:pt idx="17">
                    <c:v>Central</c:v>
                  </c:pt>
                  <c:pt idx="27">
                    <c:v>North</c:v>
                  </c:pt>
                  <c:pt idx="38">
                    <c:v>West</c:v>
                  </c:pt>
                </c:lvl>
              </c:multiLvlStrCache>
            </c:multiLvlStrRef>
          </c:cat>
          <c:val>
            <c:numRef>
              <c:f>'IMD FEV'!$J$6:$J$55</c:f>
              <c:numCache>
                <c:formatCode>0.0%</c:formatCode>
                <c:ptCount val="50"/>
                <c:pt idx="0">
                  <c:v>0.66666668653488537</c:v>
                </c:pt>
                <c:pt idx="1">
                  <c:v>0.82608693838119562</c:v>
                </c:pt>
                <c:pt idx="2">
                  <c:v>0.67741936445236151</c:v>
                </c:pt>
                <c:pt idx="3">
                  <c:v>1</c:v>
                </c:pt>
                <c:pt idx="4">
                  <c:v>0.85365855693817427</c:v>
                </c:pt>
                <c:pt idx="5">
                  <c:v>0.94117647409439165</c:v>
                </c:pt>
                <c:pt idx="6">
                  <c:v>1</c:v>
                </c:pt>
                <c:pt idx="7">
                  <c:v>1</c:v>
                </c:pt>
                <c:pt idx="8">
                  <c:v>0.61904764175414995</c:v>
                </c:pt>
                <c:pt idx="9">
                  <c:v>0.90625</c:v>
                </c:pt>
                <c:pt idx="10">
                  <c:v>0.88405799865722656</c:v>
                </c:pt>
                <c:pt idx="11">
                  <c:v>0.89999997615814464</c:v>
                </c:pt>
                <c:pt idx="12">
                  <c:v>0.91935485601425204</c:v>
                </c:pt>
                <c:pt idx="13">
                  <c:v>0.93333333730697599</c:v>
                </c:pt>
                <c:pt idx="14">
                  <c:v>0.89130437374114957</c:v>
                </c:pt>
                <c:pt idx="15">
                  <c:v>0.95890408754349088</c:v>
                </c:pt>
                <c:pt idx="17">
                  <c:v>1</c:v>
                </c:pt>
                <c:pt idx="18">
                  <c:v>0.88764047622680953</c:v>
                </c:pt>
                <c:pt idx="19">
                  <c:v>0.89999997615814464</c:v>
                </c:pt>
                <c:pt idx="20">
                  <c:v>0.91089111566543768</c:v>
                </c:pt>
                <c:pt idx="21">
                  <c:v>0.81355929374694758</c:v>
                </c:pt>
                <c:pt idx="22">
                  <c:v>0.89655172824859664</c:v>
                </c:pt>
                <c:pt idx="23">
                  <c:v>0.89999997615814464</c:v>
                </c:pt>
                <c:pt idx="24">
                  <c:v>0.90625</c:v>
                </c:pt>
                <c:pt idx="25">
                  <c:v>0.906976759433746</c:v>
                </c:pt>
                <c:pt idx="27">
                  <c:v>0.76923078298568703</c:v>
                </c:pt>
                <c:pt idx="28">
                  <c:v>0.94117647409439165</c:v>
                </c:pt>
                <c:pt idx="29">
                  <c:v>0.88741719722747758</c:v>
                </c:pt>
                <c:pt idx="30">
                  <c:v>0.96825397014617964</c:v>
                </c:pt>
                <c:pt idx="31">
                  <c:v>0.89473682641983143</c:v>
                </c:pt>
                <c:pt idx="32">
                  <c:v>0.86170214414596558</c:v>
                </c:pt>
                <c:pt idx="33">
                  <c:v>0.93939393758773804</c:v>
                </c:pt>
                <c:pt idx="34">
                  <c:v>0.96666663885116599</c:v>
                </c:pt>
                <c:pt idx="35">
                  <c:v>0.98305082321167003</c:v>
                </c:pt>
                <c:pt idx="36">
                  <c:v>1</c:v>
                </c:pt>
                <c:pt idx="38">
                  <c:v>0.76190477609634544</c:v>
                </c:pt>
                <c:pt idx="39">
                  <c:v>0.94782608747482444</c:v>
                </c:pt>
                <c:pt idx="40">
                  <c:v>0.87999999523162864</c:v>
                </c:pt>
                <c:pt idx="41">
                  <c:v>0.77477478981018244</c:v>
                </c:pt>
                <c:pt idx="42">
                  <c:v>0.75000000000000155</c:v>
                </c:pt>
                <c:pt idx="43">
                  <c:v>0.74285715818405262</c:v>
                </c:pt>
                <c:pt idx="44">
                  <c:v>0.87804877758026256</c:v>
                </c:pt>
                <c:pt idx="45">
                  <c:v>0.87500000000000155</c:v>
                </c:pt>
                <c:pt idx="46">
                  <c:v>0.89999997615814464</c:v>
                </c:pt>
                <c:pt idx="47">
                  <c:v>0.96875000000000155</c:v>
                </c:pt>
                <c:pt idx="48">
                  <c:v>0.89215683937072798</c:v>
                </c:pt>
                <c:pt idx="49">
                  <c:v>0.96666663885116599</c:v>
                </c:pt>
              </c:numCache>
            </c:numRef>
          </c:val>
        </c:ser>
        <c:ser>
          <c:idx val="1"/>
          <c:order val="1"/>
          <c:tx>
            <c:strRef>
              <c:f>'IMD FEV'!$K$5</c:f>
              <c:strCache>
                <c:ptCount val="1"/>
                <c:pt idx="0">
                  <c:v>% of patients with COPD with a record of FeV1 </c:v>
                </c:pt>
              </c:strCache>
            </c:strRef>
          </c:tx>
          <c:cat>
            <c:multiLvlStrRef>
              <c:f>'IMD FEV'!$H$6:$I$55</c:f>
              <c:multiLvlStrCache>
                <c:ptCount val="50"/>
                <c:lvl>
                  <c:pt idx="0">
                    <c:v>TOOTING BEC SURGERY</c:v>
                  </c:pt>
                  <c:pt idx="1">
                    <c:v>FURZEDOWN PRIMARY CARE CENTRE</c:v>
                  </c:pt>
                  <c:pt idx="2">
                    <c:v>THE FRANCISCAN SURGERY</c:v>
                  </c:pt>
                  <c:pt idx="3">
                    <c:v>BALHAM HEALTH CENTRE</c:v>
                  </c:pt>
                  <c:pt idx="4">
                    <c:v>DR NICHOLAS &amp; PARTNERS</c:v>
                  </c:pt>
                  <c:pt idx="5">
                    <c:v>THE GRAYSWOOD PRACTICE</c:v>
                  </c:pt>
                  <c:pt idx="6">
                    <c:v>SAI MEDICAL CENTRE</c:v>
                  </c:pt>
                  <c:pt idx="7">
                    <c:v>MITCHAM ROAD SURGERY</c:v>
                  </c:pt>
                  <c:pt idx="8">
                    <c:v>TOOTING SOUTH MEDICAL CENTRE</c:v>
                  </c:pt>
                  <c:pt idx="9">
                    <c:v>BEDFORD HILL FAMILY PRACTICE</c:v>
                  </c:pt>
                  <c:pt idx="10">
                    <c:v>BALHAM PARK SURGERY</c:v>
                  </c:pt>
                  <c:pt idx="11">
                    <c:v>STREATHAM PARK SURGERY</c:v>
                  </c:pt>
                  <c:pt idx="12">
                    <c:v>WATERFALL HOUSE</c:v>
                  </c:pt>
                  <c:pt idx="13">
                    <c:v>BALHAM HILL MEDICAL PRACTICE</c:v>
                  </c:pt>
                  <c:pt idx="14">
                    <c:v>THURLEIGH ROAD PRACTICE</c:v>
                  </c:pt>
                  <c:pt idx="15">
                    <c:v>OPEN DOOR SURGERY</c:v>
                  </c:pt>
                  <c:pt idx="17">
                    <c:v>GRANVILLE ROAD SURGERY</c:v>
                  </c:pt>
                  <c:pt idx="18">
                    <c:v>EARLSFIELD SURGERY</c:v>
                  </c:pt>
                  <c:pt idx="19">
                    <c:v>ST. JOHN'S HILL PRACTICE</c:v>
                  </c:pt>
                  <c:pt idx="20">
                    <c:v>SOUTHFIELDS GROUP PRACTICE</c:v>
                  </c:pt>
                  <c:pt idx="21">
                    <c:v>THE MEDICAL CENTRE</c:v>
                  </c:pt>
                  <c:pt idx="22">
                    <c:v>THE SURGERY</c:v>
                  </c:pt>
                  <c:pt idx="23">
                    <c:v>BROCKLEBANK HEALTH CENTRE</c:v>
                  </c:pt>
                  <c:pt idx="24">
                    <c:v>ELBOROUGH STREET SURGERY</c:v>
                  </c:pt>
                  <c:pt idx="25">
                    <c:v>TRIANGLE SURGERY</c:v>
                  </c:pt>
                  <c:pt idx="27">
                    <c:v>NORTHCOTE ROAD SURGERY</c:v>
                  </c:pt>
                  <c:pt idx="28">
                    <c:v>LAVENDER HILL SURGERY</c:v>
                  </c:pt>
                  <c:pt idx="29">
                    <c:v>BRIDGE LANE GROUP PRACTICE</c:v>
                  </c:pt>
                  <c:pt idx="30">
                    <c:v>LAVENDER HILL GROUP PRACTICE</c:v>
                  </c:pt>
                  <c:pt idx="31">
                    <c:v>CHATFIELD MEDICAL CENTRE</c:v>
                  </c:pt>
                  <c:pt idx="32">
                    <c:v>QUEENSTOWN ROAD MEDICAL PRACTICE</c:v>
                  </c:pt>
                  <c:pt idx="33">
                    <c:v>BATTERSEA FIELDS PRACTICE</c:v>
                  </c:pt>
                  <c:pt idx="34">
                    <c:v>BATTERSEA RISE GROUP PRACTICE</c:v>
                  </c:pt>
                  <c:pt idx="35">
                    <c:v>THE FALCON ROAD MEDICAL CENTRE</c:v>
                  </c:pt>
                  <c:pt idx="36">
                    <c:v>THE HERITAGE MEDICAL CENTRE</c:v>
                  </c:pt>
                  <c:pt idx="38">
                    <c:v>THE ROEHAMPTON SURGERY</c:v>
                  </c:pt>
                  <c:pt idx="39">
                    <c:v>THE HEATHBRIDGE PRACTICE</c:v>
                  </c:pt>
                  <c:pt idx="40">
                    <c:v>DANEBURY AVENUE SURGERY</c:v>
                  </c:pt>
                  <c:pt idx="41">
                    <c:v>MAYFIELD SURGERY</c:v>
                  </c:pt>
                  <c:pt idx="42">
                    <c:v>THE SURGERY</c:v>
                  </c:pt>
                  <c:pt idx="43">
                    <c:v>PUTNEYMEAD MEDICAL CENTRE</c:v>
                  </c:pt>
                  <c:pt idx="44">
                    <c:v>CHARTFIELD SURGERY</c:v>
                  </c:pt>
                  <c:pt idx="45">
                    <c:v>THE ALTON PRACTICE</c:v>
                  </c:pt>
                  <c:pt idx="46">
                    <c:v>INNER PARK ROAD HEALTH CENTRE</c:v>
                  </c:pt>
                  <c:pt idx="47">
                    <c:v>THE PUTNEY SURGERY</c:v>
                  </c:pt>
                  <c:pt idx="48">
                    <c:v>TUDOR LODGE HEALTH CENTRE</c:v>
                  </c:pt>
                  <c:pt idx="49">
                    <c:v>ST PAUL'S COTTAGE PRACTICE</c:v>
                  </c:pt>
                </c:lvl>
                <c:lvl>
                  <c:pt idx="0">
                    <c:v>South</c:v>
                  </c:pt>
                  <c:pt idx="17">
                    <c:v>Central</c:v>
                  </c:pt>
                  <c:pt idx="27">
                    <c:v>North</c:v>
                  </c:pt>
                  <c:pt idx="38">
                    <c:v>West</c:v>
                  </c:pt>
                </c:lvl>
              </c:multiLvlStrCache>
            </c:multiLvlStrRef>
          </c:cat>
          <c:val>
            <c:numRef>
              <c:f>'IMD FEV'!$K$6:$K$55</c:f>
              <c:numCache>
                <c:formatCode>0.0%</c:formatCode>
                <c:ptCount val="50"/>
                <c:pt idx="0">
                  <c:v>0.66666668653488537</c:v>
                </c:pt>
                <c:pt idx="1">
                  <c:v>8.3333335816860227E-2</c:v>
                </c:pt>
                <c:pt idx="2">
                  <c:v>0.53333336114883356</c:v>
                </c:pt>
                <c:pt idx="3">
                  <c:v>0.66666668653488537</c:v>
                </c:pt>
                <c:pt idx="4">
                  <c:v>0.62222224473953203</c:v>
                </c:pt>
                <c:pt idx="5">
                  <c:v>0.42857143282890298</c:v>
                </c:pt>
                <c:pt idx="6">
                  <c:v>1</c:v>
                </c:pt>
                <c:pt idx="7">
                  <c:v>0</c:v>
                </c:pt>
                <c:pt idx="8">
                  <c:v>0.65217393636703691</c:v>
                </c:pt>
                <c:pt idx="9">
                  <c:v>0.54166668653488392</c:v>
                </c:pt>
                <c:pt idx="10">
                  <c:v>0.73913043737411777</c:v>
                </c:pt>
                <c:pt idx="11">
                  <c:v>0.80303031206131004</c:v>
                </c:pt>
                <c:pt idx="12">
                  <c:v>0.84375000000000155</c:v>
                </c:pt>
                <c:pt idx="13">
                  <c:v>0.8125</c:v>
                </c:pt>
                <c:pt idx="14">
                  <c:v>0.89795917272567705</c:v>
                </c:pt>
                <c:pt idx="15">
                  <c:v>0.87323945760726895</c:v>
                </c:pt>
                <c:pt idx="17">
                  <c:v>0</c:v>
                </c:pt>
                <c:pt idx="18">
                  <c:v>0.46875</c:v>
                </c:pt>
                <c:pt idx="19">
                  <c:v>0.81818181276321555</c:v>
                </c:pt>
                <c:pt idx="20">
                  <c:v>0.84112149477005005</c:v>
                </c:pt>
                <c:pt idx="21">
                  <c:v>0.80645161867141868</c:v>
                </c:pt>
                <c:pt idx="22">
                  <c:v>0.75757575035095204</c:v>
                </c:pt>
                <c:pt idx="23">
                  <c:v>0.84615385532379406</c:v>
                </c:pt>
                <c:pt idx="24">
                  <c:v>0.89189189672470293</c:v>
                </c:pt>
                <c:pt idx="25">
                  <c:v>0.95238095521926858</c:v>
                </c:pt>
                <c:pt idx="27">
                  <c:v>0.60000002384185802</c:v>
                </c:pt>
                <c:pt idx="28">
                  <c:v>0.66666668653488537</c:v>
                </c:pt>
                <c:pt idx="29">
                  <c:v>0.82317072153091397</c:v>
                </c:pt>
                <c:pt idx="30">
                  <c:v>0.75675678253173795</c:v>
                </c:pt>
                <c:pt idx="31">
                  <c:v>0.77272725105285756</c:v>
                </c:pt>
                <c:pt idx="32">
                  <c:v>0.81372547149658525</c:v>
                </c:pt>
                <c:pt idx="33">
                  <c:v>0.80882352590560858</c:v>
                </c:pt>
                <c:pt idx="34">
                  <c:v>0.84210526943206798</c:v>
                </c:pt>
                <c:pt idx="35">
                  <c:v>0.87142854928970304</c:v>
                </c:pt>
                <c:pt idx="36">
                  <c:v>0.88888889551162698</c:v>
                </c:pt>
                <c:pt idx="38">
                  <c:v>0.51515150070190208</c:v>
                </c:pt>
                <c:pt idx="39">
                  <c:v>0.70491802692413363</c:v>
                </c:pt>
                <c:pt idx="40">
                  <c:v>0.75471699237823564</c:v>
                </c:pt>
                <c:pt idx="41">
                  <c:v>0.85365855693817427</c:v>
                </c:pt>
                <c:pt idx="42">
                  <c:v>0.78260868787765459</c:v>
                </c:pt>
                <c:pt idx="43">
                  <c:v>0.78787881135940818</c:v>
                </c:pt>
                <c:pt idx="44">
                  <c:v>0.7108433842659001</c:v>
                </c:pt>
                <c:pt idx="45">
                  <c:v>0.79629629850387806</c:v>
                </c:pt>
                <c:pt idx="46">
                  <c:v>0.77999997138977473</c:v>
                </c:pt>
                <c:pt idx="47">
                  <c:v>0.80645161867141868</c:v>
                </c:pt>
                <c:pt idx="48">
                  <c:v>0.91836732625961259</c:v>
                </c:pt>
                <c:pt idx="49">
                  <c:v>0.96969699859619318</c:v>
                </c:pt>
              </c:numCache>
            </c:numRef>
          </c:val>
        </c:ser>
        <c:ser>
          <c:idx val="2"/>
          <c:order val="2"/>
          <c:tx>
            <c:strRef>
              <c:f>'IMD FEV'!$L$5</c:f>
              <c:strCache>
                <c:ptCount val="1"/>
                <c:pt idx="0">
                  <c:v>% of patients with COPD whose  inhaler technique has been checked </c:v>
                </c:pt>
              </c:strCache>
            </c:strRef>
          </c:tx>
          <c:cat>
            <c:multiLvlStrRef>
              <c:f>'IMD FEV'!$H$6:$I$55</c:f>
              <c:multiLvlStrCache>
                <c:ptCount val="50"/>
                <c:lvl>
                  <c:pt idx="0">
                    <c:v>TOOTING BEC SURGERY</c:v>
                  </c:pt>
                  <c:pt idx="1">
                    <c:v>FURZEDOWN PRIMARY CARE CENTRE</c:v>
                  </c:pt>
                  <c:pt idx="2">
                    <c:v>THE FRANCISCAN SURGERY</c:v>
                  </c:pt>
                  <c:pt idx="3">
                    <c:v>BALHAM HEALTH CENTRE</c:v>
                  </c:pt>
                  <c:pt idx="4">
                    <c:v>DR NICHOLAS &amp; PARTNERS</c:v>
                  </c:pt>
                  <c:pt idx="5">
                    <c:v>THE GRAYSWOOD PRACTICE</c:v>
                  </c:pt>
                  <c:pt idx="6">
                    <c:v>SAI MEDICAL CENTRE</c:v>
                  </c:pt>
                  <c:pt idx="7">
                    <c:v>MITCHAM ROAD SURGERY</c:v>
                  </c:pt>
                  <c:pt idx="8">
                    <c:v>TOOTING SOUTH MEDICAL CENTRE</c:v>
                  </c:pt>
                  <c:pt idx="9">
                    <c:v>BEDFORD HILL FAMILY PRACTICE</c:v>
                  </c:pt>
                  <c:pt idx="10">
                    <c:v>BALHAM PARK SURGERY</c:v>
                  </c:pt>
                  <c:pt idx="11">
                    <c:v>STREATHAM PARK SURGERY</c:v>
                  </c:pt>
                  <c:pt idx="12">
                    <c:v>WATERFALL HOUSE</c:v>
                  </c:pt>
                  <c:pt idx="13">
                    <c:v>BALHAM HILL MEDICAL PRACTICE</c:v>
                  </c:pt>
                  <c:pt idx="14">
                    <c:v>THURLEIGH ROAD PRACTICE</c:v>
                  </c:pt>
                  <c:pt idx="15">
                    <c:v>OPEN DOOR SURGERY</c:v>
                  </c:pt>
                  <c:pt idx="17">
                    <c:v>GRANVILLE ROAD SURGERY</c:v>
                  </c:pt>
                  <c:pt idx="18">
                    <c:v>EARLSFIELD SURGERY</c:v>
                  </c:pt>
                  <c:pt idx="19">
                    <c:v>ST. JOHN'S HILL PRACTICE</c:v>
                  </c:pt>
                  <c:pt idx="20">
                    <c:v>SOUTHFIELDS GROUP PRACTICE</c:v>
                  </c:pt>
                  <c:pt idx="21">
                    <c:v>THE MEDICAL CENTRE</c:v>
                  </c:pt>
                  <c:pt idx="22">
                    <c:v>THE SURGERY</c:v>
                  </c:pt>
                  <c:pt idx="23">
                    <c:v>BROCKLEBANK HEALTH CENTRE</c:v>
                  </c:pt>
                  <c:pt idx="24">
                    <c:v>ELBOROUGH STREET SURGERY</c:v>
                  </c:pt>
                  <c:pt idx="25">
                    <c:v>TRIANGLE SURGERY</c:v>
                  </c:pt>
                  <c:pt idx="27">
                    <c:v>NORTHCOTE ROAD SURGERY</c:v>
                  </c:pt>
                  <c:pt idx="28">
                    <c:v>LAVENDER HILL SURGERY</c:v>
                  </c:pt>
                  <c:pt idx="29">
                    <c:v>BRIDGE LANE GROUP PRACTICE</c:v>
                  </c:pt>
                  <c:pt idx="30">
                    <c:v>LAVENDER HILL GROUP PRACTICE</c:v>
                  </c:pt>
                  <c:pt idx="31">
                    <c:v>CHATFIELD MEDICAL CENTRE</c:v>
                  </c:pt>
                  <c:pt idx="32">
                    <c:v>QUEENSTOWN ROAD MEDICAL PRACTICE</c:v>
                  </c:pt>
                  <c:pt idx="33">
                    <c:v>BATTERSEA FIELDS PRACTICE</c:v>
                  </c:pt>
                  <c:pt idx="34">
                    <c:v>BATTERSEA RISE GROUP PRACTICE</c:v>
                  </c:pt>
                  <c:pt idx="35">
                    <c:v>THE FALCON ROAD MEDICAL CENTRE</c:v>
                  </c:pt>
                  <c:pt idx="36">
                    <c:v>THE HERITAGE MEDICAL CENTRE</c:v>
                  </c:pt>
                  <c:pt idx="38">
                    <c:v>THE ROEHAMPTON SURGERY</c:v>
                  </c:pt>
                  <c:pt idx="39">
                    <c:v>THE HEATHBRIDGE PRACTICE</c:v>
                  </c:pt>
                  <c:pt idx="40">
                    <c:v>DANEBURY AVENUE SURGERY</c:v>
                  </c:pt>
                  <c:pt idx="41">
                    <c:v>MAYFIELD SURGERY</c:v>
                  </c:pt>
                  <c:pt idx="42">
                    <c:v>THE SURGERY</c:v>
                  </c:pt>
                  <c:pt idx="43">
                    <c:v>PUTNEYMEAD MEDICAL CENTRE</c:v>
                  </c:pt>
                  <c:pt idx="44">
                    <c:v>CHARTFIELD SURGERY</c:v>
                  </c:pt>
                  <c:pt idx="45">
                    <c:v>THE ALTON PRACTICE</c:v>
                  </c:pt>
                  <c:pt idx="46">
                    <c:v>INNER PARK ROAD HEALTH CENTRE</c:v>
                  </c:pt>
                  <c:pt idx="47">
                    <c:v>THE PUTNEY SURGERY</c:v>
                  </c:pt>
                  <c:pt idx="48">
                    <c:v>TUDOR LODGE HEALTH CENTRE</c:v>
                  </c:pt>
                  <c:pt idx="49">
                    <c:v>ST PAUL'S COTTAGE PRACTICE</c:v>
                  </c:pt>
                </c:lvl>
                <c:lvl>
                  <c:pt idx="0">
                    <c:v>South</c:v>
                  </c:pt>
                  <c:pt idx="17">
                    <c:v>Central</c:v>
                  </c:pt>
                  <c:pt idx="27">
                    <c:v>North</c:v>
                  </c:pt>
                  <c:pt idx="38">
                    <c:v>West</c:v>
                  </c:pt>
                </c:lvl>
              </c:multiLvlStrCache>
            </c:multiLvlStrRef>
          </c:cat>
          <c:val>
            <c:numRef>
              <c:f>'IMD FEV'!$L$6:$L$55</c:f>
              <c:numCache>
                <c:formatCode>0.0%</c:formatCode>
                <c:ptCount val="50"/>
                <c:pt idx="0">
                  <c:v>0</c:v>
                </c:pt>
                <c:pt idx="1">
                  <c:v>0.66666668653488537</c:v>
                </c:pt>
                <c:pt idx="2">
                  <c:v>0.65217393636703691</c:v>
                </c:pt>
                <c:pt idx="3">
                  <c:v>1</c:v>
                </c:pt>
                <c:pt idx="4">
                  <c:v>0.74666666984558105</c:v>
                </c:pt>
                <c:pt idx="5">
                  <c:v>0.79069769382476862</c:v>
                </c:pt>
                <c:pt idx="6">
                  <c:v>1</c:v>
                </c:pt>
                <c:pt idx="7">
                  <c:v>1</c:v>
                </c:pt>
                <c:pt idx="8">
                  <c:v>0.85000002384185802</c:v>
                </c:pt>
                <c:pt idx="9">
                  <c:v>0.94915252923965332</c:v>
                </c:pt>
                <c:pt idx="10">
                  <c:v>0.96296298503875555</c:v>
                </c:pt>
                <c:pt idx="11">
                  <c:v>0.92982459068298295</c:v>
                </c:pt>
                <c:pt idx="12">
                  <c:v>0.98076921701431363</c:v>
                </c:pt>
                <c:pt idx="13">
                  <c:v>1</c:v>
                </c:pt>
                <c:pt idx="14">
                  <c:v>0.97435897588729858</c:v>
                </c:pt>
                <c:pt idx="15">
                  <c:v>0.95555555820465099</c:v>
                </c:pt>
                <c:pt idx="17">
                  <c:v>0</c:v>
                </c:pt>
                <c:pt idx="18">
                  <c:v>0.69620251655578769</c:v>
                </c:pt>
                <c:pt idx="19">
                  <c:v>0.94444441795349376</c:v>
                </c:pt>
                <c:pt idx="20">
                  <c:v>0.89361703395843495</c:v>
                </c:pt>
                <c:pt idx="21">
                  <c:v>0.93617022037506104</c:v>
                </c:pt>
                <c:pt idx="22">
                  <c:v>0.90476191043853993</c:v>
                </c:pt>
                <c:pt idx="23">
                  <c:v>0.90163934230804543</c:v>
                </c:pt>
                <c:pt idx="24">
                  <c:v>0.96428573131561302</c:v>
                </c:pt>
                <c:pt idx="25">
                  <c:v>0.94117647409439165</c:v>
                </c:pt>
                <c:pt idx="27">
                  <c:v>1</c:v>
                </c:pt>
                <c:pt idx="28">
                  <c:v>0.93333333730697599</c:v>
                </c:pt>
                <c:pt idx="29">
                  <c:v>0.92307692766189664</c:v>
                </c:pt>
                <c:pt idx="30">
                  <c:v>0.91379308700561501</c:v>
                </c:pt>
                <c:pt idx="31">
                  <c:v>0.96666663885116599</c:v>
                </c:pt>
                <c:pt idx="32">
                  <c:v>0.9670329689979521</c:v>
                </c:pt>
                <c:pt idx="33">
                  <c:v>0.91071426868438765</c:v>
                </c:pt>
                <c:pt idx="34">
                  <c:v>0.96774190664291593</c:v>
                </c:pt>
                <c:pt idx="35">
                  <c:v>0.94915252923965332</c:v>
                </c:pt>
                <c:pt idx="36">
                  <c:v>0.92307692766189664</c:v>
                </c:pt>
                <c:pt idx="38">
                  <c:v>0.92307692766189664</c:v>
                </c:pt>
                <c:pt idx="39">
                  <c:v>0.91208791732788164</c:v>
                </c:pt>
                <c:pt idx="40">
                  <c:v>0.80851066112518299</c:v>
                </c:pt>
                <c:pt idx="41">
                  <c:v>0.95999997854232944</c:v>
                </c:pt>
                <c:pt idx="42">
                  <c:v>0.94444441795349376</c:v>
                </c:pt>
                <c:pt idx="43">
                  <c:v>0.96296298503875555</c:v>
                </c:pt>
                <c:pt idx="44">
                  <c:v>0.90566039085388195</c:v>
                </c:pt>
                <c:pt idx="45">
                  <c:v>0.93877553939819625</c:v>
                </c:pt>
                <c:pt idx="46">
                  <c:v>1</c:v>
                </c:pt>
                <c:pt idx="47">
                  <c:v>0.96153843402862504</c:v>
                </c:pt>
                <c:pt idx="48">
                  <c:v>0.93333333730697599</c:v>
                </c:pt>
                <c:pt idx="49">
                  <c:v>0.96428573131561302</c:v>
                </c:pt>
              </c:numCache>
            </c:numRef>
          </c:val>
        </c:ser>
        <c:ser>
          <c:idx val="3"/>
          <c:order val="3"/>
          <c:tx>
            <c:strRef>
              <c:f>'IMD FEV'!$M$5</c:f>
              <c:strCache>
                <c:ptCount val="1"/>
                <c:pt idx="0">
                  <c:v>% of patients with COPD with diagnosis confirmed by post bronchodilator spirometry</c:v>
                </c:pt>
              </c:strCache>
            </c:strRef>
          </c:tx>
          <c:cat>
            <c:multiLvlStrRef>
              <c:f>'IMD FEV'!$H$6:$I$55</c:f>
              <c:multiLvlStrCache>
                <c:ptCount val="50"/>
                <c:lvl>
                  <c:pt idx="0">
                    <c:v>TOOTING BEC SURGERY</c:v>
                  </c:pt>
                  <c:pt idx="1">
                    <c:v>FURZEDOWN PRIMARY CARE CENTRE</c:v>
                  </c:pt>
                  <c:pt idx="2">
                    <c:v>THE FRANCISCAN SURGERY</c:v>
                  </c:pt>
                  <c:pt idx="3">
                    <c:v>BALHAM HEALTH CENTRE</c:v>
                  </c:pt>
                  <c:pt idx="4">
                    <c:v>DR NICHOLAS &amp; PARTNERS</c:v>
                  </c:pt>
                  <c:pt idx="5">
                    <c:v>THE GRAYSWOOD PRACTICE</c:v>
                  </c:pt>
                  <c:pt idx="6">
                    <c:v>SAI MEDICAL CENTRE</c:v>
                  </c:pt>
                  <c:pt idx="7">
                    <c:v>MITCHAM ROAD SURGERY</c:v>
                  </c:pt>
                  <c:pt idx="8">
                    <c:v>TOOTING SOUTH MEDICAL CENTRE</c:v>
                  </c:pt>
                  <c:pt idx="9">
                    <c:v>BEDFORD HILL FAMILY PRACTICE</c:v>
                  </c:pt>
                  <c:pt idx="10">
                    <c:v>BALHAM PARK SURGERY</c:v>
                  </c:pt>
                  <c:pt idx="11">
                    <c:v>STREATHAM PARK SURGERY</c:v>
                  </c:pt>
                  <c:pt idx="12">
                    <c:v>WATERFALL HOUSE</c:v>
                  </c:pt>
                  <c:pt idx="13">
                    <c:v>BALHAM HILL MEDICAL PRACTICE</c:v>
                  </c:pt>
                  <c:pt idx="14">
                    <c:v>THURLEIGH ROAD PRACTICE</c:v>
                  </c:pt>
                  <c:pt idx="15">
                    <c:v>OPEN DOOR SURGERY</c:v>
                  </c:pt>
                  <c:pt idx="17">
                    <c:v>GRANVILLE ROAD SURGERY</c:v>
                  </c:pt>
                  <c:pt idx="18">
                    <c:v>EARLSFIELD SURGERY</c:v>
                  </c:pt>
                  <c:pt idx="19">
                    <c:v>ST. JOHN'S HILL PRACTICE</c:v>
                  </c:pt>
                  <c:pt idx="20">
                    <c:v>SOUTHFIELDS GROUP PRACTICE</c:v>
                  </c:pt>
                  <c:pt idx="21">
                    <c:v>THE MEDICAL CENTRE</c:v>
                  </c:pt>
                  <c:pt idx="22">
                    <c:v>THE SURGERY</c:v>
                  </c:pt>
                  <c:pt idx="23">
                    <c:v>BROCKLEBANK HEALTH CENTRE</c:v>
                  </c:pt>
                  <c:pt idx="24">
                    <c:v>ELBOROUGH STREET SURGERY</c:v>
                  </c:pt>
                  <c:pt idx="25">
                    <c:v>TRIANGLE SURGERY</c:v>
                  </c:pt>
                  <c:pt idx="27">
                    <c:v>NORTHCOTE ROAD SURGERY</c:v>
                  </c:pt>
                  <c:pt idx="28">
                    <c:v>LAVENDER HILL SURGERY</c:v>
                  </c:pt>
                  <c:pt idx="29">
                    <c:v>BRIDGE LANE GROUP PRACTICE</c:v>
                  </c:pt>
                  <c:pt idx="30">
                    <c:v>LAVENDER HILL GROUP PRACTICE</c:v>
                  </c:pt>
                  <c:pt idx="31">
                    <c:v>CHATFIELD MEDICAL CENTRE</c:v>
                  </c:pt>
                  <c:pt idx="32">
                    <c:v>QUEENSTOWN ROAD MEDICAL PRACTICE</c:v>
                  </c:pt>
                  <c:pt idx="33">
                    <c:v>BATTERSEA FIELDS PRACTICE</c:v>
                  </c:pt>
                  <c:pt idx="34">
                    <c:v>BATTERSEA RISE GROUP PRACTICE</c:v>
                  </c:pt>
                  <c:pt idx="35">
                    <c:v>THE FALCON ROAD MEDICAL CENTRE</c:v>
                  </c:pt>
                  <c:pt idx="36">
                    <c:v>THE HERITAGE MEDICAL CENTRE</c:v>
                  </c:pt>
                  <c:pt idx="38">
                    <c:v>THE ROEHAMPTON SURGERY</c:v>
                  </c:pt>
                  <c:pt idx="39">
                    <c:v>THE HEATHBRIDGE PRACTICE</c:v>
                  </c:pt>
                  <c:pt idx="40">
                    <c:v>DANEBURY AVENUE SURGERY</c:v>
                  </c:pt>
                  <c:pt idx="41">
                    <c:v>MAYFIELD SURGERY</c:v>
                  </c:pt>
                  <c:pt idx="42">
                    <c:v>THE SURGERY</c:v>
                  </c:pt>
                  <c:pt idx="43">
                    <c:v>PUTNEYMEAD MEDICAL CENTRE</c:v>
                  </c:pt>
                  <c:pt idx="44">
                    <c:v>CHARTFIELD SURGERY</c:v>
                  </c:pt>
                  <c:pt idx="45">
                    <c:v>THE ALTON PRACTICE</c:v>
                  </c:pt>
                  <c:pt idx="46">
                    <c:v>INNER PARK ROAD HEALTH CENTRE</c:v>
                  </c:pt>
                  <c:pt idx="47">
                    <c:v>THE PUTNEY SURGERY</c:v>
                  </c:pt>
                  <c:pt idx="48">
                    <c:v>TUDOR LODGE HEALTH CENTRE</c:v>
                  </c:pt>
                  <c:pt idx="49">
                    <c:v>ST PAUL'S COTTAGE PRACTICE</c:v>
                  </c:pt>
                </c:lvl>
                <c:lvl>
                  <c:pt idx="0">
                    <c:v>South</c:v>
                  </c:pt>
                  <c:pt idx="17">
                    <c:v>Central</c:v>
                  </c:pt>
                  <c:pt idx="27">
                    <c:v>North</c:v>
                  </c:pt>
                  <c:pt idx="38">
                    <c:v>West</c:v>
                  </c:pt>
                </c:lvl>
              </c:multiLvlStrCache>
            </c:multiLvlStrRef>
          </c:cat>
          <c:val>
            <c:numRef>
              <c:f>'IMD FEV'!$M$6:$M$55</c:f>
              <c:numCache>
                <c:formatCode>0.0%</c:formatCode>
                <c:ptCount val="50"/>
                <c:pt idx="0">
                  <c:v>0</c:v>
                </c:pt>
                <c:pt idx="1">
                  <c:v>0</c:v>
                </c:pt>
                <c:pt idx="2">
                  <c:v>0</c:v>
                </c:pt>
                <c:pt idx="3">
                  <c:v>0</c:v>
                </c:pt>
                <c:pt idx="4">
                  <c:v>0.69230771064758456</c:v>
                </c:pt>
                <c:pt idx="5">
                  <c:v>0.80000001192092896</c:v>
                </c:pt>
                <c:pt idx="6">
                  <c:v>0</c:v>
                </c:pt>
                <c:pt idx="7">
                  <c:v>1</c:v>
                </c:pt>
                <c:pt idx="8">
                  <c:v>1</c:v>
                </c:pt>
                <c:pt idx="9">
                  <c:v>1</c:v>
                </c:pt>
                <c:pt idx="10">
                  <c:v>0.87500000000000155</c:v>
                </c:pt>
                <c:pt idx="11">
                  <c:v>1</c:v>
                </c:pt>
                <c:pt idx="12">
                  <c:v>1</c:v>
                </c:pt>
                <c:pt idx="13">
                  <c:v>1</c:v>
                </c:pt>
                <c:pt idx="14">
                  <c:v>1</c:v>
                </c:pt>
                <c:pt idx="15">
                  <c:v>1</c:v>
                </c:pt>
                <c:pt idx="17">
                  <c:v>0</c:v>
                </c:pt>
                <c:pt idx="18">
                  <c:v>0</c:v>
                </c:pt>
                <c:pt idx="19">
                  <c:v>0.33333334326744268</c:v>
                </c:pt>
                <c:pt idx="20">
                  <c:v>0.85714286565780595</c:v>
                </c:pt>
                <c:pt idx="21">
                  <c:v>1</c:v>
                </c:pt>
                <c:pt idx="22">
                  <c:v>1</c:v>
                </c:pt>
                <c:pt idx="23">
                  <c:v>1</c:v>
                </c:pt>
                <c:pt idx="24">
                  <c:v>1</c:v>
                </c:pt>
                <c:pt idx="25">
                  <c:v>1</c:v>
                </c:pt>
                <c:pt idx="27">
                  <c:v>0</c:v>
                </c:pt>
                <c:pt idx="28">
                  <c:v>0</c:v>
                </c:pt>
                <c:pt idx="29">
                  <c:v>0.83333331346511863</c:v>
                </c:pt>
                <c:pt idx="30">
                  <c:v>0.91666668653488392</c:v>
                </c:pt>
                <c:pt idx="31">
                  <c:v>1</c:v>
                </c:pt>
                <c:pt idx="32">
                  <c:v>1</c:v>
                </c:pt>
                <c:pt idx="33">
                  <c:v>1</c:v>
                </c:pt>
                <c:pt idx="34">
                  <c:v>1</c:v>
                </c:pt>
                <c:pt idx="35">
                  <c:v>1</c:v>
                </c:pt>
                <c:pt idx="36">
                  <c:v>1</c:v>
                </c:pt>
                <c:pt idx="38">
                  <c:v>1</c:v>
                </c:pt>
                <c:pt idx="39">
                  <c:v>0.83333331346511863</c:v>
                </c:pt>
                <c:pt idx="40">
                  <c:v>1</c:v>
                </c:pt>
                <c:pt idx="41">
                  <c:v>0.85714286565780595</c:v>
                </c:pt>
                <c:pt idx="42">
                  <c:v>1</c:v>
                </c:pt>
                <c:pt idx="43">
                  <c:v>1</c:v>
                </c:pt>
                <c:pt idx="44">
                  <c:v>1</c:v>
                </c:pt>
                <c:pt idx="45">
                  <c:v>1</c:v>
                </c:pt>
                <c:pt idx="46">
                  <c:v>1</c:v>
                </c:pt>
                <c:pt idx="47">
                  <c:v>1</c:v>
                </c:pt>
                <c:pt idx="48">
                  <c:v>1</c:v>
                </c:pt>
                <c:pt idx="49">
                  <c:v>1</c:v>
                </c:pt>
              </c:numCache>
            </c:numRef>
          </c:val>
        </c:ser>
        <c:gapWidth val="55"/>
        <c:overlap val="100"/>
        <c:axId val="97851264"/>
        <c:axId val="97852800"/>
      </c:barChart>
      <c:lineChart>
        <c:grouping val="standard"/>
        <c:ser>
          <c:idx val="6"/>
          <c:order val="4"/>
          <c:tx>
            <c:strRef>
              <c:f>'IMD FEV'!$N$5</c:f>
              <c:strCache>
                <c:ptCount val="1"/>
                <c:pt idx="0">
                  <c:v>England</c:v>
                </c:pt>
              </c:strCache>
            </c:strRef>
          </c:tx>
          <c:marker>
            <c:symbol val="none"/>
          </c:marker>
          <c:cat>
            <c:multiLvlStrRef>
              <c:f>'IMD FEV'!$H$6:$I$55</c:f>
              <c:multiLvlStrCache>
                <c:ptCount val="50"/>
                <c:lvl>
                  <c:pt idx="0">
                    <c:v>TOOTING BEC SURGERY</c:v>
                  </c:pt>
                  <c:pt idx="1">
                    <c:v>FURZEDOWN PRIMARY CARE CENTRE</c:v>
                  </c:pt>
                  <c:pt idx="2">
                    <c:v>THE FRANCISCAN SURGERY</c:v>
                  </c:pt>
                  <c:pt idx="3">
                    <c:v>BALHAM HEALTH CENTRE</c:v>
                  </c:pt>
                  <c:pt idx="4">
                    <c:v>DR NICHOLAS &amp; PARTNERS</c:v>
                  </c:pt>
                  <c:pt idx="5">
                    <c:v>THE GRAYSWOOD PRACTICE</c:v>
                  </c:pt>
                  <c:pt idx="6">
                    <c:v>SAI MEDICAL CENTRE</c:v>
                  </c:pt>
                  <c:pt idx="7">
                    <c:v>MITCHAM ROAD SURGERY</c:v>
                  </c:pt>
                  <c:pt idx="8">
                    <c:v>TOOTING SOUTH MEDICAL CENTRE</c:v>
                  </c:pt>
                  <c:pt idx="9">
                    <c:v>BEDFORD HILL FAMILY PRACTICE</c:v>
                  </c:pt>
                  <c:pt idx="10">
                    <c:v>BALHAM PARK SURGERY</c:v>
                  </c:pt>
                  <c:pt idx="11">
                    <c:v>STREATHAM PARK SURGERY</c:v>
                  </c:pt>
                  <c:pt idx="12">
                    <c:v>WATERFALL HOUSE</c:v>
                  </c:pt>
                  <c:pt idx="13">
                    <c:v>BALHAM HILL MEDICAL PRACTICE</c:v>
                  </c:pt>
                  <c:pt idx="14">
                    <c:v>THURLEIGH ROAD PRACTICE</c:v>
                  </c:pt>
                  <c:pt idx="15">
                    <c:v>OPEN DOOR SURGERY</c:v>
                  </c:pt>
                  <c:pt idx="17">
                    <c:v>GRANVILLE ROAD SURGERY</c:v>
                  </c:pt>
                  <c:pt idx="18">
                    <c:v>EARLSFIELD SURGERY</c:v>
                  </c:pt>
                  <c:pt idx="19">
                    <c:v>ST. JOHN'S HILL PRACTICE</c:v>
                  </c:pt>
                  <c:pt idx="20">
                    <c:v>SOUTHFIELDS GROUP PRACTICE</c:v>
                  </c:pt>
                  <c:pt idx="21">
                    <c:v>THE MEDICAL CENTRE</c:v>
                  </c:pt>
                  <c:pt idx="22">
                    <c:v>THE SURGERY</c:v>
                  </c:pt>
                  <c:pt idx="23">
                    <c:v>BROCKLEBANK HEALTH CENTRE</c:v>
                  </c:pt>
                  <c:pt idx="24">
                    <c:v>ELBOROUGH STREET SURGERY</c:v>
                  </c:pt>
                  <c:pt idx="25">
                    <c:v>TRIANGLE SURGERY</c:v>
                  </c:pt>
                  <c:pt idx="27">
                    <c:v>NORTHCOTE ROAD SURGERY</c:v>
                  </c:pt>
                  <c:pt idx="28">
                    <c:v>LAVENDER HILL SURGERY</c:v>
                  </c:pt>
                  <c:pt idx="29">
                    <c:v>BRIDGE LANE GROUP PRACTICE</c:v>
                  </c:pt>
                  <c:pt idx="30">
                    <c:v>LAVENDER HILL GROUP PRACTICE</c:v>
                  </c:pt>
                  <c:pt idx="31">
                    <c:v>CHATFIELD MEDICAL CENTRE</c:v>
                  </c:pt>
                  <c:pt idx="32">
                    <c:v>QUEENSTOWN ROAD MEDICAL PRACTICE</c:v>
                  </c:pt>
                  <c:pt idx="33">
                    <c:v>BATTERSEA FIELDS PRACTICE</c:v>
                  </c:pt>
                  <c:pt idx="34">
                    <c:v>BATTERSEA RISE GROUP PRACTICE</c:v>
                  </c:pt>
                  <c:pt idx="35">
                    <c:v>THE FALCON ROAD MEDICAL CENTRE</c:v>
                  </c:pt>
                  <c:pt idx="36">
                    <c:v>THE HERITAGE MEDICAL CENTRE</c:v>
                  </c:pt>
                  <c:pt idx="38">
                    <c:v>THE ROEHAMPTON SURGERY</c:v>
                  </c:pt>
                  <c:pt idx="39">
                    <c:v>THE HEATHBRIDGE PRACTICE</c:v>
                  </c:pt>
                  <c:pt idx="40">
                    <c:v>DANEBURY AVENUE SURGERY</c:v>
                  </c:pt>
                  <c:pt idx="41">
                    <c:v>MAYFIELD SURGERY</c:v>
                  </c:pt>
                  <c:pt idx="42">
                    <c:v>THE SURGERY</c:v>
                  </c:pt>
                  <c:pt idx="43">
                    <c:v>PUTNEYMEAD MEDICAL CENTRE</c:v>
                  </c:pt>
                  <c:pt idx="44">
                    <c:v>CHARTFIELD SURGERY</c:v>
                  </c:pt>
                  <c:pt idx="45">
                    <c:v>THE ALTON PRACTICE</c:v>
                  </c:pt>
                  <c:pt idx="46">
                    <c:v>INNER PARK ROAD HEALTH CENTRE</c:v>
                  </c:pt>
                  <c:pt idx="47">
                    <c:v>THE PUTNEY SURGERY</c:v>
                  </c:pt>
                  <c:pt idx="48">
                    <c:v>TUDOR LODGE HEALTH CENTRE</c:v>
                  </c:pt>
                  <c:pt idx="49">
                    <c:v>ST PAUL'S COTTAGE PRACTICE</c:v>
                  </c:pt>
                </c:lvl>
                <c:lvl>
                  <c:pt idx="0">
                    <c:v>South</c:v>
                  </c:pt>
                  <c:pt idx="17">
                    <c:v>Central</c:v>
                  </c:pt>
                  <c:pt idx="27">
                    <c:v>North</c:v>
                  </c:pt>
                  <c:pt idx="38">
                    <c:v>West</c:v>
                  </c:pt>
                </c:lvl>
              </c:multiLvlStrCache>
            </c:multiLvlStrRef>
          </c:cat>
          <c:val>
            <c:numRef>
              <c:f>'IMD FEV'!$N$6:$N$55</c:f>
              <c:numCache>
                <c:formatCode>0.0%</c:formatCode>
                <c:ptCount val="50"/>
                <c:pt idx="0">
                  <c:v>3.5629999999999997</c:v>
                </c:pt>
                <c:pt idx="1">
                  <c:v>3.5629999999999997</c:v>
                </c:pt>
                <c:pt idx="2">
                  <c:v>3.5629999999999997</c:v>
                </c:pt>
                <c:pt idx="3">
                  <c:v>3.5629999999999997</c:v>
                </c:pt>
                <c:pt idx="4">
                  <c:v>3.5629999999999997</c:v>
                </c:pt>
                <c:pt idx="5">
                  <c:v>3.5629999999999997</c:v>
                </c:pt>
                <c:pt idx="6">
                  <c:v>3.5629999999999997</c:v>
                </c:pt>
                <c:pt idx="7">
                  <c:v>3.5629999999999997</c:v>
                </c:pt>
                <c:pt idx="8">
                  <c:v>3.5629999999999997</c:v>
                </c:pt>
                <c:pt idx="9">
                  <c:v>3.5629999999999997</c:v>
                </c:pt>
                <c:pt idx="10">
                  <c:v>3.5629999999999997</c:v>
                </c:pt>
                <c:pt idx="11">
                  <c:v>3.5629999999999997</c:v>
                </c:pt>
                <c:pt idx="12">
                  <c:v>3.5629999999999997</c:v>
                </c:pt>
                <c:pt idx="13">
                  <c:v>3.5629999999999997</c:v>
                </c:pt>
                <c:pt idx="14">
                  <c:v>3.5629999999999997</c:v>
                </c:pt>
                <c:pt idx="15">
                  <c:v>3.5629999999999997</c:v>
                </c:pt>
                <c:pt idx="16">
                  <c:v>3.5629999999999997</c:v>
                </c:pt>
                <c:pt idx="17">
                  <c:v>3.5629999999999997</c:v>
                </c:pt>
                <c:pt idx="18">
                  <c:v>3.5629999999999997</c:v>
                </c:pt>
                <c:pt idx="19">
                  <c:v>3.5629999999999997</c:v>
                </c:pt>
                <c:pt idx="20">
                  <c:v>3.5629999999999997</c:v>
                </c:pt>
                <c:pt idx="21">
                  <c:v>3.5629999999999997</c:v>
                </c:pt>
                <c:pt idx="22">
                  <c:v>3.5629999999999997</c:v>
                </c:pt>
                <c:pt idx="23">
                  <c:v>3.5629999999999997</c:v>
                </c:pt>
                <c:pt idx="24">
                  <c:v>3.5629999999999997</c:v>
                </c:pt>
                <c:pt idx="25">
                  <c:v>3.5629999999999997</c:v>
                </c:pt>
                <c:pt idx="26">
                  <c:v>3.5629999999999997</c:v>
                </c:pt>
                <c:pt idx="27">
                  <c:v>3.5629999999999997</c:v>
                </c:pt>
                <c:pt idx="28">
                  <c:v>3.5629999999999997</c:v>
                </c:pt>
                <c:pt idx="29">
                  <c:v>3.5629999999999997</c:v>
                </c:pt>
                <c:pt idx="30">
                  <c:v>3.5629999999999997</c:v>
                </c:pt>
                <c:pt idx="31">
                  <c:v>3.5629999999999997</c:v>
                </c:pt>
                <c:pt idx="32">
                  <c:v>3.5629999999999997</c:v>
                </c:pt>
                <c:pt idx="33">
                  <c:v>3.5629999999999997</c:v>
                </c:pt>
                <c:pt idx="34">
                  <c:v>3.5629999999999997</c:v>
                </c:pt>
                <c:pt idx="35">
                  <c:v>3.5629999999999997</c:v>
                </c:pt>
                <c:pt idx="36">
                  <c:v>3.5629999999999997</c:v>
                </c:pt>
                <c:pt idx="37">
                  <c:v>3.5629999999999997</c:v>
                </c:pt>
                <c:pt idx="38">
                  <c:v>3.5629999999999997</c:v>
                </c:pt>
                <c:pt idx="39">
                  <c:v>3.5629999999999997</c:v>
                </c:pt>
                <c:pt idx="40">
                  <c:v>3.5629999999999997</c:v>
                </c:pt>
                <c:pt idx="41">
                  <c:v>3.5629999999999997</c:v>
                </c:pt>
                <c:pt idx="42">
                  <c:v>3.5629999999999997</c:v>
                </c:pt>
                <c:pt idx="43">
                  <c:v>3.5629999999999997</c:v>
                </c:pt>
                <c:pt idx="44">
                  <c:v>3.5629999999999997</c:v>
                </c:pt>
                <c:pt idx="45">
                  <c:v>3.5629999999999997</c:v>
                </c:pt>
                <c:pt idx="46">
                  <c:v>3.5629999999999997</c:v>
                </c:pt>
                <c:pt idx="47">
                  <c:v>3.5629999999999997</c:v>
                </c:pt>
                <c:pt idx="48">
                  <c:v>3.5629999999999997</c:v>
                </c:pt>
                <c:pt idx="49">
                  <c:v>3.5629999999999997</c:v>
                </c:pt>
              </c:numCache>
            </c:numRef>
          </c:val>
        </c:ser>
        <c:ser>
          <c:idx val="7"/>
          <c:order val="5"/>
          <c:tx>
            <c:strRef>
              <c:f>'IMD FEV'!$O$5</c:f>
              <c:strCache>
                <c:ptCount val="1"/>
                <c:pt idx="0">
                  <c:v>London</c:v>
                </c:pt>
              </c:strCache>
            </c:strRef>
          </c:tx>
          <c:marker>
            <c:symbol val="none"/>
          </c:marker>
          <c:cat>
            <c:multiLvlStrRef>
              <c:f>'IMD FEV'!$H$6:$I$55</c:f>
              <c:multiLvlStrCache>
                <c:ptCount val="50"/>
                <c:lvl>
                  <c:pt idx="0">
                    <c:v>TOOTING BEC SURGERY</c:v>
                  </c:pt>
                  <c:pt idx="1">
                    <c:v>FURZEDOWN PRIMARY CARE CENTRE</c:v>
                  </c:pt>
                  <c:pt idx="2">
                    <c:v>THE FRANCISCAN SURGERY</c:v>
                  </c:pt>
                  <c:pt idx="3">
                    <c:v>BALHAM HEALTH CENTRE</c:v>
                  </c:pt>
                  <c:pt idx="4">
                    <c:v>DR NICHOLAS &amp; PARTNERS</c:v>
                  </c:pt>
                  <c:pt idx="5">
                    <c:v>THE GRAYSWOOD PRACTICE</c:v>
                  </c:pt>
                  <c:pt idx="6">
                    <c:v>SAI MEDICAL CENTRE</c:v>
                  </c:pt>
                  <c:pt idx="7">
                    <c:v>MITCHAM ROAD SURGERY</c:v>
                  </c:pt>
                  <c:pt idx="8">
                    <c:v>TOOTING SOUTH MEDICAL CENTRE</c:v>
                  </c:pt>
                  <c:pt idx="9">
                    <c:v>BEDFORD HILL FAMILY PRACTICE</c:v>
                  </c:pt>
                  <c:pt idx="10">
                    <c:v>BALHAM PARK SURGERY</c:v>
                  </c:pt>
                  <c:pt idx="11">
                    <c:v>STREATHAM PARK SURGERY</c:v>
                  </c:pt>
                  <c:pt idx="12">
                    <c:v>WATERFALL HOUSE</c:v>
                  </c:pt>
                  <c:pt idx="13">
                    <c:v>BALHAM HILL MEDICAL PRACTICE</c:v>
                  </c:pt>
                  <c:pt idx="14">
                    <c:v>THURLEIGH ROAD PRACTICE</c:v>
                  </c:pt>
                  <c:pt idx="15">
                    <c:v>OPEN DOOR SURGERY</c:v>
                  </c:pt>
                  <c:pt idx="17">
                    <c:v>GRANVILLE ROAD SURGERY</c:v>
                  </c:pt>
                  <c:pt idx="18">
                    <c:v>EARLSFIELD SURGERY</c:v>
                  </c:pt>
                  <c:pt idx="19">
                    <c:v>ST. JOHN'S HILL PRACTICE</c:v>
                  </c:pt>
                  <c:pt idx="20">
                    <c:v>SOUTHFIELDS GROUP PRACTICE</c:v>
                  </c:pt>
                  <c:pt idx="21">
                    <c:v>THE MEDICAL CENTRE</c:v>
                  </c:pt>
                  <c:pt idx="22">
                    <c:v>THE SURGERY</c:v>
                  </c:pt>
                  <c:pt idx="23">
                    <c:v>BROCKLEBANK HEALTH CENTRE</c:v>
                  </c:pt>
                  <c:pt idx="24">
                    <c:v>ELBOROUGH STREET SURGERY</c:v>
                  </c:pt>
                  <c:pt idx="25">
                    <c:v>TRIANGLE SURGERY</c:v>
                  </c:pt>
                  <c:pt idx="27">
                    <c:v>NORTHCOTE ROAD SURGERY</c:v>
                  </c:pt>
                  <c:pt idx="28">
                    <c:v>LAVENDER HILL SURGERY</c:v>
                  </c:pt>
                  <c:pt idx="29">
                    <c:v>BRIDGE LANE GROUP PRACTICE</c:v>
                  </c:pt>
                  <c:pt idx="30">
                    <c:v>LAVENDER HILL GROUP PRACTICE</c:v>
                  </c:pt>
                  <c:pt idx="31">
                    <c:v>CHATFIELD MEDICAL CENTRE</c:v>
                  </c:pt>
                  <c:pt idx="32">
                    <c:v>QUEENSTOWN ROAD MEDICAL PRACTICE</c:v>
                  </c:pt>
                  <c:pt idx="33">
                    <c:v>BATTERSEA FIELDS PRACTICE</c:v>
                  </c:pt>
                  <c:pt idx="34">
                    <c:v>BATTERSEA RISE GROUP PRACTICE</c:v>
                  </c:pt>
                  <c:pt idx="35">
                    <c:v>THE FALCON ROAD MEDICAL CENTRE</c:v>
                  </c:pt>
                  <c:pt idx="36">
                    <c:v>THE HERITAGE MEDICAL CENTRE</c:v>
                  </c:pt>
                  <c:pt idx="38">
                    <c:v>THE ROEHAMPTON SURGERY</c:v>
                  </c:pt>
                  <c:pt idx="39">
                    <c:v>THE HEATHBRIDGE PRACTICE</c:v>
                  </c:pt>
                  <c:pt idx="40">
                    <c:v>DANEBURY AVENUE SURGERY</c:v>
                  </c:pt>
                  <c:pt idx="41">
                    <c:v>MAYFIELD SURGERY</c:v>
                  </c:pt>
                  <c:pt idx="42">
                    <c:v>THE SURGERY</c:v>
                  </c:pt>
                  <c:pt idx="43">
                    <c:v>PUTNEYMEAD MEDICAL CENTRE</c:v>
                  </c:pt>
                  <c:pt idx="44">
                    <c:v>CHARTFIELD SURGERY</c:v>
                  </c:pt>
                  <c:pt idx="45">
                    <c:v>THE ALTON PRACTICE</c:v>
                  </c:pt>
                  <c:pt idx="46">
                    <c:v>INNER PARK ROAD HEALTH CENTRE</c:v>
                  </c:pt>
                  <c:pt idx="47">
                    <c:v>THE PUTNEY SURGERY</c:v>
                  </c:pt>
                  <c:pt idx="48">
                    <c:v>TUDOR LODGE HEALTH CENTRE</c:v>
                  </c:pt>
                  <c:pt idx="49">
                    <c:v>ST PAUL'S COTTAGE PRACTICE</c:v>
                  </c:pt>
                </c:lvl>
                <c:lvl>
                  <c:pt idx="0">
                    <c:v>South</c:v>
                  </c:pt>
                  <c:pt idx="17">
                    <c:v>Central</c:v>
                  </c:pt>
                  <c:pt idx="27">
                    <c:v>North</c:v>
                  </c:pt>
                  <c:pt idx="38">
                    <c:v>West</c:v>
                  </c:pt>
                </c:lvl>
              </c:multiLvlStrCache>
            </c:multiLvlStrRef>
          </c:cat>
          <c:val>
            <c:numRef>
              <c:f>'IMD FEV'!$O$6:$O$55</c:f>
              <c:numCache>
                <c:formatCode>0.0%</c:formatCode>
                <c:ptCount val="50"/>
                <c:pt idx="0">
                  <c:v>3.54</c:v>
                </c:pt>
                <c:pt idx="1">
                  <c:v>3.54</c:v>
                </c:pt>
                <c:pt idx="2">
                  <c:v>3.54</c:v>
                </c:pt>
                <c:pt idx="3">
                  <c:v>3.54</c:v>
                </c:pt>
                <c:pt idx="4">
                  <c:v>3.54</c:v>
                </c:pt>
                <c:pt idx="5">
                  <c:v>3.54</c:v>
                </c:pt>
                <c:pt idx="6">
                  <c:v>3.54</c:v>
                </c:pt>
                <c:pt idx="7">
                  <c:v>3.54</c:v>
                </c:pt>
                <c:pt idx="8">
                  <c:v>3.54</c:v>
                </c:pt>
                <c:pt idx="9">
                  <c:v>3.54</c:v>
                </c:pt>
                <c:pt idx="10">
                  <c:v>3.54</c:v>
                </c:pt>
                <c:pt idx="11">
                  <c:v>3.54</c:v>
                </c:pt>
                <c:pt idx="12">
                  <c:v>3.54</c:v>
                </c:pt>
                <c:pt idx="13">
                  <c:v>3.54</c:v>
                </c:pt>
                <c:pt idx="14">
                  <c:v>3.54</c:v>
                </c:pt>
                <c:pt idx="15">
                  <c:v>3.54</c:v>
                </c:pt>
                <c:pt idx="16">
                  <c:v>3.54</c:v>
                </c:pt>
                <c:pt idx="17">
                  <c:v>3.54</c:v>
                </c:pt>
                <c:pt idx="18">
                  <c:v>3.54</c:v>
                </c:pt>
                <c:pt idx="19">
                  <c:v>3.54</c:v>
                </c:pt>
                <c:pt idx="20">
                  <c:v>3.54</c:v>
                </c:pt>
                <c:pt idx="21">
                  <c:v>3.54</c:v>
                </c:pt>
                <c:pt idx="22">
                  <c:v>3.54</c:v>
                </c:pt>
                <c:pt idx="23">
                  <c:v>3.54</c:v>
                </c:pt>
                <c:pt idx="24">
                  <c:v>3.54</c:v>
                </c:pt>
                <c:pt idx="25">
                  <c:v>3.54</c:v>
                </c:pt>
                <c:pt idx="26">
                  <c:v>3.54</c:v>
                </c:pt>
                <c:pt idx="27">
                  <c:v>3.54</c:v>
                </c:pt>
                <c:pt idx="28">
                  <c:v>3.54</c:v>
                </c:pt>
                <c:pt idx="29">
                  <c:v>3.54</c:v>
                </c:pt>
                <c:pt idx="30">
                  <c:v>3.54</c:v>
                </c:pt>
                <c:pt idx="31">
                  <c:v>3.54</c:v>
                </c:pt>
                <c:pt idx="32">
                  <c:v>3.54</c:v>
                </c:pt>
                <c:pt idx="33">
                  <c:v>3.54</c:v>
                </c:pt>
                <c:pt idx="34">
                  <c:v>3.54</c:v>
                </c:pt>
                <c:pt idx="35">
                  <c:v>3.54</c:v>
                </c:pt>
                <c:pt idx="36">
                  <c:v>3.54</c:v>
                </c:pt>
                <c:pt idx="37">
                  <c:v>3.54</c:v>
                </c:pt>
                <c:pt idx="38">
                  <c:v>3.54</c:v>
                </c:pt>
                <c:pt idx="39">
                  <c:v>3.54</c:v>
                </c:pt>
                <c:pt idx="40">
                  <c:v>3.54</c:v>
                </c:pt>
                <c:pt idx="41">
                  <c:v>3.54</c:v>
                </c:pt>
                <c:pt idx="42">
                  <c:v>3.54</c:v>
                </c:pt>
                <c:pt idx="43">
                  <c:v>3.54</c:v>
                </c:pt>
                <c:pt idx="44">
                  <c:v>3.54</c:v>
                </c:pt>
                <c:pt idx="45">
                  <c:v>3.54</c:v>
                </c:pt>
                <c:pt idx="46">
                  <c:v>3.54</c:v>
                </c:pt>
                <c:pt idx="47">
                  <c:v>3.54</c:v>
                </c:pt>
                <c:pt idx="48">
                  <c:v>3.54</c:v>
                </c:pt>
                <c:pt idx="49">
                  <c:v>3.54</c:v>
                </c:pt>
              </c:numCache>
            </c:numRef>
          </c:val>
        </c:ser>
        <c:ser>
          <c:idx val="8"/>
          <c:order val="6"/>
          <c:tx>
            <c:strRef>
              <c:f>'IMD FEV'!$P$5</c:f>
              <c:strCache>
                <c:ptCount val="1"/>
                <c:pt idx="0">
                  <c:v>Wandsworth</c:v>
                </c:pt>
              </c:strCache>
            </c:strRef>
          </c:tx>
          <c:marker>
            <c:symbol val="none"/>
          </c:marker>
          <c:cat>
            <c:multiLvlStrRef>
              <c:f>'IMD FEV'!$H$6:$I$55</c:f>
              <c:multiLvlStrCache>
                <c:ptCount val="50"/>
                <c:lvl>
                  <c:pt idx="0">
                    <c:v>TOOTING BEC SURGERY</c:v>
                  </c:pt>
                  <c:pt idx="1">
                    <c:v>FURZEDOWN PRIMARY CARE CENTRE</c:v>
                  </c:pt>
                  <c:pt idx="2">
                    <c:v>THE FRANCISCAN SURGERY</c:v>
                  </c:pt>
                  <c:pt idx="3">
                    <c:v>BALHAM HEALTH CENTRE</c:v>
                  </c:pt>
                  <c:pt idx="4">
                    <c:v>DR NICHOLAS &amp; PARTNERS</c:v>
                  </c:pt>
                  <c:pt idx="5">
                    <c:v>THE GRAYSWOOD PRACTICE</c:v>
                  </c:pt>
                  <c:pt idx="6">
                    <c:v>SAI MEDICAL CENTRE</c:v>
                  </c:pt>
                  <c:pt idx="7">
                    <c:v>MITCHAM ROAD SURGERY</c:v>
                  </c:pt>
                  <c:pt idx="8">
                    <c:v>TOOTING SOUTH MEDICAL CENTRE</c:v>
                  </c:pt>
                  <c:pt idx="9">
                    <c:v>BEDFORD HILL FAMILY PRACTICE</c:v>
                  </c:pt>
                  <c:pt idx="10">
                    <c:v>BALHAM PARK SURGERY</c:v>
                  </c:pt>
                  <c:pt idx="11">
                    <c:v>STREATHAM PARK SURGERY</c:v>
                  </c:pt>
                  <c:pt idx="12">
                    <c:v>WATERFALL HOUSE</c:v>
                  </c:pt>
                  <c:pt idx="13">
                    <c:v>BALHAM HILL MEDICAL PRACTICE</c:v>
                  </c:pt>
                  <c:pt idx="14">
                    <c:v>THURLEIGH ROAD PRACTICE</c:v>
                  </c:pt>
                  <c:pt idx="15">
                    <c:v>OPEN DOOR SURGERY</c:v>
                  </c:pt>
                  <c:pt idx="17">
                    <c:v>GRANVILLE ROAD SURGERY</c:v>
                  </c:pt>
                  <c:pt idx="18">
                    <c:v>EARLSFIELD SURGERY</c:v>
                  </c:pt>
                  <c:pt idx="19">
                    <c:v>ST. JOHN'S HILL PRACTICE</c:v>
                  </c:pt>
                  <c:pt idx="20">
                    <c:v>SOUTHFIELDS GROUP PRACTICE</c:v>
                  </c:pt>
                  <c:pt idx="21">
                    <c:v>THE MEDICAL CENTRE</c:v>
                  </c:pt>
                  <c:pt idx="22">
                    <c:v>THE SURGERY</c:v>
                  </c:pt>
                  <c:pt idx="23">
                    <c:v>BROCKLEBANK HEALTH CENTRE</c:v>
                  </c:pt>
                  <c:pt idx="24">
                    <c:v>ELBOROUGH STREET SURGERY</c:v>
                  </c:pt>
                  <c:pt idx="25">
                    <c:v>TRIANGLE SURGERY</c:v>
                  </c:pt>
                  <c:pt idx="27">
                    <c:v>NORTHCOTE ROAD SURGERY</c:v>
                  </c:pt>
                  <c:pt idx="28">
                    <c:v>LAVENDER HILL SURGERY</c:v>
                  </c:pt>
                  <c:pt idx="29">
                    <c:v>BRIDGE LANE GROUP PRACTICE</c:v>
                  </c:pt>
                  <c:pt idx="30">
                    <c:v>LAVENDER HILL GROUP PRACTICE</c:v>
                  </c:pt>
                  <c:pt idx="31">
                    <c:v>CHATFIELD MEDICAL CENTRE</c:v>
                  </c:pt>
                  <c:pt idx="32">
                    <c:v>QUEENSTOWN ROAD MEDICAL PRACTICE</c:v>
                  </c:pt>
                  <c:pt idx="33">
                    <c:v>BATTERSEA FIELDS PRACTICE</c:v>
                  </c:pt>
                  <c:pt idx="34">
                    <c:v>BATTERSEA RISE GROUP PRACTICE</c:v>
                  </c:pt>
                  <c:pt idx="35">
                    <c:v>THE FALCON ROAD MEDICAL CENTRE</c:v>
                  </c:pt>
                  <c:pt idx="36">
                    <c:v>THE HERITAGE MEDICAL CENTRE</c:v>
                  </c:pt>
                  <c:pt idx="38">
                    <c:v>THE ROEHAMPTON SURGERY</c:v>
                  </c:pt>
                  <c:pt idx="39">
                    <c:v>THE HEATHBRIDGE PRACTICE</c:v>
                  </c:pt>
                  <c:pt idx="40">
                    <c:v>DANEBURY AVENUE SURGERY</c:v>
                  </c:pt>
                  <c:pt idx="41">
                    <c:v>MAYFIELD SURGERY</c:v>
                  </c:pt>
                  <c:pt idx="42">
                    <c:v>THE SURGERY</c:v>
                  </c:pt>
                  <c:pt idx="43">
                    <c:v>PUTNEYMEAD MEDICAL CENTRE</c:v>
                  </c:pt>
                  <c:pt idx="44">
                    <c:v>CHARTFIELD SURGERY</c:v>
                  </c:pt>
                  <c:pt idx="45">
                    <c:v>THE ALTON PRACTICE</c:v>
                  </c:pt>
                  <c:pt idx="46">
                    <c:v>INNER PARK ROAD HEALTH CENTRE</c:v>
                  </c:pt>
                  <c:pt idx="47">
                    <c:v>THE PUTNEY SURGERY</c:v>
                  </c:pt>
                  <c:pt idx="48">
                    <c:v>TUDOR LODGE HEALTH CENTRE</c:v>
                  </c:pt>
                  <c:pt idx="49">
                    <c:v>ST PAUL'S COTTAGE PRACTICE</c:v>
                  </c:pt>
                </c:lvl>
                <c:lvl>
                  <c:pt idx="0">
                    <c:v>South</c:v>
                  </c:pt>
                  <c:pt idx="17">
                    <c:v>Central</c:v>
                  </c:pt>
                  <c:pt idx="27">
                    <c:v>North</c:v>
                  </c:pt>
                  <c:pt idx="38">
                    <c:v>West</c:v>
                  </c:pt>
                </c:lvl>
              </c:multiLvlStrCache>
            </c:multiLvlStrRef>
          </c:cat>
          <c:val>
            <c:numRef>
              <c:f>'IMD FEV'!$P$6:$P$55</c:f>
              <c:numCache>
                <c:formatCode>0.0%</c:formatCode>
                <c:ptCount val="50"/>
                <c:pt idx="0">
                  <c:v>3.46</c:v>
                </c:pt>
                <c:pt idx="1">
                  <c:v>3.46</c:v>
                </c:pt>
                <c:pt idx="2">
                  <c:v>3.46</c:v>
                </c:pt>
                <c:pt idx="3">
                  <c:v>3.46</c:v>
                </c:pt>
                <c:pt idx="4">
                  <c:v>3.46</c:v>
                </c:pt>
                <c:pt idx="5">
                  <c:v>3.46</c:v>
                </c:pt>
                <c:pt idx="6">
                  <c:v>3.46</c:v>
                </c:pt>
                <c:pt idx="7">
                  <c:v>3.46</c:v>
                </c:pt>
                <c:pt idx="8">
                  <c:v>3.46</c:v>
                </c:pt>
                <c:pt idx="9">
                  <c:v>3.46</c:v>
                </c:pt>
                <c:pt idx="10">
                  <c:v>3.46</c:v>
                </c:pt>
                <c:pt idx="11">
                  <c:v>3.46</c:v>
                </c:pt>
                <c:pt idx="12">
                  <c:v>3.46</c:v>
                </c:pt>
                <c:pt idx="13">
                  <c:v>3.46</c:v>
                </c:pt>
                <c:pt idx="14">
                  <c:v>3.46</c:v>
                </c:pt>
                <c:pt idx="15">
                  <c:v>3.46</c:v>
                </c:pt>
                <c:pt idx="16">
                  <c:v>3.46</c:v>
                </c:pt>
                <c:pt idx="17">
                  <c:v>3.46</c:v>
                </c:pt>
                <c:pt idx="18">
                  <c:v>3.46</c:v>
                </c:pt>
                <c:pt idx="19">
                  <c:v>3.46</c:v>
                </c:pt>
                <c:pt idx="20">
                  <c:v>3.46</c:v>
                </c:pt>
                <c:pt idx="21">
                  <c:v>3.46</c:v>
                </c:pt>
                <c:pt idx="22">
                  <c:v>3.46</c:v>
                </c:pt>
                <c:pt idx="23">
                  <c:v>3.46</c:v>
                </c:pt>
                <c:pt idx="24">
                  <c:v>3.46</c:v>
                </c:pt>
                <c:pt idx="25">
                  <c:v>3.46</c:v>
                </c:pt>
                <c:pt idx="26">
                  <c:v>3.46</c:v>
                </c:pt>
                <c:pt idx="27">
                  <c:v>3.46</c:v>
                </c:pt>
                <c:pt idx="28">
                  <c:v>3.46</c:v>
                </c:pt>
                <c:pt idx="29">
                  <c:v>3.46</c:v>
                </c:pt>
                <c:pt idx="30">
                  <c:v>3.46</c:v>
                </c:pt>
                <c:pt idx="31">
                  <c:v>3.46</c:v>
                </c:pt>
                <c:pt idx="32">
                  <c:v>3.46</c:v>
                </c:pt>
                <c:pt idx="33">
                  <c:v>3.46</c:v>
                </c:pt>
                <c:pt idx="34">
                  <c:v>3.46</c:v>
                </c:pt>
                <c:pt idx="35">
                  <c:v>3.46</c:v>
                </c:pt>
                <c:pt idx="36">
                  <c:v>3.46</c:v>
                </c:pt>
                <c:pt idx="37">
                  <c:v>3.46</c:v>
                </c:pt>
                <c:pt idx="38">
                  <c:v>3.46</c:v>
                </c:pt>
                <c:pt idx="39">
                  <c:v>3.46</c:v>
                </c:pt>
                <c:pt idx="40">
                  <c:v>3.46</c:v>
                </c:pt>
                <c:pt idx="41">
                  <c:v>3.46</c:v>
                </c:pt>
                <c:pt idx="42">
                  <c:v>3.46</c:v>
                </c:pt>
                <c:pt idx="43">
                  <c:v>3.46</c:v>
                </c:pt>
                <c:pt idx="44">
                  <c:v>3.46</c:v>
                </c:pt>
                <c:pt idx="45">
                  <c:v>3.46</c:v>
                </c:pt>
                <c:pt idx="46">
                  <c:v>3.46</c:v>
                </c:pt>
                <c:pt idx="47">
                  <c:v>3.46</c:v>
                </c:pt>
                <c:pt idx="48">
                  <c:v>3.46</c:v>
                </c:pt>
                <c:pt idx="49">
                  <c:v>3.46</c:v>
                </c:pt>
              </c:numCache>
            </c:numRef>
          </c:val>
        </c:ser>
        <c:marker val="1"/>
        <c:axId val="97851264"/>
        <c:axId val="97852800"/>
      </c:lineChart>
      <c:catAx>
        <c:axId val="97851264"/>
        <c:scaling>
          <c:orientation val="minMax"/>
        </c:scaling>
        <c:axPos val="b"/>
        <c:numFmt formatCode="General" sourceLinked="1"/>
        <c:majorTickMark val="none"/>
        <c:tickLblPos val="nextTo"/>
        <c:txPr>
          <a:bodyPr/>
          <a:lstStyle/>
          <a:p>
            <a:pPr>
              <a:defRPr sz="700"/>
            </a:pPr>
            <a:endParaRPr lang="en-US"/>
          </a:p>
        </c:txPr>
        <c:crossAx val="97852800"/>
        <c:crosses val="autoZero"/>
        <c:auto val="1"/>
        <c:lblAlgn val="ctr"/>
        <c:lblOffset val="100"/>
      </c:catAx>
      <c:valAx>
        <c:axId val="97852800"/>
        <c:scaling>
          <c:orientation val="minMax"/>
          <c:max val="4"/>
        </c:scaling>
        <c:axPos val="l"/>
        <c:majorGridlines/>
        <c:numFmt formatCode="0%" sourceLinked="0"/>
        <c:majorTickMark val="none"/>
        <c:tickLblPos val="nextTo"/>
        <c:crossAx val="97851264"/>
        <c:crosses val="autoZero"/>
        <c:crossBetween val="between"/>
      </c:valAx>
    </c:plotArea>
    <c:legend>
      <c:legendPos val="r"/>
      <c:layout>
        <c:manualLayout>
          <c:xMode val="edge"/>
          <c:yMode val="edge"/>
          <c:x val="0.85901850719074424"/>
          <c:y val="0.14209501226421983"/>
          <c:w val="0.14098149280925606"/>
          <c:h val="0.79431507231809073"/>
        </c:manualLayout>
      </c:layout>
      <c:txPr>
        <a:bodyPr/>
        <a:lstStyle/>
        <a:p>
          <a:pPr>
            <a:defRPr sz="800"/>
          </a:pPr>
          <a:endParaRPr lang="en-US"/>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Emergency Admission rate for COPD in the London Centre Cluster</a:t>
            </a:r>
          </a:p>
        </c:rich>
      </c:tx>
    </c:title>
    <c:plotArea>
      <c:layout/>
      <c:barChart>
        <c:barDir val="col"/>
        <c:grouping val="clustered"/>
        <c:ser>
          <c:idx val="0"/>
          <c:order val="0"/>
          <c:dPt>
            <c:idx val="2"/>
            <c:spPr>
              <a:solidFill>
                <a:schemeClr val="accent2">
                  <a:lumMod val="75000"/>
                </a:schemeClr>
              </a:solidFill>
            </c:spPr>
          </c:dPt>
          <c:errBars>
            <c:errBarType val="both"/>
            <c:errValType val="cust"/>
            <c:plus>
              <c:numRef>
                <c:f>Data!$G$4:$G$10</c:f>
                <c:numCache>
                  <c:formatCode>General</c:formatCode>
                  <c:ptCount val="7"/>
                  <c:pt idx="0">
                    <c:v>0.2</c:v>
                  </c:pt>
                  <c:pt idx="1">
                    <c:v>0.20000000000000021</c:v>
                  </c:pt>
                  <c:pt idx="2">
                    <c:v>0.20000000000000021</c:v>
                  </c:pt>
                  <c:pt idx="3">
                    <c:v>0.20000000000000021</c:v>
                  </c:pt>
                  <c:pt idx="4">
                    <c:v>0.4</c:v>
                  </c:pt>
                  <c:pt idx="5">
                    <c:v>0.30000000000000032</c:v>
                  </c:pt>
                  <c:pt idx="6">
                    <c:v>0.40000000000000008</c:v>
                  </c:pt>
                </c:numCache>
              </c:numRef>
            </c:plus>
            <c:minus>
              <c:numRef>
                <c:f>Data!$H$4:$H$10</c:f>
                <c:numCache>
                  <c:formatCode>General</c:formatCode>
                  <c:ptCount val="7"/>
                  <c:pt idx="0">
                    <c:v>0.2</c:v>
                  </c:pt>
                  <c:pt idx="1">
                    <c:v>0.2</c:v>
                  </c:pt>
                  <c:pt idx="2">
                    <c:v>0.2</c:v>
                  </c:pt>
                  <c:pt idx="3">
                    <c:v>0.30000000000000032</c:v>
                  </c:pt>
                  <c:pt idx="4">
                    <c:v>0.30000000000000032</c:v>
                  </c:pt>
                  <c:pt idx="5">
                    <c:v>0.30000000000000032</c:v>
                  </c:pt>
                  <c:pt idx="6">
                    <c:v>0.40000000000000036</c:v>
                  </c:pt>
                </c:numCache>
              </c:numRef>
            </c:minus>
          </c:errBars>
          <c:cat>
            <c:strRef>
              <c:f>Data!$C$4:$C$10</c:f>
              <c:strCache>
                <c:ptCount val="7"/>
                <c:pt idx="0">
                  <c:v>Kensington and Chelsea PCT</c:v>
                </c:pt>
                <c:pt idx="1">
                  <c:v>Westminster PCT</c:v>
                </c:pt>
                <c:pt idx="2">
                  <c:v>Wandsworth PCT</c:v>
                </c:pt>
                <c:pt idx="3">
                  <c:v>Hammersmith and Fulham PCT</c:v>
                </c:pt>
                <c:pt idx="4">
                  <c:v>Islington PCT</c:v>
                </c:pt>
                <c:pt idx="5">
                  <c:v>Camden PCT</c:v>
                </c:pt>
                <c:pt idx="6">
                  <c:v>Tower Hamlets PCT</c:v>
                </c:pt>
              </c:strCache>
            </c:strRef>
          </c:cat>
          <c:val>
            <c:numRef>
              <c:f>Data!$D$4:$D$10</c:f>
              <c:numCache>
                <c:formatCode>General</c:formatCode>
                <c:ptCount val="7"/>
                <c:pt idx="0">
                  <c:v>1.8</c:v>
                </c:pt>
                <c:pt idx="1">
                  <c:v>2</c:v>
                </c:pt>
                <c:pt idx="2">
                  <c:v>2.2999999999999998</c:v>
                </c:pt>
                <c:pt idx="3">
                  <c:v>2.5</c:v>
                </c:pt>
                <c:pt idx="4">
                  <c:v>3</c:v>
                </c:pt>
                <c:pt idx="5">
                  <c:v>3.1</c:v>
                </c:pt>
                <c:pt idx="6">
                  <c:v>5.2</c:v>
                </c:pt>
              </c:numCache>
            </c:numRef>
          </c:val>
        </c:ser>
        <c:ser>
          <c:idx val="1"/>
          <c:order val="1"/>
          <c:cat>
            <c:strRef>
              <c:f>Data!$C$4:$C$10</c:f>
              <c:strCache>
                <c:ptCount val="7"/>
                <c:pt idx="0">
                  <c:v>Kensington and Chelsea PCT</c:v>
                </c:pt>
                <c:pt idx="1">
                  <c:v>Westminster PCT</c:v>
                </c:pt>
                <c:pt idx="2">
                  <c:v>Wandsworth PCT</c:v>
                </c:pt>
                <c:pt idx="3">
                  <c:v>Hammersmith and Fulham PCT</c:v>
                </c:pt>
                <c:pt idx="4">
                  <c:v>Islington PCT</c:v>
                </c:pt>
                <c:pt idx="5">
                  <c:v>Camden PCT</c:v>
                </c:pt>
                <c:pt idx="6">
                  <c:v>Tower Hamlets PCT</c:v>
                </c:pt>
              </c:strCache>
            </c:strRef>
          </c:cat>
          <c:val>
            <c:numRef>
              <c:f>Data!$E$4:$E$10</c:f>
            </c:numRef>
          </c:val>
        </c:ser>
        <c:ser>
          <c:idx val="2"/>
          <c:order val="2"/>
          <c:cat>
            <c:strRef>
              <c:f>Data!$C$4:$C$10</c:f>
              <c:strCache>
                <c:ptCount val="7"/>
                <c:pt idx="0">
                  <c:v>Kensington and Chelsea PCT</c:v>
                </c:pt>
                <c:pt idx="1">
                  <c:v>Westminster PCT</c:v>
                </c:pt>
                <c:pt idx="2">
                  <c:v>Wandsworth PCT</c:v>
                </c:pt>
                <c:pt idx="3">
                  <c:v>Hammersmith and Fulham PCT</c:v>
                </c:pt>
                <c:pt idx="4">
                  <c:v>Islington PCT</c:v>
                </c:pt>
                <c:pt idx="5">
                  <c:v>Camden PCT</c:v>
                </c:pt>
                <c:pt idx="6">
                  <c:v>Tower Hamlets PCT</c:v>
                </c:pt>
              </c:strCache>
            </c:strRef>
          </c:cat>
          <c:val>
            <c:numRef>
              <c:f>Data!$F$4:$F$10</c:f>
            </c:numRef>
          </c:val>
        </c:ser>
        <c:axId val="98114944"/>
        <c:axId val="98120832"/>
      </c:barChart>
      <c:lineChart>
        <c:grouping val="standard"/>
        <c:ser>
          <c:idx val="5"/>
          <c:order val="3"/>
          <c:tx>
            <c:v>England</c:v>
          </c:tx>
          <c:marker>
            <c:symbol val="none"/>
          </c:marker>
          <c:cat>
            <c:strRef>
              <c:f>Data!$C$4:$C$10</c:f>
              <c:strCache>
                <c:ptCount val="7"/>
                <c:pt idx="0">
                  <c:v>Kensington and Chelsea PCT</c:v>
                </c:pt>
                <c:pt idx="1">
                  <c:v>Westminster PCT</c:v>
                </c:pt>
                <c:pt idx="2">
                  <c:v>Wandsworth PCT</c:v>
                </c:pt>
                <c:pt idx="3">
                  <c:v>Hammersmith and Fulham PCT</c:v>
                </c:pt>
                <c:pt idx="4">
                  <c:v>Islington PCT</c:v>
                </c:pt>
                <c:pt idx="5">
                  <c:v>Camden PCT</c:v>
                </c:pt>
                <c:pt idx="6">
                  <c:v>Tower Hamlets PCT</c:v>
                </c:pt>
              </c:strCache>
            </c:strRef>
          </c:cat>
          <c:val>
            <c:numRef>
              <c:f>Data!$I$4:$I$10</c:f>
              <c:numCache>
                <c:formatCode>General</c:formatCode>
                <c:ptCount val="7"/>
                <c:pt idx="0">
                  <c:v>2</c:v>
                </c:pt>
                <c:pt idx="1">
                  <c:v>2</c:v>
                </c:pt>
                <c:pt idx="2">
                  <c:v>2</c:v>
                </c:pt>
                <c:pt idx="3">
                  <c:v>2</c:v>
                </c:pt>
                <c:pt idx="4">
                  <c:v>2</c:v>
                </c:pt>
                <c:pt idx="5">
                  <c:v>2</c:v>
                </c:pt>
                <c:pt idx="6">
                  <c:v>2</c:v>
                </c:pt>
              </c:numCache>
            </c:numRef>
          </c:val>
        </c:ser>
        <c:ser>
          <c:idx val="6"/>
          <c:order val="4"/>
          <c:tx>
            <c:v>Cluster average</c:v>
          </c:tx>
          <c:marker>
            <c:symbol val="none"/>
          </c:marker>
          <c:cat>
            <c:strRef>
              <c:f>Data!$C$4:$C$10</c:f>
              <c:strCache>
                <c:ptCount val="7"/>
                <c:pt idx="0">
                  <c:v>Kensington and Chelsea PCT</c:v>
                </c:pt>
                <c:pt idx="1">
                  <c:v>Westminster PCT</c:v>
                </c:pt>
                <c:pt idx="2">
                  <c:v>Wandsworth PCT</c:v>
                </c:pt>
                <c:pt idx="3">
                  <c:v>Hammersmith and Fulham PCT</c:v>
                </c:pt>
                <c:pt idx="4">
                  <c:v>Islington PCT</c:v>
                </c:pt>
                <c:pt idx="5">
                  <c:v>Camden PCT</c:v>
                </c:pt>
                <c:pt idx="6">
                  <c:v>Tower Hamlets PCT</c:v>
                </c:pt>
              </c:strCache>
            </c:strRef>
          </c:cat>
          <c:val>
            <c:numRef>
              <c:f>Data!$J$4:$J$10</c:f>
              <c:numCache>
                <c:formatCode>General</c:formatCode>
                <c:ptCount val="7"/>
                <c:pt idx="0">
                  <c:v>2.7</c:v>
                </c:pt>
                <c:pt idx="1">
                  <c:v>2.7</c:v>
                </c:pt>
                <c:pt idx="2">
                  <c:v>2.7</c:v>
                </c:pt>
                <c:pt idx="3">
                  <c:v>2.7</c:v>
                </c:pt>
                <c:pt idx="4">
                  <c:v>2.7</c:v>
                </c:pt>
                <c:pt idx="5">
                  <c:v>2.7</c:v>
                </c:pt>
                <c:pt idx="6">
                  <c:v>2.7</c:v>
                </c:pt>
              </c:numCache>
            </c:numRef>
          </c:val>
        </c:ser>
        <c:marker val="1"/>
        <c:axId val="98114944"/>
        <c:axId val="98120832"/>
      </c:lineChart>
      <c:catAx>
        <c:axId val="98114944"/>
        <c:scaling>
          <c:orientation val="minMax"/>
        </c:scaling>
        <c:axPos val="b"/>
        <c:tickLblPos val="nextTo"/>
        <c:txPr>
          <a:bodyPr rot="-5400000" vert="horz"/>
          <a:lstStyle/>
          <a:p>
            <a:pPr>
              <a:defRPr sz="800"/>
            </a:pPr>
            <a:endParaRPr lang="en-US"/>
          </a:p>
        </c:txPr>
        <c:crossAx val="98120832"/>
        <c:crosses val="autoZero"/>
        <c:auto val="1"/>
        <c:lblAlgn val="ctr"/>
        <c:lblOffset val="100"/>
      </c:catAx>
      <c:valAx>
        <c:axId val="98120832"/>
        <c:scaling>
          <c:orientation val="minMax"/>
        </c:scaling>
        <c:axPos val="l"/>
        <c:majorGridlines/>
        <c:title>
          <c:tx>
            <c:rich>
              <a:bodyPr rot="-5400000" vert="horz"/>
              <a:lstStyle/>
              <a:p>
                <a:pPr>
                  <a:defRPr/>
                </a:pPr>
                <a:r>
                  <a:rPr lang="en-US"/>
                  <a:t>Age</a:t>
                </a:r>
                <a:r>
                  <a:rPr lang="en-US" baseline="0"/>
                  <a:t> standarized e</a:t>
                </a:r>
                <a:r>
                  <a:rPr lang="en-US"/>
                  <a:t>mergency Admission rate per 1,000 </a:t>
                </a:r>
              </a:p>
            </c:rich>
          </c:tx>
        </c:title>
        <c:numFmt formatCode="General" sourceLinked="1"/>
        <c:tickLblPos val="nextTo"/>
        <c:crossAx val="98114944"/>
        <c:crosses val="autoZero"/>
        <c:crossBetween val="between"/>
      </c:valAx>
    </c:plotArea>
    <c:legend>
      <c:legendPos val="r"/>
      <c:legendEntry>
        <c:idx val="0"/>
        <c:delete val="1"/>
      </c:legendEntry>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Emergency Admissions with COPD for GP practices in Wandsworth per 1000 population</a:t>
            </a:r>
          </a:p>
        </c:rich>
      </c:tx>
    </c:title>
    <c:plotArea>
      <c:layout>
        <c:manualLayout>
          <c:layoutTarget val="inner"/>
          <c:xMode val="edge"/>
          <c:yMode val="edge"/>
          <c:x val="9.1760134793460027E-2"/>
          <c:y val="0.13794799386008824"/>
          <c:w val="0.8830497158728946"/>
          <c:h val="0.53991389088982178"/>
        </c:manualLayout>
      </c:layout>
      <c:barChart>
        <c:barDir val="col"/>
        <c:grouping val="clustered"/>
        <c:ser>
          <c:idx val="0"/>
          <c:order val="0"/>
          <c:dPt>
            <c:idx val="43"/>
            <c:spPr>
              <a:solidFill>
                <a:schemeClr val="accent2">
                  <a:lumMod val="75000"/>
                </a:schemeClr>
              </a:solidFill>
            </c:spPr>
          </c:dPt>
          <c:dPt>
            <c:idx val="44"/>
            <c:spPr>
              <a:solidFill>
                <a:schemeClr val="accent2">
                  <a:lumMod val="75000"/>
                </a:schemeClr>
              </a:solidFill>
            </c:spPr>
          </c:dPt>
          <c:dPt>
            <c:idx val="45"/>
            <c:spPr>
              <a:solidFill>
                <a:schemeClr val="accent2">
                  <a:lumMod val="75000"/>
                </a:schemeClr>
              </a:solidFill>
            </c:spPr>
          </c:dPt>
          <c:dPt>
            <c:idx val="46"/>
            <c:spPr>
              <a:solidFill>
                <a:schemeClr val="accent2">
                  <a:lumMod val="75000"/>
                </a:schemeClr>
              </a:solidFill>
            </c:spPr>
          </c:dPt>
          <c:dPt>
            <c:idx val="47"/>
            <c:spPr>
              <a:solidFill>
                <a:schemeClr val="accent2">
                  <a:lumMod val="75000"/>
                </a:schemeClr>
              </a:solidFill>
            </c:spPr>
          </c:dPt>
          <c:dPt>
            <c:idx val="48"/>
            <c:spPr>
              <a:solidFill>
                <a:schemeClr val="accent2">
                  <a:lumMod val="75000"/>
                </a:schemeClr>
              </a:solidFill>
            </c:spPr>
          </c:dPt>
          <c:errBars>
            <c:errBarType val="both"/>
            <c:errValType val="cust"/>
            <c:plus>
              <c:numRef>
                <c:f>Sheet1!$H$2:$H$50</c:f>
                <c:numCache>
                  <c:formatCode>General</c:formatCode>
                  <c:ptCount val="49"/>
                  <c:pt idx="0">
                    <c:v>0</c:v>
                  </c:pt>
                  <c:pt idx="1">
                    <c:v>0</c:v>
                  </c:pt>
                  <c:pt idx="2">
                    <c:v>0</c:v>
                  </c:pt>
                  <c:pt idx="3">
                    <c:v>0.60000000000000064</c:v>
                  </c:pt>
                  <c:pt idx="4">
                    <c:v>1.3</c:v>
                  </c:pt>
                  <c:pt idx="5">
                    <c:v>2.6999999999999997</c:v>
                  </c:pt>
                  <c:pt idx="6">
                    <c:v>1.7</c:v>
                  </c:pt>
                  <c:pt idx="7">
                    <c:v>3.3</c:v>
                  </c:pt>
                  <c:pt idx="8">
                    <c:v>2.0999999999999988</c:v>
                  </c:pt>
                  <c:pt idx="9">
                    <c:v>1.6</c:v>
                  </c:pt>
                  <c:pt idx="10">
                    <c:v>1.3000000000000003</c:v>
                  </c:pt>
                  <c:pt idx="11">
                    <c:v>2</c:v>
                  </c:pt>
                  <c:pt idx="12">
                    <c:v>2.1</c:v>
                  </c:pt>
                  <c:pt idx="13">
                    <c:v>0.89999999999999991</c:v>
                  </c:pt>
                  <c:pt idx="14">
                    <c:v>5.3</c:v>
                  </c:pt>
                  <c:pt idx="15">
                    <c:v>1.9000000000000001</c:v>
                  </c:pt>
                  <c:pt idx="16">
                    <c:v>1.3</c:v>
                  </c:pt>
                  <c:pt idx="17">
                    <c:v>2.0999999999999988</c:v>
                  </c:pt>
                  <c:pt idx="18">
                    <c:v>2.5</c:v>
                  </c:pt>
                  <c:pt idx="19">
                    <c:v>3.1</c:v>
                  </c:pt>
                  <c:pt idx="20">
                    <c:v>1.0999999999999945</c:v>
                  </c:pt>
                  <c:pt idx="21">
                    <c:v>2.9000000000000004</c:v>
                  </c:pt>
                  <c:pt idx="22">
                    <c:v>3.6000000000000005</c:v>
                  </c:pt>
                  <c:pt idx="23">
                    <c:v>1.4</c:v>
                  </c:pt>
                  <c:pt idx="24">
                    <c:v>1.6</c:v>
                  </c:pt>
                  <c:pt idx="25">
                    <c:v>1.9999999999999996</c:v>
                  </c:pt>
                  <c:pt idx="26">
                    <c:v>5.8999999999999995</c:v>
                  </c:pt>
                  <c:pt idx="27">
                    <c:v>1.7000000000000002</c:v>
                  </c:pt>
                  <c:pt idx="28">
                    <c:v>1.7000000000000002</c:v>
                  </c:pt>
                  <c:pt idx="29">
                    <c:v>1.9000000000000021</c:v>
                  </c:pt>
                  <c:pt idx="30">
                    <c:v>2.6999999999999997</c:v>
                  </c:pt>
                  <c:pt idx="31">
                    <c:v>1.3999999999999946</c:v>
                  </c:pt>
                  <c:pt idx="32">
                    <c:v>1.5</c:v>
                  </c:pt>
                  <c:pt idx="33">
                    <c:v>1.5999999999999941</c:v>
                  </c:pt>
                  <c:pt idx="34">
                    <c:v>3</c:v>
                  </c:pt>
                  <c:pt idx="35">
                    <c:v>1.9000000000000001</c:v>
                  </c:pt>
                  <c:pt idx="36">
                    <c:v>2.8000000000000003</c:v>
                  </c:pt>
                  <c:pt idx="37">
                    <c:v>1.9000000000000001</c:v>
                  </c:pt>
                  <c:pt idx="38">
                    <c:v>1.4</c:v>
                  </c:pt>
                  <c:pt idx="39">
                    <c:v>4.0999999999999996</c:v>
                  </c:pt>
                  <c:pt idx="40">
                    <c:v>2.1999999999999997</c:v>
                  </c:pt>
                  <c:pt idx="41">
                    <c:v>1.6</c:v>
                  </c:pt>
                  <c:pt idx="42">
                    <c:v>2.9</c:v>
                  </c:pt>
                  <c:pt idx="43">
                    <c:v>1.6999999999999953</c:v>
                  </c:pt>
                  <c:pt idx="44">
                    <c:v>2.0999999999999988</c:v>
                  </c:pt>
                  <c:pt idx="45">
                    <c:v>4.8999999999999995</c:v>
                  </c:pt>
                  <c:pt idx="46">
                    <c:v>3.4000000000000004</c:v>
                  </c:pt>
                  <c:pt idx="47">
                    <c:v>10.100000000000001</c:v>
                  </c:pt>
                  <c:pt idx="48">
                    <c:v>4.9000000000000004</c:v>
                  </c:pt>
                </c:numCache>
              </c:numRef>
            </c:plus>
            <c:minus>
              <c:numRef>
                <c:f>Sheet1!$I$2:$I$50</c:f>
                <c:numCache>
                  <c:formatCode>General</c:formatCode>
                  <c:ptCount val="49"/>
                  <c:pt idx="0">
                    <c:v>0</c:v>
                  </c:pt>
                  <c:pt idx="1">
                    <c:v>0</c:v>
                  </c:pt>
                  <c:pt idx="2">
                    <c:v>0</c:v>
                  </c:pt>
                  <c:pt idx="3">
                    <c:v>0.30000000000000032</c:v>
                  </c:pt>
                  <c:pt idx="4">
                    <c:v>0.4</c:v>
                  </c:pt>
                  <c:pt idx="5">
                    <c:v>0.60000000000000064</c:v>
                  </c:pt>
                  <c:pt idx="6">
                    <c:v>0.60000000000000064</c:v>
                  </c:pt>
                  <c:pt idx="7">
                    <c:v>0.70000000000000062</c:v>
                  </c:pt>
                  <c:pt idx="8">
                    <c:v>0.70000000000000062</c:v>
                  </c:pt>
                  <c:pt idx="9">
                    <c:v>0.70000000000000062</c:v>
                  </c:pt>
                  <c:pt idx="10">
                    <c:v>0.60000000000000064</c:v>
                  </c:pt>
                  <c:pt idx="11">
                    <c:v>0.90000000000000013</c:v>
                  </c:pt>
                  <c:pt idx="12">
                    <c:v>0.90000000000000013</c:v>
                  </c:pt>
                  <c:pt idx="13">
                    <c:v>0.60000000000000064</c:v>
                  </c:pt>
                  <c:pt idx="14">
                    <c:v>1.2</c:v>
                  </c:pt>
                  <c:pt idx="15">
                    <c:v>1</c:v>
                  </c:pt>
                  <c:pt idx="16">
                    <c:v>0.70000000000000062</c:v>
                  </c:pt>
                  <c:pt idx="17">
                    <c:v>0.9</c:v>
                  </c:pt>
                  <c:pt idx="18">
                    <c:v>1.1000000000000001</c:v>
                  </c:pt>
                  <c:pt idx="19">
                    <c:v>1.3</c:v>
                  </c:pt>
                  <c:pt idx="20">
                    <c:v>0.79999999999999993</c:v>
                  </c:pt>
                  <c:pt idx="21">
                    <c:v>1.3</c:v>
                  </c:pt>
                  <c:pt idx="22">
                    <c:v>1.4</c:v>
                  </c:pt>
                  <c:pt idx="23">
                    <c:v>0.89999999999999991</c:v>
                  </c:pt>
                  <c:pt idx="24">
                    <c:v>0.99999999999999989</c:v>
                  </c:pt>
                  <c:pt idx="25">
                    <c:v>1.1000000000000001</c:v>
                  </c:pt>
                  <c:pt idx="26">
                    <c:v>1.9000000000000001</c:v>
                  </c:pt>
                  <c:pt idx="27">
                    <c:v>1.0999999999999945</c:v>
                  </c:pt>
                  <c:pt idx="28">
                    <c:v>1.1000000000000001</c:v>
                  </c:pt>
                  <c:pt idx="29">
                    <c:v>1.2</c:v>
                  </c:pt>
                  <c:pt idx="30">
                    <c:v>1.6</c:v>
                  </c:pt>
                  <c:pt idx="31">
                    <c:v>1.0000000000000002</c:v>
                  </c:pt>
                  <c:pt idx="32">
                    <c:v>1.0000000000000002</c:v>
                  </c:pt>
                  <c:pt idx="33">
                    <c:v>1.1000000000000001</c:v>
                  </c:pt>
                  <c:pt idx="34">
                    <c:v>1.6999999999999953</c:v>
                  </c:pt>
                  <c:pt idx="35">
                    <c:v>1.2999999999999934</c:v>
                  </c:pt>
                  <c:pt idx="36">
                    <c:v>1.7</c:v>
                  </c:pt>
                  <c:pt idx="37">
                    <c:v>1.2</c:v>
                  </c:pt>
                  <c:pt idx="38">
                    <c:v>1</c:v>
                  </c:pt>
                  <c:pt idx="39">
                    <c:v>2.1</c:v>
                  </c:pt>
                  <c:pt idx="40">
                    <c:v>1.5</c:v>
                  </c:pt>
                  <c:pt idx="41">
                    <c:v>1.1999999999999953</c:v>
                  </c:pt>
                  <c:pt idx="42">
                    <c:v>1.9000000000000001</c:v>
                  </c:pt>
                  <c:pt idx="43">
                    <c:v>1.2999999999999934</c:v>
                  </c:pt>
                  <c:pt idx="44">
                    <c:v>1.6</c:v>
                  </c:pt>
                  <c:pt idx="45">
                    <c:v>3</c:v>
                  </c:pt>
                  <c:pt idx="46">
                    <c:v>2.4</c:v>
                  </c:pt>
                  <c:pt idx="47">
                    <c:v>5.7</c:v>
                  </c:pt>
                  <c:pt idx="48">
                    <c:v>3.5</c:v>
                  </c:pt>
                </c:numCache>
              </c:numRef>
            </c:minus>
          </c:errBars>
          <c:cat>
            <c:strRef>
              <c:f>Data!$C$2:$C$50</c:f>
              <c:strCache>
                <c:ptCount val="49"/>
                <c:pt idx="0">
                  <c:v>Dr Nicholas &amp; Partners</c:v>
                </c:pt>
                <c:pt idx="1">
                  <c:v>Sai Medical Centre</c:v>
                </c:pt>
                <c:pt idx="2">
                  <c:v>Wandsworth Primary Extra Service</c:v>
                </c:pt>
                <c:pt idx="3">
                  <c:v>Open Door Surgery</c:v>
                </c:pt>
                <c:pt idx="4">
                  <c:v>Wandsworth Medical Centre</c:v>
                </c:pt>
                <c:pt idx="5">
                  <c:v>Northcote Road Surgery</c:v>
                </c:pt>
                <c:pt idx="6">
                  <c:v>The Surgery, Balmuir Gardens</c:v>
                </c:pt>
                <c:pt idx="7">
                  <c:v>Balham Health Centre</c:v>
                </c:pt>
                <c:pt idx="8">
                  <c:v>Clapham Junction Medical Practice</c:v>
                </c:pt>
                <c:pt idx="9">
                  <c:v>The Heritage Medical Centre</c:v>
                </c:pt>
                <c:pt idx="10">
                  <c:v>Putneymead Medical Centre</c:v>
                </c:pt>
                <c:pt idx="11">
                  <c:v>Triangle Surgery</c:v>
                </c:pt>
                <c:pt idx="12">
                  <c:v>Putneymead Medical Centre</c:v>
                </c:pt>
                <c:pt idx="13">
                  <c:v>Southfields Group Practice</c:v>
                </c:pt>
                <c:pt idx="14">
                  <c:v>St. John's Hill Practice</c:v>
                </c:pt>
                <c:pt idx="15">
                  <c:v>Battersea Rise Group Practice</c:v>
                </c:pt>
                <c:pt idx="16">
                  <c:v>Chartfield Surgery</c:v>
                </c:pt>
                <c:pt idx="17">
                  <c:v>The Alton Practice</c:v>
                </c:pt>
                <c:pt idx="18">
                  <c:v>Furzedown Primary Care Centre</c:v>
                </c:pt>
                <c:pt idx="19">
                  <c:v>Balham Hill Medical Practice</c:v>
                </c:pt>
                <c:pt idx="20">
                  <c:v>The Heathbridge Practice</c:v>
                </c:pt>
                <c:pt idx="21">
                  <c:v>St Paul's Cottage Practice</c:v>
                </c:pt>
                <c:pt idx="22">
                  <c:v>St Johns</c:v>
                </c:pt>
                <c:pt idx="23">
                  <c:v>Balham Park Surgery</c:v>
                </c:pt>
                <c:pt idx="24">
                  <c:v>Mayfield Surgery</c:v>
                </c:pt>
                <c:pt idx="25">
                  <c:v>Thurleigh Road Practice</c:v>
                </c:pt>
                <c:pt idx="26">
                  <c:v>Granville Road Surgery</c:v>
                </c:pt>
                <c:pt idx="27">
                  <c:v>Bedford Hill Family Practice</c:v>
                </c:pt>
                <c:pt idx="28">
                  <c:v>The Greyswood Practice</c:v>
                </c:pt>
                <c:pt idx="29">
                  <c:v>Streatham Park Surgery</c:v>
                </c:pt>
                <c:pt idx="30">
                  <c:v>Danebury Avenue Surgery</c:v>
                </c:pt>
                <c:pt idx="31">
                  <c:v>Dr Nicholas &amp; Partners</c:v>
                </c:pt>
                <c:pt idx="32">
                  <c:v>The Roehampton Surgery</c:v>
                </c:pt>
                <c:pt idx="33">
                  <c:v>Chatfield Medical Centre</c:v>
                </c:pt>
                <c:pt idx="34">
                  <c:v>Tudor Lodge Health Centre</c:v>
                </c:pt>
                <c:pt idx="35">
                  <c:v>Queenstown Road Medical Practice</c:v>
                </c:pt>
                <c:pt idx="36">
                  <c:v>Inner Park Road Health Centre</c:v>
                </c:pt>
                <c:pt idx="37">
                  <c:v>Lavender Hill Group Practice</c:v>
                </c:pt>
                <c:pt idx="38">
                  <c:v>Bridge Lane Group Practice</c:v>
                </c:pt>
                <c:pt idx="39">
                  <c:v>Tooting South Medical Centre</c:v>
                </c:pt>
                <c:pt idx="40">
                  <c:v>Battersea Fields Practice</c:v>
                </c:pt>
                <c:pt idx="41">
                  <c:v>Earlsfield Surgery</c:v>
                </c:pt>
                <c:pt idx="42">
                  <c:v>Elborough Street Surgery</c:v>
                </c:pt>
                <c:pt idx="43">
                  <c:v>Brocklebank Group Practice</c:v>
                </c:pt>
                <c:pt idx="44">
                  <c:v>The Falcon Road Medical Centre</c:v>
                </c:pt>
                <c:pt idx="45">
                  <c:v>Mitcham Road Surgery</c:v>
                </c:pt>
                <c:pt idx="46">
                  <c:v>Waterfall House</c:v>
                </c:pt>
                <c:pt idx="47">
                  <c:v>Tooting Bec Surgery</c:v>
                </c:pt>
                <c:pt idx="48">
                  <c:v>The Franciscan Surgery</c:v>
                </c:pt>
              </c:strCache>
            </c:strRef>
          </c:cat>
          <c:val>
            <c:numRef>
              <c:f>Data!$D$2:$D$50</c:f>
              <c:numCache>
                <c:formatCode>General</c:formatCode>
                <c:ptCount val="49"/>
                <c:pt idx="0">
                  <c:v>0</c:v>
                </c:pt>
                <c:pt idx="1">
                  <c:v>0</c:v>
                </c:pt>
                <c:pt idx="2">
                  <c:v>0</c:v>
                </c:pt>
                <c:pt idx="3">
                  <c:v>0.30000000000000032</c:v>
                </c:pt>
                <c:pt idx="4">
                  <c:v>0.5</c:v>
                </c:pt>
                <c:pt idx="5">
                  <c:v>0.60000000000000064</c:v>
                </c:pt>
                <c:pt idx="6">
                  <c:v>0.70000000000000062</c:v>
                </c:pt>
                <c:pt idx="7">
                  <c:v>0.70000000000000062</c:v>
                </c:pt>
                <c:pt idx="8">
                  <c:v>0.8</c:v>
                </c:pt>
                <c:pt idx="9">
                  <c:v>0.9</c:v>
                </c:pt>
                <c:pt idx="10">
                  <c:v>0.9</c:v>
                </c:pt>
                <c:pt idx="11">
                  <c:v>1.1000000000000001</c:v>
                </c:pt>
                <c:pt idx="12">
                  <c:v>1.1000000000000001</c:v>
                </c:pt>
                <c:pt idx="13">
                  <c:v>1.1000000000000001</c:v>
                </c:pt>
                <c:pt idx="14">
                  <c:v>1.2</c:v>
                </c:pt>
                <c:pt idx="15">
                  <c:v>1.3</c:v>
                </c:pt>
                <c:pt idx="16">
                  <c:v>1.3</c:v>
                </c:pt>
                <c:pt idx="17">
                  <c:v>1.3</c:v>
                </c:pt>
                <c:pt idx="18">
                  <c:v>1.5</c:v>
                </c:pt>
                <c:pt idx="19">
                  <c:v>1.6</c:v>
                </c:pt>
                <c:pt idx="20">
                  <c:v>1.7</c:v>
                </c:pt>
                <c:pt idx="21">
                  <c:v>1.8</c:v>
                </c:pt>
                <c:pt idx="22">
                  <c:v>1.8</c:v>
                </c:pt>
                <c:pt idx="23">
                  <c:v>1.9000000000000001</c:v>
                </c:pt>
                <c:pt idx="24">
                  <c:v>1.9000000000000001</c:v>
                </c:pt>
                <c:pt idx="25">
                  <c:v>2.1</c:v>
                </c:pt>
                <c:pt idx="26">
                  <c:v>2.2000000000000002</c:v>
                </c:pt>
                <c:pt idx="27">
                  <c:v>2.2999999999999998</c:v>
                </c:pt>
                <c:pt idx="28">
                  <c:v>2.5</c:v>
                </c:pt>
                <c:pt idx="29">
                  <c:v>2.5</c:v>
                </c:pt>
                <c:pt idx="30">
                  <c:v>2.6</c:v>
                </c:pt>
                <c:pt idx="31">
                  <c:v>2.7</c:v>
                </c:pt>
                <c:pt idx="32">
                  <c:v>2.7</c:v>
                </c:pt>
                <c:pt idx="33">
                  <c:v>2.7</c:v>
                </c:pt>
                <c:pt idx="34">
                  <c:v>2.8</c:v>
                </c:pt>
                <c:pt idx="35">
                  <c:v>2.9</c:v>
                </c:pt>
                <c:pt idx="36">
                  <c:v>2.9</c:v>
                </c:pt>
                <c:pt idx="37">
                  <c:v>2.9</c:v>
                </c:pt>
                <c:pt idx="38">
                  <c:v>2.9</c:v>
                </c:pt>
                <c:pt idx="39">
                  <c:v>3.1</c:v>
                </c:pt>
                <c:pt idx="40">
                  <c:v>3.4</c:v>
                </c:pt>
                <c:pt idx="41">
                  <c:v>3.4</c:v>
                </c:pt>
                <c:pt idx="42">
                  <c:v>3.6</c:v>
                </c:pt>
                <c:pt idx="43">
                  <c:v>3.9</c:v>
                </c:pt>
                <c:pt idx="44">
                  <c:v>4.5</c:v>
                </c:pt>
                <c:pt idx="45">
                  <c:v>5.8</c:v>
                </c:pt>
                <c:pt idx="46">
                  <c:v>6</c:v>
                </c:pt>
                <c:pt idx="47">
                  <c:v>9.5</c:v>
                </c:pt>
                <c:pt idx="48">
                  <c:v>10.1</c:v>
                </c:pt>
              </c:numCache>
            </c:numRef>
          </c:val>
        </c:ser>
        <c:axId val="98150656"/>
        <c:axId val="103874560"/>
      </c:barChart>
      <c:lineChart>
        <c:grouping val="standard"/>
        <c:ser>
          <c:idx val="1"/>
          <c:order val="1"/>
          <c:tx>
            <c:v>England</c:v>
          </c:tx>
          <c:marker>
            <c:symbol val="none"/>
          </c:marker>
          <c:cat>
            <c:strRef>
              <c:f>Data!$C$2:$C$50</c:f>
              <c:strCache>
                <c:ptCount val="49"/>
                <c:pt idx="0">
                  <c:v>Dr Nicholas &amp; Partners</c:v>
                </c:pt>
                <c:pt idx="1">
                  <c:v>Sai Medical Centre</c:v>
                </c:pt>
                <c:pt idx="2">
                  <c:v>Wandsworth Primary Extra Service</c:v>
                </c:pt>
                <c:pt idx="3">
                  <c:v>Open Door Surgery</c:v>
                </c:pt>
                <c:pt idx="4">
                  <c:v>Wandsworth Medical Centre</c:v>
                </c:pt>
                <c:pt idx="5">
                  <c:v>Northcote Road Surgery</c:v>
                </c:pt>
                <c:pt idx="6">
                  <c:v>The Surgery, Balmuir Gardens</c:v>
                </c:pt>
                <c:pt idx="7">
                  <c:v>Balham Health Centre</c:v>
                </c:pt>
                <c:pt idx="8">
                  <c:v>Clapham Junction Medical Practice</c:v>
                </c:pt>
                <c:pt idx="9">
                  <c:v>The Heritage Medical Centre</c:v>
                </c:pt>
                <c:pt idx="10">
                  <c:v>Putneymead Medical Centre</c:v>
                </c:pt>
                <c:pt idx="11">
                  <c:v>Triangle Surgery</c:v>
                </c:pt>
                <c:pt idx="12">
                  <c:v>Putneymead Medical Centre</c:v>
                </c:pt>
                <c:pt idx="13">
                  <c:v>Southfields Group Practice</c:v>
                </c:pt>
                <c:pt idx="14">
                  <c:v>St. John's Hill Practice</c:v>
                </c:pt>
                <c:pt idx="15">
                  <c:v>Battersea Rise Group Practice</c:v>
                </c:pt>
                <c:pt idx="16">
                  <c:v>Chartfield Surgery</c:v>
                </c:pt>
                <c:pt idx="17">
                  <c:v>The Alton Practice</c:v>
                </c:pt>
                <c:pt idx="18">
                  <c:v>Furzedown Primary Care Centre</c:v>
                </c:pt>
                <c:pt idx="19">
                  <c:v>Balham Hill Medical Practice</c:v>
                </c:pt>
                <c:pt idx="20">
                  <c:v>The Heathbridge Practice</c:v>
                </c:pt>
                <c:pt idx="21">
                  <c:v>St Paul's Cottage Practice</c:v>
                </c:pt>
                <c:pt idx="22">
                  <c:v>St Johns</c:v>
                </c:pt>
                <c:pt idx="23">
                  <c:v>Balham Park Surgery</c:v>
                </c:pt>
                <c:pt idx="24">
                  <c:v>Mayfield Surgery</c:v>
                </c:pt>
                <c:pt idx="25">
                  <c:v>Thurleigh Road Practice</c:v>
                </c:pt>
                <c:pt idx="26">
                  <c:v>Granville Road Surgery</c:v>
                </c:pt>
                <c:pt idx="27">
                  <c:v>Bedford Hill Family Practice</c:v>
                </c:pt>
                <c:pt idx="28">
                  <c:v>The Greyswood Practice</c:v>
                </c:pt>
                <c:pt idx="29">
                  <c:v>Streatham Park Surgery</c:v>
                </c:pt>
                <c:pt idx="30">
                  <c:v>Danebury Avenue Surgery</c:v>
                </c:pt>
                <c:pt idx="31">
                  <c:v>Dr Nicholas &amp; Partners</c:v>
                </c:pt>
                <c:pt idx="32">
                  <c:v>The Roehampton Surgery</c:v>
                </c:pt>
                <c:pt idx="33">
                  <c:v>Chatfield Medical Centre</c:v>
                </c:pt>
                <c:pt idx="34">
                  <c:v>Tudor Lodge Health Centre</c:v>
                </c:pt>
                <c:pt idx="35">
                  <c:v>Queenstown Road Medical Practice</c:v>
                </c:pt>
                <c:pt idx="36">
                  <c:v>Inner Park Road Health Centre</c:v>
                </c:pt>
                <c:pt idx="37">
                  <c:v>Lavender Hill Group Practice</c:v>
                </c:pt>
                <c:pt idx="38">
                  <c:v>Bridge Lane Group Practice</c:v>
                </c:pt>
                <c:pt idx="39">
                  <c:v>Tooting South Medical Centre</c:v>
                </c:pt>
                <c:pt idx="40">
                  <c:v>Battersea Fields Practice</c:v>
                </c:pt>
                <c:pt idx="41">
                  <c:v>Earlsfield Surgery</c:v>
                </c:pt>
                <c:pt idx="42">
                  <c:v>Elborough Street Surgery</c:v>
                </c:pt>
                <c:pt idx="43">
                  <c:v>Brocklebank Group Practice</c:v>
                </c:pt>
                <c:pt idx="44">
                  <c:v>The Falcon Road Medical Centre</c:v>
                </c:pt>
                <c:pt idx="45">
                  <c:v>Mitcham Road Surgery</c:v>
                </c:pt>
                <c:pt idx="46">
                  <c:v>Waterfall House</c:v>
                </c:pt>
                <c:pt idx="47">
                  <c:v>Tooting Bec Surgery</c:v>
                </c:pt>
                <c:pt idx="48">
                  <c:v>The Franciscan Surgery</c:v>
                </c:pt>
              </c:strCache>
            </c:strRef>
          </c:cat>
          <c:val>
            <c:numRef>
              <c:f>Data!$E$2:$E$50</c:f>
              <c:numCache>
                <c:formatCode>General</c:formatCode>
                <c:ptCount val="49"/>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numCache>
            </c:numRef>
          </c:val>
        </c:ser>
        <c:ser>
          <c:idx val="2"/>
          <c:order val="2"/>
          <c:tx>
            <c:v>Wandsworth</c:v>
          </c:tx>
          <c:marker>
            <c:symbol val="none"/>
          </c:marker>
          <c:cat>
            <c:strRef>
              <c:f>Data!$C$2:$C$50</c:f>
              <c:strCache>
                <c:ptCount val="49"/>
                <c:pt idx="0">
                  <c:v>Dr Nicholas &amp; Partners</c:v>
                </c:pt>
                <c:pt idx="1">
                  <c:v>Sai Medical Centre</c:v>
                </c:pt>
                <c:pt idx="2">
                  <c:v>Wandsworth Primary Extra Service</c:v>
                </c:pt>
                <c:pt idx="3">
                  <c:v>Open Door Surgery</c:v>
                </c:pt>
                <c:pt idx="4">
                  <c:v>Wandsworth Medical Centre</c:v>
                </c:pt>
                <c:pt idx="5">
                  <c:v>Northcote Road Surgery</c:v>
                </c:pt>
                <c:pt idx="6">
                  <c:v>The Surgery, Balmuir Gardens</c:v>
                </c:pt>
                <c:pt idx="7">
                  <c:v>Balham Health Centre</c:v>
                </c:pt>
                <c:pt idx="8">
                  <c:v>Clapham Junction Medical Practice</c:v>
                </c:pt>
                <c:pt idx="9">
                  <c:v>The Heritage Medical Centre</c:v>
                </c:pt>
                <c:pt idx="10">
                  <c:v>Putneymead Medical Centre</c:v>
                </c:pt>
                <c:pt idx="11">
                  <c:v>Triangle Surgery</c:v>
                </c:pt>
                <c:pt idx="12">
                  <c:v>Putneymead Medical Centre</c:v>
                </c:pt>
                <c:pt idx="13">
                  <c:v>Southfields Group Practice</c:v>
                </c:pt>
                <c:pt idx="14">
                  <c:v>St. John's Hill Practice</c:v>
                </c:pt>
                <c:pt idx="15">
                  <c:v>Battersea Rise Group Practice</c:v>
                </c:pt>
                <c:pt idx="16">
                  <c:v>Chartfield Surgery</c:v>
                </c:pt>
                <c:pt idx="17">
                  <c:v>The Alton Practice</c:v>
                </c:pt>
                <c:pt idx="18">
                  <c:v>Furzedown Primary Care Centre</c:v>
                </c:pt>
                <c:pt idx="19">
                  <c:v>Balham Hill Medical Practice</c:v>
                </c:pt>
                <c:pt idx="20">
                  <c:v>The Heathbridge Practice</c:v>
                </c:pt>
                <c:pt idx="21">
                  <c:v>St Paul's Cottage Practice</c:v>
                </c:pt>
                <c:pt idx="22">
                  <c:v>St Johns</c:v>
                </c:pt>
                <c:pt idx="23">
                  <c:v>Balham Park Surgery</c:v>
                </c:pt>
                <c:pt idx="24">
                  <c:v>Mayfield Surgery</c:v>
                </c:pt>
                <c:pt idx="25">
                  <c:v>Thurleigh Road Practice</c:v>
                </c:pt>
                <c:pt idx="26">
                  <c:v>Granville Road Surgery</c:v>
                </c:pt>
                <c:pt idx="27">
                  <c:v>Bedford Hill Family Practice</c:v>
                </c:pt>
                <c:pt idx="28">
                  <c:v>The Greyswood Practice</c:v>
                </c:pt>
                <c:pt idx="29">
                  <c:v>Streatham Park Surgery</c:v>
                </c:pt>
                <c:pt idx="30">
                  <c:v>Danebury Avenue Surgery</c:v>
                </c:pt>
                <c:pt idx="31">
                  <c:v>Dr Nicholas &amp; Partners</c:v>
                </c:pt>
                <c:pt idx="32">
                  <c:v>The Roehampton Surgery</c:v>
                </c:pt>
                <c:pt idx="33">
                  <c:v>Chatfield Medical Centre</c:v>
                </c:pt>
                <c:pt idx="34">
                  <c:v>Tudor Lodge Health Centre</c:v>
                </c:pt>
                <c:pt idx="35">
                  <c:v>Queenstown Road Medical Practice</c:v>
                </c:pt>
                <c:pt idx="36">
                  <c:v>Inner Park Road Health Centre</c:v>
                </c:pt>
                <c:pt idx="37">
                  <c:v>Lavender Hill Group Practice</c:v>
                </c:pt>
                <c:pt idx="38">
                  <c:v>Bridge Lane Group Practice</c:v>
                </c:pt>
                <c:pt idx="39">
                  <c:v>Tooting South Medical Centre</c:v>
                </c:pt>
                <c:pt idx="40">
                  <c:v>Battersea Fields Practice</c:v>
                </c:pt>
                <c:pt idx="41">
                  <c:v>Earlsfield Surgery</c:v>
                </c:pt>
                <c:pt idx="42">
                  <c:v>Elborough Street Surgery</c:v>
                </c:pt>
                <c:pt idx="43">
                  <c:v>Brocklebank Group Practice</c:v>
                </c:pt>
                <c:pt idx="44">
                  <c:v>The Falcon Road Medical Centre</c:v>
                </c:pt>
                <c:pt idx="45">
                  <c:v>Mitcham Road Surgery</c:v>
                </c:pt>
                <c:pt idx="46">
                  <c:v>Waterfall House</c:v>
                </c:pt>
                <c:pt idx="47">
                  <c:v>Tooting Bec Surgery</c:v>
                </c:pt>
                <c:pt idx="48">
                  <c:v>The Franciscan Surgery</c:v>
                </c:pt>
              </c:strCache>
            </c:strRef>
          </c:cat>
          <c:val>
            <c:numRef>
              <c:f>Data!$F$2:$F$50</c:f>
              <c:numCache>
                <c:formatCode>General</c:formatCode>
                <c:ptCount val="49"/>
                <c:pt idx="0">
                  <c:v>2.4</c:v>
                </c:pt>
                <c:pt idx="1">
                  <c:v>2.4</c:v>
                </c:pt>
                <c:pt idx="2">
                  <c:v>2.4</c:v>
                </c:pt>
                <c:pt idx="3">
                  <c:v>2.4</c:v>
                </c:pt>
                <c:pt idx="4">
                  <c:v>2.4</c:v>
                </c:pt>
                <c:pt idx="5">
                  <c:v>2.4</c:v>
                </c:pt>
                <c:pt idx="6">
                  <c:v>2.4</c:v>
                </c:pt>
                <c:pt idx="7">
                  <c:v>2.4</c:v>
                </c:pt>
                <c:pt idx="8">
                  <c:v>2.4</c:v>
                </c:pt>
                <c:pt idx="9">
                  <c:v>2.4</c:v>
                </c:pt>
                <c:pt idx="10">
                  <c:v>2.4</c:v>
                </c:pt>
                <c:pt idx="11">
                  <c:v>2.4</c:v>
                </c:pt>
                <c:pt idx="12">
                  <c:v>2.4</c:v>
                </c:pt>
                <c:pt idx="13">
                  <c:v>2.4</c:v>
                </c:pt>
                <c:pt idx="14">
                  <c:v>2.4</c:v>
                </c:pt>
                <c:pt idx="15">
                  <c:v>2.4</c:v>
                </c:pt>
                <c:pt idx="16">
                  <c:v>2.4</c:v>
                </c:pt>
                <c:pt idx="17">
                  <c:v>2.4</c:v>
                </c:pt>
                <c:pt idx="18">
                  <c:v>2.4</c:v>
                </c:pt>
                <c:pt idx="19">
                  <c:v>2.4</c:v>
                </c:pt>
                <c:pt idx="20">
                  <c:v>2.4</c:v>
                </c:pt>
                <c:pt idx="21">
                  <c:v>2.4</c:v>
                </c:pt>
                <c:pt idx="22">
                  <c:v>2.4</c:v>
                </c:pt>
                <c:pt idx="23">
                  <c:v>2.4</c:v>
                </c:pt>
                <c:pt idx="24">
                  <c:v>2.4</c:v>
                </c:pt>
                <c:pt idx="25">
                  <c:v>2.4</c:v>
                </c:pt>
                <c:pt idx="26">
                  <c:v>2.4</c:v>
                </c:pt>
                <c:pt idx="27">
                  <c:v>2.4</c:v>
                </c:pt>
                <c:pt idx="28">
                  <c:v>2.4</c:v>
                </c:pt>
                <c:pt idx="29">
                  <c:v>2.4</c:v>
                </c:pt>
                <c:pt idx="30">
                  <c:v>2.4</c:v>
                </c:pt>
                <c:pt idx="31">
                  <c:v>2.4</c:v>
                </c:pt>
                <c:pt idx="32">
                  <c:v>2.4</c:v>
                </c:pt>
                <c:pt idx="33">
                  <c:v>2.4</c:v>
                </c:pt>
                <c:pt idx="34">
                  <c:v>2.4</c:v>
                </c:pt>
                <c:pt idx="35">
                  <c:v>2.4</c:v>
                </c:pt>
                <c:pt idx="36">
                  <c:v>2.4</c:v>
                </c:pt>
                <c:pt idx="37">
                  <c:v>2.4</c:v>
                </c:pt>
                <c:pt idx="38">
                  <c:v>2.4</c:v>
                </c:pt>
                <c:pt idx="39">
                  <c:v>2.4</c:v>
                </c:pt>
                <c:pt idx="40">
                  <c:v>2.4</c:v>
                </c:pt>
                <c:pt idx="41">
                  <c:v>2.4</c:v>
                </c:pt>
                <c:pt idx="42">
                  <c:v>2.4</c:v>
                </c:pt>
                <c:pt idx="43">
                  <c:v>2.4</c:v>
                </c:pt>
                <c:pt idx="44">
                  <c:v>2.4</c:v>
                </c:pt>
                <c:pt idx="45">
                  <c:v>2.4</c:v>
                </c:pt>
                <c:pt idx="46">
                  <c:v>2.4</c:v>
                </c:pt>
                <c:pt idx="47">
                  <c:v>2.4</c:v>
                </c:pt>
                <c:pt idx="48">
                  <c:v>2.4</c:v>
                </c:pt>
              </c:numCache>
            </c:numRef>
          </c:val>
        </c:ser>
        <c:marker val="1"/>
        <c:axId val="98150656"/>
        <c:axId val="103874560"/>
      </c:lineChart>
      <c:catAx>
        <c:axId val="98150656"/>
        <c:scaling>
          <c:orientation val="minMax"/>
        </c:scaling>
        <c:axPos val="b"/>
        <c:tickLblPos val="nextTo"/>
        <c:txPr>
          <a:bodyPr rot="-5400000" vert="horz"/>
          <a:lstStyle/>
          <a:p>
            <a:pPr>
              <a:defRPr sz="700"/>
            </a:pPr>
            <a:endParaRPr lang="en-US"/>
          </a:p>
        </c:txPr>
        <c:crossAx val="103874560"/>
        <c:crosses val="autoZero"/>
        <c:auto val="1"/>
        <c:lblAlgn val="ctr"/>
        <c:lblOffset val="100"/>
      </c:catAx>
      <c:valAx>
        <c:axId val="103874560"/>
        <c:scaling>
          <c:orientation val="minMax"/>
          <c:max val="15"/>
          <c:min val="0"/>
        </c:scaling>
        <c:axPos val="l"/>
        <c:title>
          <c:tx>
            <c:rich>
              <a:bodyPr rot="-5400000" vert="horz"/>
              <a:lstStyle/>
              <a:p>
                <a:pPr>
                  <a:defRPr/>
                </a:pPr>
                <a:r>
                  <a:rPr lang="en-US"/>
                  <a:t>Age Standardized Admission rate per 1,000</a:t>
                </a:r>
              </a:p>
            </c:rich>
          </c:tx>
        </c:title>
        <c:numFmt formatCode="General" sourceLinked="1"/>
        <c:tickLblPos val="nextTo"/>
        <c:crossAx val="98150656"/>
        <c:crosses val="autoZero"/>
        <c:crossBetween val="between"/>
      </c:valAx>
    </c:plotArea>
    <c:legend>
      <c:legendPos val="r"/>
      <c:legendEntry>
        <c:idx val="0"/>
        <c:delete val="1"/>
      </c:legendEntry>
      <c:layout>
        <c:manualLayout>
          <c:xMode val="edge"/>
          <c:yMode val="edge"/>
          <c:x val="0.170374479889043"/>
          <c:y val="0.19375311524545238"/>
          <c:w val="0.25079981507165972"/>
          <c:h val="0.18962318984574891"/>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a:t>Prevalence of COPD in Wandsworth GP practices </a:t>
            </a:r>
          </a:p>
        </c:rich>
      </c:tx>
      <c:layout/>
    </c:title>
    <c:plotArea>
      <c:layout>
        <c:manualLayout>
          <c:layoutTarget val="inner"/>
          <c:xMode val="edge"/>
          <c:yMode val="edge"/>
          <c:x val="8.8834181568208048E-2"/>
          <c:y val="9.6628622440427081E-2"/>
          <c:w val="0.88541797885722384"/>
          <c:h val="0.44513061081698324"/>
        </c:manualLayout>
      </c:layout>
      <c:barChart>
        <c:barDir val="col"/>
        <c:grouping val="clustered"/>
        <c:ser>
          <c:idx val="4"/>
          <c:order val="0"/>
          <c:cat>
            <c:multiLvlStrRef>
              <c:f>'IMD FEV'!$H$6:$I$54</c:f>
              <c:multiLvlStrCache>
                <c:ptCount val="49"/>
                <c:lvl>
                  <c:pt idx="0">
                    <c:v>SAI MEDICAL CENTRE</c:v>
                  </c:pt>
                  <c:pt idx="1">
                    <c:v>TOOTING BEC SURGERY</c:v>
                  </c:pt>
                  <c:pt idx="2">
                    <c:v>MITCHAM ROAD SURGERY</c:v>
                  </c:pt>
                  <c:pt idx="3">
                    <c:v>BALHAM HEALTH CENTRE</c:v>
                  </c:pt>
                  <c:pt idx="4">
                    <c:v>THURLEIGH ROAD PRACTICE</c:v>
                  </c:pt>
                  <c:pt idx="5">
                    <c:v>TOOTING SOUTH MEDICAL CENTRE</c:v>
                  </c:pt>
                  <c:pt idx="6">
                    <c:v>BALHAM HILL MEDICAL PRACTICE</c:v>
                  </c:pt>
                  <c:pt idx="7">
                    <c:v>FURZEDOWN PRIMARY CARE CENTRE</c:v>
                  </c:pt>
                  <c:pt idx="8">
                    <c:v>BALHAM PARK SURGERY</c:v>
                  </c:pt>
                  <c:pt idx="9">
                    <c:v>THE GRAYSWOOD PRACTICE</c:v>
                  </c:pt>
                  <c:pt idx="10">
                    <c:v>THE FRANCISCAN SURGERY</c:v>
                  </c:pt>
                  <c:pt idx="11">
                    <c:v>OPEN DOOR SURGERY</c:v>
                  </c:pt>
                  <c:pt idx="12">
                    <c:v>BEDFORD HILL FAMILY PRACTICE</c:v>
                  </c:pt>
                  <c:pt idx="13">
                    <c:v>DR NICHOLAS &amp; PARTNERS</c:v>
                  </c:pt>
                  <c:pt idx="14">
                    <c:v>WATERFALL HOUSE</c:v>
                  </c:pt>
                  <c:pt idx="15">
                    <c:v>STREATHAM PARK SURGERY</c:v>
                  </c:pt>
                  <c:pt idx="17">
                    <c:v>GRANVILLE ROAD SURGERY</c:v>
                  </c:pt>
                  <c:pt idx="18">
                    <c:v>ELBOROUGH STREET SURGERY</c:v>
                  </c:pt>
                  <c:pt idx="19">
                    <c:v>BROCKLEBANK HEALTH CENTRE</c:v>
                  </c:pt>
                  <c:pt idx="20">
                    <c:v>THE MEDICAL CENTRE</c:v>
                  </c:pt>
                  <c:pt idx="21">
                    <c:v>ST. JOHN'S HILL PRACTICE</c:v>
                  </c:pt>
                  <c:pt idx="22">
                    <c:v>EARLSFIELD SURGERY</c:v>
                  </c:pt>
                  <c:pt idx="23">
                    <c:v>SOUTHFIELDS GROUP PRACTICE</c:v>
                  </c:pt>
                  <c:pt idx="24">
                    <c:v>TRIANGLE SURGERY</c:v>
                  </c:pt>
                  <c:pt idx="25">
                    <c:v>THE SURGERY</c:v>
                  </c:pt>
                  <c:pt idx="27">
                    <c:v>THE HERITAGE MEDICAL CENTRE</c:v>
                  </c:pt>
                  <c:pt idx="28">
                    <c:v>LAVENDER HILL SURGERY</c:v>
                  </c:pt>
                  <c:pt idx="29">
                    <c:v>BATTERSEA RISE GROUP PRACTICE</c:v>
                  </c:pt>
                  <c:pt idx="30">
                    <c:v>LAVENDER HILL GROUP PRACTICE</c:v>
                  </c:pt>
                  <c:pt idx="31">
                    <c:v>THE FALCON ROAD MEDICAL CENTRE</c:v>
                  </c:pt>
                  <c:pt idx="32">
                    <c:v>NORTHCOTE ROAD SURGERY</c:v>
                  </c:pt>
                  <c:pt idx="33">
                    <c:v>BATTERSEA FIELDS PRACTICE</c:v>
                  </c:pt>
                  <c:pt idx="34">
                    <c:v>CHATFIELD MEDICAL CENTRE</c:v>
                  </c:pt>
                  <c:pt idx="35">
                    <c:v>BRIDGE LANE GROUP PRACTICE</c:v>
                  </c:pt>
                  <c:pt idx="36">
                    <c:v>QUEENSTOWN ROAD MEDICAL PRACTICE</c:v>
                  </c:pt>
                  <c:pt idx="39">
                    <c:v>PUTNEYMEAD MEDICAL CENTRE</c:v>
                  </c:pt>
                  <c:pt idx="40">
                    <c:v>The Putney Surgery</c:v>
                  </c:pt>
                  <c:pt idx="41">
                    <c:v>THE SURGERY</c:v>
                  </c:pt>
                  <c:pt idx="42">
                    <c:v>ST PAUL'S COTTAGE PRACTICE</c:v>
                  </c:pt>
                  <c:pt idx="43">
                    <c:v>THE HEATHBRIDGE PRACTICE</c:v>
                  </c:pt>
                  <c:pt idx="44">
                    <c:v>CHARTFIELD SURGERY</c:v>
                  </c:pt>
                  <c:pt idx="45">
                    <c:v>THE ROEHAMPTON SURGERY</c:v>
                  </c:pt>
                  <c:pt idx="46">
                    <c:v>THE ALTON PRACTICE</c:v>
                  </c:pt>
                  <c:pt idx="47">
                    <c:v>DANEBURY AVENUE SURGERY</c:v>
                  </c:pt>
                  <c:pt idx="48">
                    <c:v>TUDOR LODGE HEALTH CENTRE</c:v>
                  </c:pt>
                </c:lvl>
                <c:lvl>
                  <c:pt idx="0">
                    <c:v>South</c:v>
                  </c:pt>
                  <c:pt idx="17">
                    <c:v>Central</c:v>
                  </c:pt>
                  <c:pt idx="27">
                    <c:v>North</c:v>
                  </c:pt>
                  <c:pt idx="39">
                    <c:v>West</c:v>
                  </c:pt>
                </c:lvl>
              </c:multiLvlStrCache>
            </c:multiLvlStrRef>
          </c:cat>
          <c:val>
            <c:numRef>
              <c:f>'IMD FEV'!$N$6:$N$54</c:f>
              <c:numCache>
                <c:formatCode>0.0%</c:formatCode>
                <c:ptCount val="49"/>
                <c:pt idx="0">
                  <c:v>6.1500615006150118E-4</c:v>
                </c:pt>
                <c:pt idx="1">
                  <c:v>1.5756302521008399E-3</c:v>
                </c:pt>
                <c:pt idx="2">
                  <c:v>2.0136931131695501E-3</c:v>
                </c:pt>
                <c:pt idx="3">
                  <c:v>2.1626297577854829E-3</c:v>
                </c:pt>
                <c:pt idx="4">
                  <c:v>4.9275945293644355E-3</c:v>
                </c:pt>
                <c:pt idx="5">
                  <c:v>5.6015586945932982E-3</c:v>
                </c:pt>
                <c:pt idx="6">
                  <c:v>6.1092019854906881E-3</c:v>
                </c:pt>
                <c:pt idx="7">
                  <c:v>6.2418725617685465E-3</c:v>
                </c:pt>
                <c:pt idx="8">
                  <c:v>6.2495055770904204E-3</c:v>
                </c:pt>
                <c:pt idx="9">
                  <c:v>6.649740055616026E-3</c:v>
                </c:pt>
                <c:pt idx="10">
                  <c:v>6.7393458870168687E-3</c:v>
                </c:pt>
                <c:pt idx="11">
                  <c:v>6.8499490882162582E-3</c:v>
                </c:pt>
                <c:pt idx="12">
                  <c:v>6.9885641677255514E-3</c:v>
                </c:pt>
                <c:pt idx="13">
                  <c:v>7.5308444159589982E-3</c:v>
                </c:pt>
                <c:pt idx="14">
                  <c:v>1.2804097311139601E-2</c:v>
                </c:pt>
                <c:pt idx="15">
                  <c:v>1.3735137351373499E-2</c:v>
                </c:pt>
                <c:pt idx="17">
                  <c:v>6.4641241111829323E-4</c:v>
                </c:pt>
                <c:pt idx="18">
                  <c:v>5.8027079303675103E-3</c:v>
                </c:pt>
                <c:pt idx="19">
                  <c:v>7.0457354758961845E-3</c:v>
                </c:pt>
                <c:pt idx="20">
                  <c:v>7.2840790842872202E-3</c:v>
                </c:pt>
                <c:pt idx="21">
                  <c:v>8.2530949105914728E-3</c:v>
                </c:pt>
                <c:pt idx="22">
                  <c:v>8.7151609284666729E-3</c:v>
                </c:pt>
                <c:pt idx="23">
                  <c:v>8.8473826492995802E-3</c:v>
                </c:pt>
                <c:pt idx="24">
                  <c:v>9.6723253059613247E-3</c:v>
                </c:pt>
                <c:pt idx="25">
                  <c:v>1.4556682840758698E-2</c:v>
                </c:pt>
                <c:pt idx="27">
                  <c:v>2.7900146842878195E-3</c:v>
                </c:pt>
                <c:pt idx="28">
                  <c:v>4.1879944160074373E-3</c:v>
                </c:pt>
                <c:pt idx="29">
                  <c:v>5.1504472756844734E-3</c:v>
                </c:pt>
                <c:pt idx="30">
                  <c:v>6.2950385156961934E-3</c:v>
                </c:pt>
                <c:pt idx="31">
                  <c:v>6.6473176668851155E-3</c:v>
                </c:pt>
                <c:pt idx="32">
                  <c:v>7.7720207253886313E-3</c:v>
                </c:pt>
                <c:pt idx="33">
                  <c:v>8.1464240372408174E-3</c:v>
                </c:pt>
                <c:pt idx="34">
                  <c:v>1.0632688927943798E-2</c:v>
                </c:pt>
                <c:pt idx="35">
                  <c:v>1.2584407612031901E-2</c:v>
                </c:pt>
                <c:pt idx="36">
                  <c:v>1.2636899747262058E-2</c:v>
                </c:pt>
                <c:pt idx="39">
                  <c:v>2.7278089059274671E-3</c:v>
                </c:pt>
                <c:pt idx="40">
                  <c:v>4.8124557678697775E-3</c:v>
                </c:pt>
                <c:pt idx="41">
                  <c:v>5.2559414990859324E-3</c:v>
                </c:pt>
                <c:pt idx="42">
                  <c:v>7.641689662492057E-3</c:v>
                </c:pt>
                <c:pt idx="43">
                  <c:v>8.9463220675944279E-3</c:v>
                </c:pt>
                <c:pt idx="44">
                  <c:v>9.3287583101008004E-3</c:v>
                </c:pt>
                <c:pt idx="45">
                  <c:v>9.357200976403612E-3</c:v>
                </c:pt>
                <c:pt idx="46">
                  <c:v>1.421917136553083E-2</c:v>
                </c:pt>
                <c:pt idx="47">
                  <c:v>1.5510434292160265E-2</c:v>
                </c:pt>
                <c:pt idx="48">
                  <c:v>1.6930891180544898E-2</c:v>
                </c:pt>
              </c:numCache>
            </c:numRef>
          </c:val>
        </c:ser>
        <c:axId val="85552128"/>
        <c:axId val="111125248"/>
      </c:barChart>
      <c:lineChart>
        <c:grouping val="standard"/>
        <c:ser>
          <c:idx val="0"/>
          <c:order val="1"/>
          <c:tx>
            <c:v>England</c:v>
          </c:tx>
          <c:marker>
            <c:symbol val="none"/>
          </c:marker>
          <c:cat>
            <c:multiLvlStrRef>
              <c:f>'IMD FEV'!$H$6:$I$54</c:f>
              <c:multiLvlStrCache>
                <c:ptCount val="49"/>
                <c:lvl>
                  <c:pt idx="0">
                    <c:v>SAI MEDICAL CENTRE</c:v>
                  </c:pt>
                  <c:pt idx="1">
                    <c:v>TOOTING BEC SURGERY</c:v>
                  </c:pt>
                  <c:pt idx="2">
                    <c:v>MITCHAM ROAD SURGERY</c:v>
                  </c:pt>
                  <c:pt idx="3">
                    <c:v>BALHAM HEALTH CENTRE</c:v>
                  </c:pt>
                  <c:pt idx="4">
                    <c:v>THURLEIGH ROAD PRACTICE</c:v>
                  </c:pt>
                  <c:pt idx="5">
                    <c:v>TOOTING SOUTH MEDICAL CENTRE</c:v>
                  </c:pt>
                  <c:pt idx="6">
                    <c:v>BALHAM HILL MEDICAL PRACTICE</c:v>
                  </c:pt>
                  <c:pt idx="7">
                    <c:v>FURZEDOWN PRIMARY CARE CENTRE</c:v>
                  </c:pt>
                  <c:pt idx="8">
                    <c:v>BALHAM PARK SURGERY</c:v>
                  </c:pt>
                  <c:pt idx="9">
                    <c:v>THE GRAYSWOOD PRACTICE</c:v>
                  </c:pt>
                  <c:pt idx="10">
                    <c:v>THE FRANCISCAN SURGERY</c:v>
                  </c:pt>
                  <c:pt idx="11">
                    <c:v>OPEN DOOR SURGERY</c:v>
                  </c:pt>
                  <c:pt idx="12">
                    <c:v>BEDFORD HILL FAMILY PRACTICE</c:v>
                  </c:pt>
                  <c:pt idx="13">
                    <c:v>DR NICHOLAS &amp; PARTNERS</c:v>
                  </c:pt>
                  <c:pt idx="14">
                    <c:v>WATERFALL HOUSE</c:v>
                  </c:pt>
                  <c:pt idx="15">
                    <c:v>STREATHAM PARK SURGERY</c:v>
                  </c:pt>
                  <c:pt idx="17">
                    <c:v>GRANVILLE ROAD SURGERY</c:v>
                  </c:pt>
                  <c:pt idx="18">
                    <c:v>ELBOROUGH STREET SURGERY</c:v>
                  </c:pt>
                  <c:pt idx="19">
                    <c:v>BROCKLEBANK HEALTH CENTRE</c:v>
                  </c:pt>
                  <c:pt idx="20">
                    <c:v>THE MEDICAL CENTRE</c:v>
                  </c:pt>
                  <c:pt idx="21">
                    <c:v>ST. JOHN'S HILL PRACTICE</c:v>
                  </c:pt>
                  <c:pt idx="22">
                    <c:v>EARLSFIELD SURGERY</c:v>
                  </c:pt>
                  <c:pt idx="23">
                    <c:v>SOUTHFIELDS GROUP PRACTICE</c:v>
                  </c:pt>
                  <c:pt idx="24">
                    <c:v>TRIANGLE SURGERY</c:v>
                  </c:pt>
                  <c:pt idx="25">
                    <c:v>THE SURGERY</c:v>
                  </c:pt>
                  <c:pt idx="27">
                    <c:v>THE HERITAGE MEDICAL CENTRE</c:v>
                  </c:pt>
                  <c:pt idx="28">
                    <c:v>LAVENDER HILL SURGERY</c:v>
                  </c:pt>
                  <c:pt idx="29">
                    <c:v>BATTERSEA RISE GROUP PRACTICE</c:v>
                  </c:pt>
                  <c:pt idx="30">
                    <c:v>LAVENDER HILL GROUP PRACTICE</c:v>
                  </c:pt>
                  <c:pt idx="31">
                    <c:v>THE FALCON ROAD MEDICAL CENTRE</c:v>
                  </c:pt>
                  <c:pt idx="32">
                    <c:v>NORTHCOTE ROAD SURGERY</c:v>
                  </c:pt>
                  <c:pt idx="33">
                    <c:v>BATTERSEA FIELDS PRACTICE</c:v>
                  </c:pt>
                  <c:pt idx="34">
                    <c:v>CHATFIELD MEDICAL CENTRE</c:v>
                  </c:pt>
                  <c:pt idx="35">
                    <c:v>BRIDGE LANE GROUP PRACTICE</c:v>
                  </c:pt>
                  <c:pt idx="36">
                    <c:v>QUEENSTOWN ROAD MEDICAL PRACTICE</c:v>
                  </c:pt>
                  <c:pt idx="39">
                    <c:v>PUTNEYMEAD MEDICAL CENTRE</c:v>
                  </c:pt>
                  <c:pt idx="40">
                    <c:v>The Putney Surgery</c:v>
                  </c:pt>
                  <c:pt idx="41">
                    <c:v>THE SURGERY</c:v>
                  </c:pt>
                  <c:pt idx="42">
                    <c:v>ST PAUL'S COTTAGE PRACTICE</c:v>
                  </c:pt>
                  <c:pt idx="43">
                    <c:v>THE HEATHBRIDGE PRACTICE</c:v>
                  </c:pt>
                  <c:pt idx="44">
                    <c:v>CHARTFIELD SURGERY</c:v>
                  </c:pt>
                  <c:pt idx="45">
                    <c:v>THE ROEHAMPTON SURGERY</c:v>
                  </c:pt>
                  <c:pt idx="46">
                    <c:v>THE ALTON PRACTICE</c:v>
                  </c:pt>
                  <c:pt idx="47">
                    <c:v>DANEBURY AVENUE SURGERY</c:v>
                  </c:pt>
                  <c:pt idx="48">
                    <c:v>TUDOR LODGE HEALTH CENTRE</c:v>
                  </c:pt>
                </c:lvl>
                <c:lvl>
                  <c:pt idx="0">
                    <c:v>South</c:v>
                  </c:pt>
                  <c:pt idx="17">
                    <c:v>Central</c:v>
                  </c:pt>
                  <c:pt idx="27">
                    <c:v>North</c:v>
                  </c:pt>
                  <c:pt idx="39">
                    <c:v>West</c:v>
                  </c:pt>
                </c:lvl>
              </c:multiLvlStrCache>
            </c:multiLvlStrRef>
          </c:cat>
          <c:val>
            <c:numRef>
              <c:f>'IMD FEV'!$O$6:$O$54</c:f>
              <c:numCache>
                <c:formatCode>0.0%</c:formatCode>
                <c:ptCount val="49"/>
                <c:pt idx="0">
                  <c:v>1.5400000000000021E-2</c:v>
                </c:pt>
                <c:pt idx="1">
                  <c:v>1.5400000000000021E-2</c:v>
                </c:pt>
                <c:pt idx="2">
                  <c:v>1.5400000000000021E-2</c:v>
                </c:pt>
                <c:pt idx="3">
                  <c:v>1.5400000000000021E-2</c:v>
                </c:pt>
                <c:pt idx="4">
                  <c:v>1.5400000000000021E-2</c:v>
                </c:pt>
                <c:pt idx="5">
                  <c:v>1.5400000000000021E-2</c:v>
                </c:pt>
                <c:pt idx="6">
                  <c:v>1.5400000000000021E-2</c:v>
                </c:pt>
                <c:pt idx="7">
                  <c:v>1.5400000000000021E-2</c:v>
                </c:pt>
                <c:pt idx="8">
                  <c:v>1.5400000000000021E-2</c:v>
                </c:pt>
                <c:pt idx="9">
                  <c:v>1.5400000000000021E-2</c:v>
                </c:pt>
                <c:pt idx="10">
                  <c:v>1.5400000000000021E-2</c:v>
                </c:pt>
                <c:pt idx="11">
                  <c:v>1.5400000000000021E-2</c:v>
                </c:pt>
                <c:pt idx="12">
                  <c:v>1.5400000000000021E-2</c:v>
                </c:pt>
                <c:pt idx="13">
                  <c:v>1.5400000000000021E-2</c:v>
                </c:pt>
                <c:pt idx="14">
                  <c:v>1.5400000000000021E-2</c:v>
                </c:pt>
                <c:pt idx="15">
                  <c:v>1.5400000000000021E-2</c:v>
                </c:pt>
                <c:pt idx="16">
                  <c:v>1.5400000000000021E-2</c:v>
                </c:pt>
                <c:pt idx="17">
                  <c:v>1.5400000000000021E-2</c:v>
                </c:pt>
                <c:pt idx="18">
                  <c:v>1.5400000000000021E-2</c:v>
                </c:pt>
                <c:pt idx="19">
                  <c:v>1.5400000000000021E-2</c:v>
                </c:pt>
                <c:pt idx="20">
                  <c:v>1.5400000000000021E-2</c:v>
                </c:pt>
                <c:pt idx="21">
                  <c:v>1.5400000000000021E-2</c:v>
                </c:pt>
                <c:pt idx="22">
                  <c:v>1.5400000000000021E-2</c:v>
                </c:pt>
                <c:pt idx="23">
                  <c:v>1.5400000000000021E-2</c:v>
                </c:pt>
                <c:pt idx="24">
                  <c:v>1.5400000000000021E-2</c:v>
                </c:pt>
                <c:pt idx="25">
                  <c:v>1.5400000000000021E-2</c:v>
                </c:pt>
                <c:pt idx="26">
                  <c:v>1.5400000000000021E-2</c:v>
                </c:pt>
                <c:pt idx="27">
                  <c:v>1.5400000000000021E-2</c:v>
                </c:pt>
                <c:pt idx="28">
                  <c:v>1.5400000000000021E-2</c:v>
                </c:pt>
                <c:pt idx="29">
                  <c:v>1.5400000000000021E-2</c:v>
                </c:pt>
                <c:pt idx="30">
                  <c:v>1.5400000000000021E-2</c:v>
                </c:pt>
                <c:pt idx="31">
                  <c:v>1.5400000000000021E-2</c:v>
                </c:pt>
                <c:pt idx="32">
                  <c:v>1.5400000000000021E-2</c:v>
                </c:pt>
                <c:pt idx="33">
                  <c:v>1.5400000000000021E-2</c:v>
                </c:pt>
                <c:pt idx="34">
                  <c:v>1.5400000000000021E-2</c:v>
                </c:pt>
                <c:pt idx="35">
                  <c:v>1.5400000000000021E-2</c:v>
                </c:pt>
                <c:pt idx="36">
                  <c:v>1.5400000000000021E-2</c:v>
                </c:pt>
                <c:pt idx="37">
                  <c:v>1.5400000000000021E-2</c:v>
                </c:pt>
                <c:pt idx="38">
                  <c:v>1.5400000000000021E-2</c:v>
                </c:pt>
                <c:pt idx="39">
                  <c:v>1.5400000000000021E-2</c:v>
                </c:pt>
                <c:pt idx="40">
                  <c:v>1.5400000000000021E-2</c:v>
                </c:pt>
                <c:pt idx="41">
                  <c:v>1.5400000000000021E-2</c:v>
                </c:pt>
                <c:pt idx="42">
                  <c:v>1.5400000000000021E-2</c:v>
                </c:pt>
                <c:pt idx="43">
                  <c:v>1.5400000000000021E-2</c:v>
                </c:pt>
                <c:pt idx="44">
                  <c:v>1.5400000000000021E-2</c:v>
                </c:pt>
                <c:pt idx="45">
                  <c:v>1.5400000000000021E-2</c:v>
                </c:pt>
                <c:pt idx="46">
                  <c:v>1.5400000000000021E-2</c:v>
                </c:pt>
                <c:pt idx="47">
                  <c:v>1.5400000000000021E-2</c:v>
                </c:pt>
                <c:pt idx="48">
                  <c:v>1.5400000000000021E-2</c:v>
                </c:pt>
              </c:numCache>
            </c:numRef>
          </c:val>
        </c:ser>
        <c:ser>
          <c:idx val="1"/>
          <c:order val="2"/>
          <c:tx>
            <c:v>London</c:v>
          </c:tx>
          <c:marker>
            <c:symbol val="none"/>
          </c:marker>
          <c:cat>
            <c:multiLvlStrRef>
              <c:f>'IMD FEV'!$H$6:$I$54</c:f>
              <c:multiLvlStrCache>
                <c:ptCount val="49"/>
                <c:lvl>
                  <c:pt idx="0">
                    <c:v>SAI MEDICAL CENTRE</c:v>
                  </c:pt>
                  <c:pt idx="1">
                    <c:v>TOOTING BEC SURGERY</c:v>
                  </c:pt>
                  <c:pt idx="2">
                    <c:v>MITCHAM ROAD SURGERY</c:v>
                  </c:pt>
                  <c:pt idx="3">
                    <c:v>BALHAM HEALTH CENTRE</c:v>
                  </c:pt>
                  <c:pt idx="4">
                    <c:v>THURLEIGH ROAD PRACTICE</c:v>
                  </c:pt>
                  <c:pt idx="5">
                    <c:v>TOOTING SOUTH MEDICAL CENTRE</c:v>
                  </c:pt>
                  <c:pt idx="6">
                    <c:v>BALHAM HILL MEDICAL PRACTICE</c:v>
                  </c:pt>
                  <c:pt idx="7">
                    <c:v>FURZEDOWN PRIMARY CARE CENTRE</c:v>
                  </c:pt>
                  <c:pt idx="8">
                    <c:v>BALHAM PARK SURGERY</c:v>
                  </c:pt>
                  <c:pt idx="9">
                    <c:v>THE GRAYSWOOD PRACTICE</c:v>
                  </c:pt>
                  <c:pt idx="10">
                    <c:v>THE FRANCISCAN SURGERY</c:v>
                  </c:pt>
                  <c:pt idx="11">
                    <c:v>OPEN DOOR SURGERY</c:v>
                  </c:pt>
                  <c:pt idx="12">
                    <c:v>BEDFORD HILL FAMILY PRACTICE</c:v>
                  </c:pt>
                  <c:pt idx="13">
                    <c:v>DR NICHOLAS &amp; PARTNERS</c:v>
                  </c:pt>
                  <c:pt idx="14">
                    <c:v>WATERFALL HOUSE</c:v>
                  </c:pt>
                  <c:pt idx="15">
                    <c:v>STREATHAM PARK SURGERY</c:v>
                  </c:pt>
                  <c:pt idx="17">
                    <c:v>GRANVILLE ROAD SURGERY</c:v>
                  </c:pt>
                  <c:pt idx="18">
                    <c:v>ELBOROUGH STREET SURGERY</c:v>
                  </c:pt>
                  <c:pt idx="19">
                    <c:v>BROCKLEBANK HEALTH CENTRE</c:v>
                  </c:pt>
                  <c:pt idx="20">
                    <c:v>THE MEDICAL CENTRE</c:v>
                  </c:pt>
                  <c:pt idx="21">
                    <c:v>ST. JOHN'S HILL PRACTICE</c:v>
                  </c:pt>
                  <c:pt idx="22">
                    <c:v>EARLSFIELD SURGERY</c:v>
                  </c:pt>
                  <c:pt idx="23">
                    <c:v>SOUTHFIELDS GROUP PRACTICE</c:v>
                  </c:pt>
                  <c:pt idx="24">
                    <c:v>TRIANGLE SURGERY</c:v>
                  </c:pt>
                  <c:pt idx="25">
                    <c:v>THE SURGERY</c:v>
                  </c:pt>
                  <c:pt idx="27">
                    <c:v>THE HERITAGE MEDICAL CENTRE</c:v>
                  </c:pt>
                  <c:pt idx="28">
                    <c:v>LAVENDER HILL SURGERY</c:v>
                  </c:pt>
                  <c:pt idx="29">
                    <c:v>BATTERSEA RISE GROUP PRACTICE</c:v>
                  </c:pt>
                  <c:pt idx="30">
                    <c:v>LAVENDER HILL GROUP PRACTICE</c:v>
                  </c:pt>
                  <c:pt idx="31">
                    <c:v>THE FALCON ROAD MEDICAL CENTRE</c:v>
                  </c:pt>
                  <c:pt idx="32">
                    <c:v>NORTHCOTE ROAD SURGERY</c:v>
                  </c:pt>
                  <c:pt idx="33">
                    <c:v>BATTERSEA FIELDS PRACTICE</c:v>
                  </c:pt>
                  <c:pt idx="34">
                    <c:v>CHATFIELD MEDICAL CENTRE</c:v>
                  </c:pt>
                  <c:pt idx="35">
                    <c:v>BRIDGE LANE GROUP PRACTICE</c:v>
                  </c:pt>
                  <c:pt idx="36">
                    <c:v>QUEENSTOWN ROAD MEDICAL PRACTICE</c:v>
                  </c:pt>
                  <c:pt idx="39">
                    <c:v>PUTNEYMEAD MEDICAL CENTRE</c:v>
                  </c:pt>
                  <c:pt idx="40">
                    <c:v>The Putney Surgery</c:v>
                  </c:pt>
                  <c:pt idx="41">
                    <c:v>THE SURGERY</c:v>
                  </c:pt>
                  <c:pt idx="42">
                    <c:v>ST PAUL'S COTTAGE PRACTICE</c:v>
                  </c:pt>
                  <c:pt idx="43">
                    <c:v>THE HEATHBRIDGE PRACTICE</c:v>
                  </c:pt>
                  <c:pt idx="44">
                    <c:v>CHARTFIELD SURGERY</c:v>
                  </c:pt>
                  <c:pt idx="45">
                    <c:v>THE ROEHAMPTON SURGERY</c:v>
                  </c:pt>
                  <c:pt idx="46">
                    <c:v>THE ALTON PRACTICE</c:v>
                  </c:pt>
                  <c:pt idx="47">
                    <c:v>DANEBURY AVENUE SURGERY</c:v>
                  </c:pt>
                  <c:pt idx="48">
                    <c:v>TUDOR LODGE HEALTH CENTRE</c:v>
                  </c:pt>
                </c:lvl>
                <c:lvl>
                  <c:pt idx="0">
                    <c:v>South</c:v>
                  </c:pt>
                  <c:pt idx="17">
                    <c:v>Central</c:v>
                  </c:pt>
                  <c:pt idx="27">
                    <c:v>North</c:v>
                  </c:pt>
                  <c:pt idx="39">
                    <c:v>West</c:v>
                  </c:pt>
                </c:lvl>
              </c:multiLvlStrCache>
            </c:multiLvlStrRef>
          </c:cat>
          <c:val>
            <c:numRef>
              <c:f>'IMD FEV'!$P$6:$P$54</c:f>
              <c:numCache>
                <c:formatCode>0.0%</c:formatCode>
                <c:ptCount val="49"/>
                <c:pt idx="0">
                  <c:v>9.7000000000000003E-3</c:v>
                </c:pt>
                <c:pt idx="1">
                  <c:v>9.7000000000000003E-3</c:v>
                </c:pt>
                <c:pt idx="2">
                  <c:v>9.7000000000000003E-3</c:v>
                </c:pt>
                <c:pt idx="3">
                  <c:v>9.7000000000000003E-3</c:v>
                </c:pt>
                <c:pt idx="4">
                  <c:v>9.7000000000000003E-3</c:v>
                </c:pt>
                <c:pt idx="5">
                  <c:v>9.7000000000000003E-3</c:v>
                </c:pt>
                <c:pt idx="6">
                  <c:v>9.7000000000000003E-3</c:v>
                </c:pt>
                <c:pt idx="7">
                  <c:v>9.7000000000000003E-3</c:v>
                </c:pt>
                <c:pt idx="8">
                  <c:v>9.7000000000000003E-3</c:v>
                </c:pt>
                <c:pt idx="9">
                  <c:v>9.7000000000000003E-3</c:v>
                </c:pt>
                <c:pt idx="10">
                  <c:v>9.7000000000000003E-3</c:v>
                </c:pt>
                <c:pt idx="11">
                  <c:v>9.7000000000000003E-3</c:v>
                </c:pt>
                <c:pt idx="12">
                  <c:v>9.7000000000000003E-3</c:v>
                </c:pt>
                <c:pt idx="13">
                  <c:v>9.7000000000000003E-3</c:v>
                </c:pt>
                <c:pt idx="14">
                  <c:v>9.7000000000000003E-3</c:v>
                </c:pt>
                <c:pt idx="15">
                  <c:v>9.7000000000000003E-3</c:v>
                </c:pt>
                <c:pt idx="16">
                  <c:v>9.7000000000000003E-3</c:v>
                </c:pt>
                <c:pt idx="17">
                  <c:v>9.7000000000000003E-3</c:v>
                </c:pt>
                <c:pt idx="18">
                  <c:v>9.7000000000000003E-3</c:v>
                </c:pt>
                <c:pt idx="19">
                  <c:v>9.7000000000000003E-3</c:v>
                </c:pt>
                <c:pt idx="20">
                  <c:v>9.7000000000000003E-3</c:v>
                </c:pt>
                <c:pt idx="21">
                  <c:v>9.7000000000000003E-3</c:v>
                </c:pt>
                <c:pt idx="22">
                  <c:v>9.7000000000000003E-3</c:v>
                </c:pt>
                <c:pt idx="23">
                  <c:v>9.7000000000000003E-3</c:v>
                </c:pt>
                <c:pt idx="24">
                  <c:v>9.7000000000000003E-3</c:v>
                </c:pt>
                <c:pt idx="25">
                  <c:v>9.7000000000000003E-3</c:v>
                </c:pt>
                <c:pt idx="26">
                  <c:v>9.7000000000000003E-3</c:v>
                </c:pt>
                <c:pt idx="27">
                  <c:v>9.7000000000000003E-3</c:v>
                </c:pt>
                <c:pt idx="28">
                  <c:v>9.7000000000000003E-3</c:v>
                </c:pt>
                <c:pt idx="29">
                  <c:v>9.7000000000000003E-3</c:v>
                </c:pt>
                <c:pt idx="30">
                  <c:v>9.7000000000000003E-3</c:v>
                </c:pt>
                <c:pt idx="31">
                  <c:v>9.7000000000000003E-3</c:v>
                </c:pt>
                <c:pt idx="32">
                  <c:v>9.7000000000000003E-3</c:v>
                </c:pt>
                <c:pt idx="33">
                  <c:v>9.7000000000000003E-3</c:v>
                </c:pt>
                <c:pt idx="34">
                  <c:v>9.7000000000000003E-3</c:v>
                </c:pt>
                <c:pt idx="35">
                  <c:v>9.7000000000000003E-3</c:v>
                </c:pt>
                <c:pt idx="36">
                  <c:v>9.7000000000000003E-3</c:v>
                </c:pt>
                <c:pt idx="37">
                  <c:v>9.7000000000000003E-3</c:v>
                </c:pt>
                <c:pt idx="38">
                  <c:v>9.7000000000000003E-3</c:v>
                </c:pt>
                <c:pt idx="39">
                  <c:v>9.7000000000000003E-3</c:v>
                </c:pt>
                <c:pt idx="40">
                  <c:v>9.7000000000000003E-3</c:v>
                </c:pt>
                <c:pt idx="41">
                  <c:v>9.7000000000000003E-3</c:v>
                </c:pt>
                <c:pt idx="42">
                  <c:v>9.7000000000000003E-3</c:v>
                </c:pt>
                <c:pt idx="43">
                  <c:v>9.7000000000000003E-3</c:v>
                </c:pt>
                <c:pt idx="44">
                  <c:v>9.7000000000000003E-3</c:v>
                </c:pt>
                <c:pt idx="45">
                  <c:v>9.7000000000000003E-3</c:v>
                </c:pt>
                <c:pt idx="46">
                  <c:v>9.7000000000000003E-3</c:v>
                </c:pt>
                <c:pt idx="47">
                  <c:v>9.7000000000000003E-3</c:v>
                </c:pt>
                <c:pt idx="48">
                  <c:v>9.7000000000000003E-3</c:v>
                </c:pt>
              </c:numCache>
            </c:numRef>
          </c:val>
        </c:ser>
        <c:ser>
          <c:idx val="2"/>
          <c:order val="3"/>
          <c:tx>
            <c:v>Wandsworth</c:v>
          </c:tx>
          <c:marker>
            <c:symbol val="none"/>
          </c:marker>
          <c:cat>
            <c:multiLvlStrRef>
              <c:f>'IMD FEV'!$H$6:$I$54</c:f>
              <c:multiLvlStrCache>
                <c:ptCount val="49"/>
                <c:lvl>
                  <c:pt idx="0">
                    <c:v>SAI MEDICAL CENTRE</c:v>
                  </c:pt>
                  <c:pt idx="1">
                    <c:v>TOOTING BEC SURGERY</c:v>
                  </c:pt>
                  <c:pt idx="2">
                    <c:v>MITCHAM ROAD SURGERY</c:v>
                  </c:pt>
                  <c:pt idx="3">
                    <c:v>BALHAM HEALTH CENTRE</c:v>
                  </c:pt>
                  <c:pt idx="4">
                    <c:v>THURLEIGH ROAD PRACTICE</c:v>
                  </c:pt>
                  <c:pt idx="5">
                    <c:v>TOOTING SOUTH MEDICAL CENTRE</c:v>
                  </c:pt>
                  <c:pt idx="6">
                    <c:v>BALHAM HILL MEDICAL PRACTICE</c:v>
                  </c:pt>
                  <c:pt idx="7">
                    <c:v>FURZEDOWN PRIMARY CARE CENTRE</c:v>
                  </c:pt>
                  <c:pt idx="8">
                    <c:v>BALHAM PARK SURGERY</c:v>
                  </c:pt>
                  <c:pt idx="9">
                    <c:v>THE GRAYSWOOD PRACTICE</c:v>
                  </c:pt>
                  <c:pt idx="10">
                    <c:v>THE FRANCISCAN SURGERY</c:v>
                  </c:pt>
                  <c:pt idx="11">
                    <c:v>OPEN DOOR SURGERY</c:v>
                  </c:pt>
                  <c:pt idx="12">
                    <c:v>BEDFORD HILL FAMILY PRACTICE</c:v>
                  </c:pt>
                  <c:pt idx="13">
                    <c:v>DR NICHOLAS &amp; PARTNERS</c:v>
                  </c:pt>
                  <c:pt idx="14">
                    <c:v>WATERFALL HOUSE</c:v>
                  </c:pt>
                  <c:pt idx="15">
                    <c:v>STREATHAM PARK SURGERY</c:v>
                  </c:pt>
                  <c:pt idx="17">
                    <c:v>GRANVILLE ROAD SURGERY</c:v>
                  </c:pt>
                  <c:pt idx="18">
                    <c:v>ELBOROUGH STREET SURGERY</c:v>
                  </c:pt>
                  <c:pt idx="19">
                    <c:v>BROCKLEBANK HEALTH CENTRE</c:v>
                  </c:pt>
                  <c:pt idx="20">
                    <c:v>THE MEDICAL CENTRE</c:v>
                  </c:pt>
                  <c:pt idx="21">
                    <c:v>ST. JOHN'S HILL PRACTICE</c:v>
                  </c:pt>
                  <c:pt idx="22">
                    <c:v>EARLSFIELD SURGERY</c:v>
                  </c:pt>
                  <c:pt idx="23">
                    <c:v>SOUTHFIELDS GROUP PRACTICE</c:v>
                  </c:pt>
                  <c:pt idx="24">
                    <c:v>TRIANGLE SURGERY</c:v>
                  </c:pt>
                  <c:pt idx="25">
                    <c:v>THE SURGERY</c:v>
                  </c:pt>
                  <c:pt idx="27">
                    <c:v>THE HERITAGE MEDICAL CENTRE</c:v>
                  </c:pt>
                  <c:pt idx="28">
                    <c:v>LAVENDER HILL SURGERY</c:v>
                  </c:pt>
                  <c:pt idx="29">
                    <c:v>BATTERSEA RISE GROUP PRACTICE</c:v>
                  </c:pt>
                  <c:pt idx="30">
                    <c:v>LAVENDER HILL GROUP PRACTICE</c:v>
                  </c:pt>
                  <c:pt idx="31">
                    <c:v>THE FALCON ROAD MEDICAL CENTRE</c:v>
                  </c:pt>
                  <c:pt idx="32">
                    <c:v>NORTHCOTE ROAD SURGERY</c:v>
                  </c:pt>
                  <c:pt idx="33">
                    <c:v>BATTERSEA FIELDS PRACTICE</c:v>
                  </c:pt>
                  <c:pt idx="34">
                    <c:v>CHATFIELD MEDICAL CENTRE</c:v>
                  </c:pt>
                  <c:pt idx="35">
                    <c:v>BRIDGE LANE GROUP PRACTICE</c:v>
                  </c:pt>
                  <c:pt idx="36">
                    <c:v>QUEENSTOWN ROAD MEDICAL PRACTICE</c:v>
                  </c:pt>
                  <c:pt idx="39">
                    <c:v>PUTNEYMEAD MEDICAL CENTRE</c:v>
                  </c:pt>
                  <c:pt idx="40">
                    <c:v>The Putney Surgery</c:v>
                  </c:pt>
                  <c:pt idx="41">
                    <c:v>THE SURGERY</c:v>
                  </c:pt>
                  <c:pt idx="42">
                    <c:v>ST PAUL'S COTTAGE PRACTICE</c:v>
                  </c:pt>
                  <c:pt idx="43">
                    <c:v>THE HEATHBRIDGE PRACTICE</c:v>
                  </c:pt>
                  <c:pt idx="44">
                    <c:v>CHARTFIELD SURGERY</c:v>
                  </c:pt>
                  <c:pt idx="45">
                    <c:v>THE ROEHAMPTON SURGERY</c:v>
                  </c:pt>
                  <c:pt idx="46">
                    <c:v>THE ALTON PRACTICE</c:v>
                  </c:pt>
                  <c:pt idx="47">
                    <c:v>DANEBURY AVENUE SURGERY</c:v>
                  </c:pt>
                  <c:pt idx="48">
                    <c:v>TUDOR LODGE HEALTH CENTRE</c:v>
                  </c:pt>
                </c:lvl>
                <c:lvl>
                  <c:pt idx="0">
                    <c:v>South</c:v>
                  </c:pt>
                  <c:pt idx="17">
                    <c:v>Central</c:v>
                  </c:pt>
                  <c:pt idx="27">
                    <c:v>North</c:v>
                  </c:pt>
                  <c:pt idx="39">
                    <c:v>West</c:v>
                  </c:pt>
                </c:lvl>
              </c:multiLvlStrCache>
            </c:multiLvlStrRef>
          </c:cat>
          <c:val>
            <c:numRef>
              <c:f>'IMD FEV'!$Q$6:$Q$54</c:f>
              <c:numCache>
                <c:formatCode>0.0%</c:formatCode>
                <c:ptCount val="49"/>
                <c:pt idx="0">
                  <c:v>8.2000000000000007E-3</c:v>
                </c:pt>
                <c:pt idx="1">
                  <c:v>8.2000000000000007E-3</c:v>
                </c:pt>
                <c:pt idx="2">
                  <c:v>8.2000000000000007E-3</c:v>
                </c:pt>
                <c:pt idx="3">
                  <c:v>8.2000000000000007E-3</c:v>
                </c:pt>
                <c:pt idx="4">
                  <c:v>8.2000000000000007E-3</c:v>
                </c:pt>
                <c:pt idx="5">
                  <c:v>8.2000000000000007E-3</c:v>
                </c:pt>
                <c:pt idx="6">
                  <c:v>8.2000000000000007E-3</c:v>
                </c:pt>
                <c:pt idx="7">
                  <c:v>8.2000000000000007E-3</c:v>
                </c:pt>
                <c:pt idx="8">
                  <c:v>8.2000000000000007E-3</c:v>
                </c:pt>
                <c:pt idx="9">
                  <c:v>8.2000000000000007E-3</c:v>
                </c:pt>
                <c:pt idx="10">
                  <c:v>8.2000000000000007E-3</c:v>
                </c:pt>
                <c:pt idx="11">
                  <c:v>8.2000000000000007E-3</c:v>
                </c:pt>
                <c:pt idx="12">
                  <c:v>8.2000000000000007E-3</c:v>
                </c:pt>
                <c:pt idx="13">
                  <c:v>8.2000000000000007E-3</c:v>
                </c:pt>
                <c:pt idx="14">
                  <c:v>8.2000000000000007E-3</c:v>
                </c:pt>
                <c:pt idx="15">
                  <c:v>8.2000000000000007E-3</c:v>
                </c:pt>
                <c:pt idx="16">
                  <c:v>8.2000000000000007E-3</c:v>
                </c:pt>
                <c:pt idx="17">
                  <c:v>8.2000000000000007E-3</c:v>
                </c:pt>
                <c:pt idx="18">
                  <c:v>8.2000000000000007E-3</c:v>
                </c:pt>
                <c:pt idx="19">
                  <c:v>8.2000000000000007E-3</c:v>
                </c:pt>
                <c:pt idx="20">
                  <c:v>8.2000000000000007E-3</c:v>
                </c:pt>
                <c:pt idx="21">
                  <c:v>8.2000000000000007E-3</c:v>
                </c:pt>
                <c:pt idx="22">
                  <c:v>8.2000000000000007E-3</c:v>
                </c:pt>
                <c:pt idx="23">
                  <c:v>8.2000000000000007E-3</c:v>
                </c:pt>
                <c:pt idx="24">
                  <c:v>8.2000000000000007E-3</c:v>
                </c:pt>
                <c:pt idx="25">
                  <c:v>8.2000000000000007E-3</c:v>
                </c:pt>
                <c:pt idx="26">
                  <c:v>8.2000000000000007E-3</c:v>
                </c:pt>
                <c:pt idx="27">
                  <c:v>8.2000000000000007E-3</c:v>
                </c:pt>
                <c:pt idx="28">
                  <c:v>8.2000000000000007E-3</c:v>
                </c:pt>
                <c:pt idx="29">
                  <c:v>8.2000000000000007E-3</c:v>
                </c:pt>
                <c:pt idx="30">
                  <c:v>8.2000000000000007E-3</c:v>
                </c:pt>
                <c:pt idx="31">
                  <c:v>8.2000000000000007E-3</c:v>
                </c:pt>
                <c:pt idx="32">
                  <c:v>8.2000000000000007E-3</c:v>
                </c:pt>
                <c:pt idx="33">
                  <c:v>8.2000000000000007E-3</c:v>
                </c:pt>
                <c:pt idx="34">
                  <c:v>8.2000000000000007E-3</c:v>
                </c:pt>
                <c:pt idx="35">
                  <c:v>8.2000000000000007E-3</c:v>
                </c:pt>
                <c:pt idx="36">
                  <c:v>8.2000000000000007E-3</c:v>
                </c:pt>
                <c:pt idx="37">
                  <c:v>8.2000000000000007E-3</c:v>
                </c:pt>
                <c:pt idx="38">
                  <c:v>8.2000000000000007E-3</c:v>
                </c:pt>
                <c:pt idx="39">
                  <c:v>8.2000000000000007E-3</c:v>
                </c:pt>
                <c:pt idx="40">
                  <c:v>8.2000000000000007E-3</c:v>
                </c:pt>
                <c:pt idx="41">
                  <c:v>8.2000000000000007E-3</c:v>
                </c:pt>
                <c:pt idx="42">
                  <c:v>8.2000000000000007E-3</c:v>
                </c:pt>
                <c:pt idx="43">
                  <c:v>8.2000000000000007E-3</c:v>
                </c:pt>
                <c:pt idx="44">
                  <c:v>8.2000000000000007E-3</c:v>
                </c:pt>
                <c:pt idx="45">
                  <c:v>8.2000000000000007E-3</c:v>
                </c:pt>
                <c:pt idx="46">
                  <c:v>8.2000000000000007E-3</c:v>
                </c:pt>
                <c:pt idx="47">
                  <c:v>8.2000000000000007E-3</c:v>
                </c:pt>
                <c:pt idx="48">
                  <c:v>8.2000000000000007E-3</c:v>
                </c:pt>
              </c:numCache>
            </c:numRef>
          </c:val>
        </c:ser>
        <c:marker val="1"/>
        <c:axId val="85552128"/>
        <c:axId val="111125248"/>
      </c:lineChart>
      <c:catAx>
        <c:axId val="85552128"/>
        <c:scaling>
          <c:orientation val="minMax"/>
        </c:scaling>
        <c:axPos val="b"/>
        <c:numFmt formatCode="General" sourceLinked="1"/>
        <c:majorTickMark val="none"/>
        <c:tickLblPos val="nextTo"/>
        <c:txPr>
          <a:bodyPr/>
          <a:lstStyle/>
          <a:p>
            <a:pPr>
              <a:defRPr sz="600"/>
            </a:pPr>
            <a:endParaRPr lang="en-US"/>
          </a:p>
        </c:txPr>
        <c:crossAx val="111125248"/>
        <c:crosses val="autoZero"/>
        <c:auto val="1"/>
        <c:lblAlgn val="ctr"/>
        <c:lblOffset val="100"/>
      </c:catAx>
      <c:valAx>
        <c:axId val="111125248"/>
        <c:scaling>
          <c:orientation val="minMax"/>
        </c:scaling>
        <c:axPos val="l"/>
        <c:numFmt formatCode="0.0%" sourceLinked="1"/>
        <c:majorTickMark val="none"/>
        <c:tickLblPos val="nextTo"/>
        <c:crossAx val="85552128"/>
        <c:crosses val="autoZero"/>
        <c:crossBetween val="between"/>
      </c:valAx>
    </c:plotArea>
    <c:legend>
      <c:legendPos val="r"/>
      <c:legendEntry>
        <c:idx val="0"/>
        <c:delete val="1"/>
      </c:legendEntry>
      <c:layout>
        <c:manualLayout>
          <c:xMode val="edge"/>
          <c:yMode val="edge"/>
          <c:x val="0.13048920311137052"/>
          <c:y val="0.15945994149304929"/>
          <c:w val="0.18104677462367832"/>
          <c:h val="0.1401162206509684"/>
        </c:manualLayout>
      </c:layout>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QOF achievement against</a:t>
            </a:r>
            <a:r>
              <a:rPr lang="en-GB" baseline="0"/>
              <a:t> emergency admission rate by GP practice in Wandsworth</a:t>
            </a:r>
            <a:endParaRPr lang="en-GB"/>
          </a:p>
        </c:rich>
      </c:tx>
    </c:title>
    <c:plotArea>
      <c:layout/>
      <c:scatterChart>
        <c:scatterStyle val="lineMarker"/>
        <c:ser>
          <c:idx val="0"/>
          <c:order val="0"/>
          <c:spPr>
            <a:ln w="28575">
              <a:noFill/>
            </a:ln>
          </c:spPr>
          <c:trendline>
            <c:trendlineType val="linear"/>
          </c:trendline>
          <c:trendline>
            <c:trendlineType val="linear"/>
          </c:trendline>
          <c:xVal>
            <c:numRef>
              <c:f>'IMD FEV'!$M$6:$M$52</c:f>
              <c:numCache>
                <c:formatCode>0.0%</c:formatCode>
                <c:ptCount val="47"/>
                <c:pt idx="0">
                  <c:v>3.5561811327934261</c:v>
                </c:pt>
                <c:pt idx="1">
                  <c:v>3.8036319017410292</c:v>
                </c:pt>
                <c:pt idx="2">
                  <c:v>3.6424605846405029</c:v>
                </c:pt>
                <c:pt idx="3">
                  <c:v>3.4770531058311427</c:v>
                </c:pt>
                <c:pt idx="4">
                  <c:v>2.9148551821708422</c:v>
                </c:pt>
                <c:pt idx="5">
                  <c:v>3.4455761909484837</c:v>
                </c:pt>
                <c:pt idx="6">
                  <c:v>3.5027725100517269</c:v>
                </c:pt>
                <c:pt idx="7">
                  <c:v>3.2001332044601623</c:v>
                </c:pt>
                <c:pt idx="8">
                  <c:v>3.397069215774537</c:v>
                </c:pt>
                <c:pt idx="9">
                  <c:v>2.9604456126689827</c:v>
                </c:pt>
                <c:pt idx="10">
                  <c:v>3.4936989545822148</c:v>
                </c:pt>
                <c:pt idx="11">
                  <c:v>3.7438740730285653</c:v>
                </c:pt>
                <c:pt idx="12">
                  <c:v>2.0525929927825932</c:v>
                </c:pt>
                <c:pt idx="13">
                  <c:v>3.4669981598854061</c:v>
                </c:pt>
                <c:pt idx="14">
                  <c:v>3.6341307163238552</c:v>
                </c:pt>
                <c:pt idx="15">
                  <c:v>3.6477931737899802</c:v>
                </c:pt>
                <c:pt idx="16">
                  <c:v>3.7765138149261483</c:v>
                </c:pt>
                <c:pt idx="17">
                  <c:v>3.6328548789024402</c:v>
                </c:pt>
                <c:pt idx="18">
                  <c:v>3.7458333373069812</c:v>
                </c:pt>
                <c:pt idx="19">
                  <c:v>3.7624276280403288</c:v>
                </c:pt>
                <c:pt idx="20">
                  <c:v>3.3981653451919551</c:v>
                </c:pt>
                <c:pt idx="21">
                  <c:v>3.6100718379020691</c:v>
                </c:pt>
                <c:pt idx="22">
                  <c:v>3.4611514210700989</c:v>
                </c:pt>
                <c:pt idx="23">
                  <c:v>3.4432276487350664</c:v>
                </c:pt>
                <c:pt idx="24">
                  <c:v>3.5554705262184139</c:v>
                </c:pt>
                <c:pt idx="25">
                  <c:v>3.5588893890380695</c:v>
                </c:pt>
                <c:pt idx="26">
                  <c:v>3.811965823173495</c:v>
                </c:pt>
                <c:pt idx="27">
                  <c:v>3.8005341887474327</c:v>
                </c:pt>
                <c:pt idx="28">
                  <c:v>3.7876991033554082</c:v>
                </c:pt>
                <c:pt idx="29">
                  <c:v>2.5411764979362488</c:v>
                </c:pt>
                <c:pt idx="30">
                  <c:v>3.9006493687629802</c:v>
                </c:pt>
                <c:pt idx="31">
                  <c:v>3.7367400527000418</c:v>
                </c:pt>
                <c:pt idx="32">
                  <c:v>3</c:v>
                </c:pt>
                <c:pt idx="33">
                  <c:v>3.6589317321777557</c:v>
                </c:pt>
                <c:pt idx="34">
                  <c:v>3.7636225223541282</c:v>
                </c:pt>
                <c:pt idx="35">
                  <c:v>2.3692308068275452</c:v>
                </c:pt>
                <c:pt idx="36">
                  <c:v>2.6666666865348767</c:v>
                </c:pt>
                <c:pt idx="37">
                  <c:v>3.6799999475479335</c:v>
                </c:pt>
                <c:pt idx="38">
                  <c:v>1</c:v>
                </c:pt>
                <c:pt idx="39">
                  <c:v>2.9959595501422878</c:v>
                </c:pt>
                <c:pt idx="40">
                  <c:v>1.3333333730697638</c:v>
                </c:pt>
                <c:pt idx="41">
                  <c:v>3.1212216019630432</c:v>
                </c:pt>
                <c:pt idx="42">
                  <c:v>3.7438575029373493</c:v>
                </c:pt>
                <c:pt idx="43">
                  <c:v>3</c:v>
                </c:pt>
                <c:pt idx="44">
                  <c:v>1.8629266619682321</c:v>
                </c:pt>
                <c:pt idx="45">
                  <c:v>1.5760869607329442</c:v>
                </c:pt>
                <c:pt idx="46">
                  <c:v>3.4945525527000432</c:v>
                </c:pt>
              </c:numCache>
            </c:numRef>
          </c:xVal>
          <c:yVal>
            <c:numRef>
              <c:f>'IMD FEV'!$N$6:$N$52</c:f>
              <c:numCache>
                <c:formatCode>General</c:formatCode>
                <c:ptCount val="47"/>
                <c:pt idx="0">
                  <c:v>0.5</c:v>
                </c:pt>
                <c:pt idx="1">
                  <c:v>4.5</c:v>
                </c:pt>
                <c:pt idx="2">
                  <c:v>2.9</c:v>
                </c:pt>
                <c:pt idx="3">
                  <c:v>0.70000000000000062</c:v>
                </c:pt>
                <c:pt idx="4">
                  <c:v>2.7</c:v>
                </c:pt>
                <c:pt idx="5">
                  <c:v>1.9000000000000001</c:v>
                </c:pt>
                <c:pt idx="6">
                  <c:v>1.1000000000000001</c:v>
                </c:pt>
                <c:pt idx="7">
                  <c:v>2.7</c:v>
                </c:pt>
                <c:pt idx="8">
                  <c:v>2.2999999999999998</c:v>
                </c:pt>
                <c:pt idx="9">
                  <c:v>2.5</c:v>
                </c:pt>
                <c:pt idx="10">
                  <c:v>0.9</c:v>
                </c:pt>
                <c:pt idx="11">
                  <c:v>6</c:v>
                </c:pt>
                <c:pt idx="12">
                  <c:v>3.4</c:v>
                </c:pt>
                <c:pt idx="13">
                  <c:v>2.9</c:v>
                </c:pt>
                <c:pt idx="14">
                  <c:v>2.7</c:v>
                </c:pt>
                <c:pt idx="15">
                  <c:v>3.9</c:v>
                </c:pt>
                <c:pt idx="16">
                  <c:v>1.3</c:v>
                </c:pt>
                <c:pt idx="17">
                  <c:v>2.5</c:v>
                </c:pt>
                <c:pt idx="18">
                  <c:v>1.6</c:v>
                </c:pt>
                <c:pt idx="19">
                  <c:v>3.6</c:v>
                </c:pt>
                <c:pt idx="20">
                  <c:v>1.7</c:v>
                </c:pt>
                <c:pt idx="21">
                  <c:v>1.3</c:v>
                </c:pt>
                <c:pt idx="22">
                  <c:v>1.9000000000000001</c:v>
                </c:pt>
                <c:pt idx="23">
                  <c:v>2.6</c:v>
                </c:pt>
                <c:pt idx="24">
                  <c:v>2.9</c:v>
                </c:pt>
                <c:pt idx="25">
                  <c:v>1.8</c:v>
                </c:pt>
                <c:pt idx="26">
                  <c:v>0.9</c:v>
                </c:pt>
                <c:pt idx="27">
                  <c:v>1.1000000000000001</c:v>
                </c:pt>
                <c:pt idx="28">
                  <c:v>0.30000000000000032</c:v>
                </c:pt>
                <c:pt idx="29">
                  <c:v>0.8</c:v>
                </c:pt>
                <c:pt idx="30">
                  <c:v>1.8</c:v>
                </c:pt>
                <c:pt idx="31">
                  <c:v>1.1000000000000001</c:v>
                </c:pt>
                <c:pt idx="32">
                  <c:v>5.8</c:v>
                </c:pt>
                <c:pt idx="33">
                  <c:v>3.4</c:v>
                </c:pt>
                <c:pt idx="34">
                  <c:v>2.1</c:v>
                </c:pt>
                <c:pt idx="35">
                  <c:v>0.60000000000000064</c:v>
                </c:pt>
                <c:pt idx="36">
                  <c:v>0.70000000000000062</c:v>
                </c:pt>
                <c:pt idx="37">
                  <c:v>2.9</c:v>
                </c:pt>
                <c:pt idx="38">
                  <c:v>2.2000000000000002</c:v>
                </c:pt>
                <c:pt idx="39">
                  <c:v>1.2</c:v>
                </c:pt>
                <c:pt idx="40">
                  <c:v>9.5</c:v>
                </c:pt>
                <c:pt idx="41">
                  <c:v>3.1</c:v>
                </c:pt>
                <c:pt idx="42">
                  <c:v>2.8</c:v>
                </c:pt>
                <c:pt idx="43">
                  <c:v>0</c:v>
                </c:pt>
                <c:pt idx="44">
                  <c:v>10.1</c:v>
                </c:pt>
                <c:pt idx="45">
                  <c:v>1.5</c:v>
                </c:pt>
                <c:pt idx="46">
                  <c:v>1.3</c:v>
                </c:pt>
              </c:numCache>
            </c:numRef>
          </c:yVal>
        </c:ser>
        <c:axId val="103888768"/>
        <c:axId val="103899136"/>
      </c:scatterChart>
      <c:valAx>
        <c:axId val="103888768"/>
        <c:scaling>
          <c:orientation val="minMax"/>
          <c:max val="4"/>
        </c:scaling>
        <c:axPos val="b"/>
        <c:title>
          <c:tx>
            <c:rich>
              <a:bodyPr/>
              <a:lstStyle/>
              <a:p>
                <a:pPr>
                  <a:defRPr/>
                </a:pPr>
                <a:r>
                  <a:rPr lang="en-US"/>
                  <a:t>Aggregated score of QOF achievement for COPD indicators</a:t>
                </a:r>
              </a:p>
            </c:rich>
          </c:tx>
        </c:title>
        <c:numFmt formatCode="0.0%" sourceLinked="1"/>
        <c:tickLblPos val="nextTo"/>
        <c:crossAx val="103899136"/>
        <c:crosses val="autoZero"/>
        <c:crossBetween val="midCat"/>
      </c:valAx>
      <c:valAx>
        <c:axId val="103899136"/>
        <c:scaling>
          <c:orientation val="minMax"/>
        </c:scaling>
        <c:axPos val="l"/>
        <c:majorGridlines/>
        <c:title>
          <c:tx>
            <c:rich>
              <a:bodyPr rot="-5400000" vert="horz"/>
              <a:lstStyle/>
              <a:p>
                <a:pPr>
                  <a:defRPr/>
                </a:pPr>
                <a:r>
                  <a:rPr lang="en-US"/>
                  <a:t>Emergency COPD admission rate per 1,000</a:t>
                </a:r>
              </a:p>
            </c:rich>
          </c:tx>
        </c:title>
        <c:numFmt formatCode="General" sourceLinked="1"/>
        <c:tickLblPos val="nextTo"/>
        <c:crossAx val="103888768"/>
        <c:crosses val="autoZero"/>
        <c:crossBetween val="midCat"/>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Deprivation level against emergency admission rates for COPD patients by GP practice in Wandsworth</a:t>
            </a:r>
          </a:p>
        </c:rich>
      </c:tx>
    </c:title>
    <c:plotArea>
      <c:layout/>
      <c:scatterChart>
        <c:scatterStyle val="lineMarker"/>
        <c:ser>
          <c:idx val="0"/>
          <c:order val="0"/>
          <c:spPr>
            <a:ln w="28575">
              <a:noFill/>
            </a:ln>
          </c:spPr>
          <c:trendline>
            <c:trendlineType val="linear"/>
          </c:trendline>
          <c:trendline>
            <c:trendlineType val="linear"/>
            <c:dispRSqr val="1"/>
            <c:trendlineLbl>
              <c:layout>
                <c:manualLayout>
                  <c:x val="3.2916268161987242E-3"/>
                  <c:y val="-0.26284467250582488"/>
                </c:manualLayout>
              </c:layout>
              <c:numFmt formatCode="General" sourceLinked="0"/>
            </c:trendlineLbl>
          </c:trendline>
          <c:xVal>
            <c:numRef>
              <c:f>'IMD FEV'!$R$6:$R$52</c:f>
              <c:numCache>
                <c:formatCode>0.0</c:formatCode>
                <c:ptCount val="47"/>
                <c:pt idx="0">
                  <c:v>17.997701327826988</c:v>
                </c:pt>
                <c:pt idx="1">
                  <c:v>28.662284684961271</c:v>
                </c:pt>
                <c:pt idx="2">
                  <c:v>28.50643641874802</c:v>
                </c:pt>
                <c:pt idx="3">
                  <c:v>13.337466393744172</c:v>
                </c:pt>
                <c:pt idx="4">
                  <c:v>19.927069187860418</c:v>
                </c:pt>
                <c:pt idx="5">
                  <c:v>27.524944141003658</c:v>
                </c:pt>
                <c:pt idx="6">
                  <c:v>10.593536727680855</c:v>
                </c:pt>
                <c:pt idx="7">
                  <c:v>25.532779630707587</c:v>
                </c:pt>
                <c:pt idx="8">
                  <c:v>20.912186469016877</c:v>
                </c:pt>
                <c:pt idx="9">
                  <c:v>19.857099238584222</c:v>
                </c:pt>
                <c:pt idx="10">
                  <c:v>15.593893216605261</c:v>
                </c:pt>
                <c:pt idx="11">
                  <c:v>21.045059224344627</c:v>
                </c:pt>
                <c:pt idx="12">
                  <c:v>18.287665450741152</c:v>
                </c:pt>
                <c:pt idx="13">
                  <c:v>24.161087055969585</c:v>
                </c:pt>
                <c:pt idx="14">
                  <c:v>26.414870268542114</c:v>
                </c:pt>
                <c:pt idx="15">
                  <c:v>18.818128199073765</c:v>
                </c:pt>
                <c:pt idx="16">
                  <c:v>14.268707449970693</c:v>
                </c:pt>
                <c:pt idx="17">
                  <c:v>24.576206383493627</c:v>
                </c:pt>
                <c:pt idx="18">
                  <c:v>19.84952472790269</c:v>
                </c:pt>
                <c:pt idx="19">
                  <c:v>11.353885574617765</c:v>
                </c:pt>
                <c:pt idx="20">
                  <c:v>13.687098700245715</c:v>
                </c:pt>
                <c:pt idx="21">
                  <c:v>30.102613177648685</c:v>
                </c:pt>
                <c:pt idx="22">
                  <c:v>17.239747570268882</c:v>
                </c:pt>
                <c:pt idx="23">
                  <c:v>30.410705850828414</c:v>
                </c:pt>
                <c:pt idx="24">
                  <c:v>21.688155038934674</c:v>
                </c:pt>
                <c:pt idx="25">
                  <c:v>20.763661659489763</c:v>
                </c:pt>
                <c:pt idx="26">
                  <c:v>18.24501835387521</c:v>
                </c:pt>
                <c:pt idx="27">
                  <c:v>18.96282162088897</c:v>
                </c:pt>
                <c:pt idx="28">
                  <c:v>23.916019333317344</c:v>
                </c:pt>
                <c:pt idx="29">
                  <c:v>25.884969318229349</c:v>
                </c:pt>
                <c:pt idx="30">
                  <c:v>19.426292748764041</c:v>
                </c:pt>
                <c:pt idx="32">
                  <c:v>33.861407137857896</c:v>
                </c:pt>
                <c:pt idx="33">
                  <c:v>11.519968979570098</c:v>
                </c:pt>
                <c:pt idx="34">
                  <c:v>26.855756048172214</c:v>
                </c:pt>
                <c:pt idx="35">
                  <c:v>17.159383259289005</c:v>
                </c:pt>
                <c:pt idx="36">
                  <c:v>21.410431952812068</c:v>
                </c:pt>
                <c:pt idx="37">
                  <c:v>19.17147064675909</c:v>
                </c:pt>
                <c:pt idx="38">
                  <c:v>19.04465322755766</c:v>
                </c:pt>
                <c:pt idx="39">
                  <c:v>22.323008570928927</c:v>
                </c:pt>
                <c:pt idx="40">
                  <c:v>21.698672424930919</c:v>
                </c:pt>
                <c:pt idx="41">
                  <c:v>21.397277471709685</c:v>
                </c:pt>
                <c:pt idx="42">
                  <c:v>23.833397123671951</c:v>
                </c:pt>
                <c:pt idx="43">
                  <c:v>21.988170883426886</c:v>
                </c:pt>
                <c:pt idx="44">
                  <c:v>23.68512195093151</c:v>
                </c:pt>
                <c:pt idx="45">
                  <c:v>25.86962200600561</c:v>
                </c:pt>
                <c:pt idx="46">
                  <c:v>17.921202001008322</c:v>
                </c:pt>
              </c:numCache>
            </c:numRef>
          </c:xVal>
          <c:yVal>
            <c:numRef>
              <c:f>'IMD FEV'!$S$6:$S$52</c:f>
              <c:numCache>
                <c:formatCode>General</c:formatCode>
                <c:ptCount val="47"/>
                <c:pt idx="0">
                  <c:v>0.5</c:v>
                </c:pt>
                <c:pt idx="1">
                  <c:v>4.5</c:v>
                </c:pt>
                <c:pt idx="2">
                  <c:v>2.9</c:v>
                </c:pt>
                <c:pt idx="3">
                  <c:v>0.70000000000000062</c:v>
                </c:pt>
                <c:pt idx="4">
                  <c:v>2.7</c:v>
                </c:pt>
                <c:pt idx="5">
                  <c:v>1.9000000000000001</c:v>
                </c:pt>
                <c:pt idx="6">
                  <c:v>1.1000000000000001</c:v>
                </c:pt>
                <c:pt idx="7">
                  <c:v>2.7</c:v>
                </c:pt>
                <c:pt idx="8">
                  <c:v>2.2999999999999998</c:v>
                </c:pt>
                <c:pt idx="9">
                  <c:v>2.5</c:v>
                </c:pt>
                <c:pt idx="10">
                  <c:v>0.9</c:v>
                </c:pt>
                <c:pt idx="11">
                  <c:v>6</c:v>
                </c:pt>
                <c:pt idx="12">
                  <c:v>3.4</c:v>
                </c:pt>
                <c:pt idx="13">
                  <c:v>2.9</c:v>
                </c:pt>
                <c:pt idx="14">
                  <c:v>2.7</c:v>
                </c:pt>
                <c:pt idx="15">
                  <c:v>3.9</c:v>
                </c:pt>
                <c:pt idx="16">
                  <c:v>1.3</c:v>
                </c:pt>
                <c:pt idx="17">
                  <c:v>2.5</c:v>
                </c:pt>
                <c:pt idx="18">
                  <c:v>1.6</c:v>
                </c:pt>
                <c:pt idx="19">
                  <c:v>3.6</c:v>
                </c:pt>
                <c:pt idx="20">
                  <c:v>1.7</c:v>
                </c:pt>
                <c:pt idx="21">
                  <c:v>1.3</c:v>
                </c:pt>
                <c:pt idx="22">
                  <c:v>1.9000000000000001</c:v>
                </c:pt>
                <c:pt idx="23">
                  <c:v>2.6</c:v>
                </c:pt>
                <c:pt idx="24">
                  <c:v>2.9</c:v>
                </c:pt>
                <c:pt idx="25">
                  <c:v>1.8</c:v>
                </c:pt>
                <c:pt idx="26">
                  <c:v>0.9</c:v>
                </c:pt>
                <c:pt idx="27">
                  <c:v>1.1000000000000001</c:v>
                </c:pt>
                <c:pt idx="28">
                  <c:v>0.30000000000000032</c:v>
                </c:pt>
                <c:pt idx="29">
                  <c:v>0.8</c:v>
                </c:pt>
                <c:pt idx="30">
                  <c:v>1.8</c:v>
                </c:pt>
                <c:pt idx="31">
                  <c:v>1.1000000000000001</c:v>
                </c:pt>
                <c:pt idx="32">
                  <c:v>5.8</c:v>
                </c:pt>
                <c:pt idx="33">
                  <c:v>3.4</c:v>
                </c:pt>
                <c:pt idx="34">
                  <c:v>2.1</c:v>
                </c:pt>
                <c:pt idx="35">
                  <c:v>0.60000000000000064</c:v>
                </c:pt>
                <c:pt idx="36">
                  <c:v>0.70000000000000062</c:v>
                </c:pt>
                <c:pt idx="37">
                  <c:v>2.9</c:v>
                </c:pt>
                <c:pt idx="38">
                  <c:v>2.2000000000000002</c:v>
                </c:pt>
                <c:pt idx="39">
                  <c:v>1.2</c:v>
                </c:pt>
                <c:pt idx="40">
                  <c:v>9.5</c:v>
                </c:pt>
                <c:pt idx="41">
                  <c:v>3.1</c:v>
                </c:pt>
                <c:pt idx="42">
                  <c:v>2.8</c:v>
                </c:pt>
                <c:pt idx="43">
                  <c:v>0</c:v>
                </c:pt>
                <c:pt idx="44">
                  <c:v>10.1</c:v>
                </c:pt>
                <c:pt idx="45">
                  <c:v>1.5</c:v>
                </c:pt>
                <c:pt idx="46">
                  <c:v>1.3</c:v>
                </c:pt>
              </c:numCache>
            </c:numRef>
          </c:yVal>
        </c:ser>
        <c:axId val="103926784"/>
        <c:axId val="103933056"/>
      </c:scatterChart>
      <c:valAx>
        <c:axId val="103926784"/>
        <c:scaling>
          <c:orientation val="minMax"/>
        </c:scaling>
        <c:axPos val="b"/>
        <c:title>
          <c:tx>
            <c:rich>
              <a:bodyPr/>
              <a:lstStyle/>
              <a:p>
                <a:pPr>
                  <a:defRPr/>
                </a:pPr>
                <a:r>
                  <a:rPr lang="en-US"/>
                  <a:t>Index of Multiple Deprivation</a:t>
                </a:r>
              </a:p>
            </c:rich>
          </c:tx>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3933056"/>
        <c:crosses val="autoZero"/>
        <c:crossBetween val="midCat"/>
      </c:valAx>
      <c:valAx>
        <c:axId val="103933056"/>
        <c:scaling>
          <c:orientation val="minMax"/>
        </c:scaling>
        <c:axPos val="l"/>
        <c:majorGridlines/>
        <c:title>
          <c:tx>
            <c:rich>
              <a:bodyPr rot="-5400000" vert="horz"/>
              <a:lstStyle/>
              <a:p>
                <a:pPr>
                  <a:defRPr/>
                </a:pPr>
                <a:r>
                  <a:rPr lang="en-US"/>
                  <a:t>Emergency COPD admission rate per 1,000</a:t>
                </a:r>
              </a:p>
            </c:rich>
          </c:tx>
        </c:title>
        <c:numFmt formatCode="General" sourceLinked="1"/>
        <c:tickLblPos val="nextTo"/>
        <c:crossAx val="103926784"/>
        <c:crosses val="autoZero"/>
        <c:crossBetween val="midCat"/>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Average Length of Stay</a:t>
            </a:r>
            <a:r>
              <a:rPr lang="en-US" baseline="0"/>
              <a:t> for Emergency COPD admissions in London PCTs </a:t>
            </a:r>
          </a:p>
          <a:p>
            <a:pPr>
              <a:defRPr/>
            </a:pPr>
            <a:r>
              <a:rPr lang="en-US" baseline="0"/>
              <a:t>2008/9</a:t>
            </a:r>
            <a:endParaRPr lang="en-US"/>
          </a:p>
        </c:rich>
      </c:tx>
    </c:title>
    <c:plotArea>
      <c:layout>
        <c:manualLayout>
          <c:layoutTarget val="inner"/>
          <c:xMode val="edge"/>
          <c:yMode val="edge"/>
          <c:x val="0.10391661752864272"/>
          <c:y val="0.18897062495329522"/>
          <c:w val="0.87148361960195031"/>
          <c:h val="0.47725517223304981"/>
        </c:manualLayout>
      </c:layout>
      <c:barChart>
        <c:barDir val="col"/>
        <c:grouping val="clustered"/>
        <c:ser>
          <c:idx val="0"/>
          <c:order val="0"/>
          <c:dPt>
            <c:idx val="27"/>
            <c:spPr>
              <a:solidFill>
                <a:schemeClr val="accent2">
                  <a:lumMod val="75000"/>
                </a:schemeClr>
              </a:solidFill>
            </c:spPr>
          </c:dPt>
          <c:errBars>
            <c:errBarType val="both"/>
            <c:errValType val="cust"/>
            <c:plus>
              <c:numRef>
                <c:f>Sheet1!$H$2:$H$32</c:f>
                <c:numCache>
                  <c:formatCode>General</c:formatCode>
                  <c:ptCount val="31"/>
                  <c:pt idx="0">
                    <c:v>0.20000000000000021</c:v>
                  </c:pt>
                  <c:pt idx="1">
                    <c:v>0.20000000000000021</c:v>
                  </c:pt>
                  <c:pt idx="2">
                    <c:v>0.20000000000000021</c:v>
                  </c:pt>
                  <c:pt idx="3">
                    <c:v>0.30000000000000032</c:v>
                  </c:pt>
                  <c:pt idx="4">
                    <c:v>0.20000000000000021</c:v>
                  </c:pt>
                  <c:pt idx="5">
                    <c:v>0.30000000000000082</c:v>
                  </c:pt>
                  <c:pt idx="6">
                    <c:v>0.20000000000000021</c:v>
                  </c:pt>
                  <c:pt idx="7">
                    <c:v>0.2</c:v>
                  </c:pt>
                  <c:pt idx="8">
                    <c:v>0.30000000000000032</c:v>
                  </c:pt>
                  <c:pt idx="9">
                    <c:v>0.20000000000000021</c:v>
                  </c:pt>
                  <c:pt idx="10">
                    <c:v>0.30000000000000032</c:v>
                  </c:pt>
                  <c:pt idx="11">
                    <c:v>0.30000000000000082</c:v>
                  </c:pt>
                  <c:pt idx="12">
                    <c:v>0.20000000000000021</c:v>
                  </c:pt>
                  <c:pt idx="13">
                    <c:v>0.40000000000000036</c:v>
                  </c:pt>
                  <c:pt idx="14">
                    <c:v>0.30000000000000082</c:v>
                  </c:pt>
                  <c:pt idx="15">
                    <c:v>0.30000000000000032</c:v>
                  </c:pt>
                  <c:pt idx="16">
                    <c:v>0.30000000000000032</c:v>
                  </c:pt>
                  <c:pt idx="17">
                    <c:v>0.20000000000000021</c:v>
                  </c:pt>
                  <c:pt idx="18">
                    <c:v>0.2</c:v>
                  </c:pt>
                  <c:pt idx="19">
                    <c:v>0.40000000000000008</c:v>
                  </c:pt>
                  <c:pt idx="20">
                    <c:v>0.20000000000000021</c:v>
                  </c:pt>
                  <c:pt idx="21">
                    <c:v>0.30000000000000032</c:v>
                  </c:pt>
                  <c:pt idx="22">
                    <c:v>0.30000000000000032</c:v>
                  </c:pt>
                  <c:pt idx="23">
                    <c:v>0.2</c:v>
                  </c:pt>
                  <c:pt idx="24">
                    <c:v>0.20000000000000109</c:v>
                  </c:pt>
                  <c:pt idx="25">
                    <c:v>0.20000000000000109</c:v>
                  </c:pt>
                  <c:pt idx="26">
                    <c:v>0.30000000000000082</c:v>
                  </c:pt>
                  <c:pt idx="27">
                    <c:v>0.30000000000000082</c:v>
                  </c:pt>
                  <c:pt idx="28">
                    <c:v>0.30000000000000082</c:v>
                  </c:pt>
                  <c:pt idx="29">
                    <c:v>0.40000000000000008</c:v>
                  </c:pt>
                  <c:pt idx="30">
                    <c:v>0.30000000000000082</c:v>
                  </c:pt>
                </c:numCache>
              </c:numRef>
            </c:plus>
            <c:minus>
              <c:numRef>
                <c:f>Sheet1!$I$2:$I$33</c:f>
                <c:numCache>
                  <c:formatCode>General</c:formatCode>
                  <c:ptCount val="32"/>
                  <c:pt idx="0">
                    <c:v>0.20000000000000021</c:v>
                  </c:pt>
                  <c:pt idx="1">
                    <c:v>0.2</c:v>
                  </c:pt>
                  <c:pt idx="2">
                    <c:v>0.30000000000000032</c:v>
                  </c:pt>
                  <c:pt idx="3">
                    <c:v>0.20000000000000021</c:v>
                  </c:pt>
                  <c:pt idx="4">
                    <c:v>0.30000000000000032</c:v>
                  </c:pt>
                  <c:pt idx="5">
                    <c:v>0.30000000000000032</c:v>
                  </c:pt>
                  <c:pt idx="6">
                    <c:v>0.20000000000000021</c:v>
                  </c:pt>
                  <c:pt idx="7">
                    <c:v>0.20000000000000021</c:v>
                  </c:pt>
                  <c:pt idx="8">
                    <c:v>0.30000000000000032</c:v>
                  </c:pt>
                  <c:pt idx="9">
                    <c:v>0.20000000000000021</c:v>
                  </c:pt>
                  <c:pt idx="10">
                    <c:v>0.20000000000000021</c:v>
                  </c:pt>
                  <c:pt idx="11">
                    <c:v>0.30000000000000032</c:v>
                  </c:pt>
                  <c:pt idx="12">
                    <c:v>0.2</c:v>
                  </c:pt>
                  <c:pt idx="13">
                    <c:v>0.30000000000000032</c:v>
                  </c:pt>
                  <c:pt idx="14">
                    <c:v>0.2</c:v>
                  </c:pt>
                  <c:pt idx="15">
                    <c:v>0.30000000000000032</c:v>
                  </c:pt>
                  <c:pt idx="16">
                    <c:v>0.20000000000000021</c:v>
                  </c:pt>
                  <c:pt idx="17">
                    <c:v>0.30000000000000032</c:v>
                  </c:pt>
                  <c:pt idx="18">
                    <c:v>0.30000000000000082</c:v>
                  </c:pt>
                  <c:pt idx="19">
                    <c:v>0.30000000000000082</c:v>
                  </c:pt>
                  <c:pt idx="20">
                    <c:v>0.20000000000000021</c:v>
                  </c:pt>
                  <c:pt idx="21">
                    <c:v>0.30000000000000032</c:v>
                  </c:pt>
                  <c:pt idx="22">
                    <c:v>0.30000000000000032</c:v>
                  </c:pt>
                  <c:pt idx="23">
                    <c:v>0.30000000000000082</c:v>
                  </c:pt>
                  <c:pt idx="24">
                    <c:v>0.30000000000000032</c:v>
                  </c:pt>
                  <c:pt idx="25">
                    <c:v>0.30000000000000032</c:v>
                  </c:pt>
                  <c:pt idx="26">
                    <c:v>0.30000000000000032</c:v>
                  </c:pt>
                  <c:pt idx="27">
                    <c:v>0.2</c:v>
                  </c:pt>
                  <c:pt idx="28">
                    <c:v>0.2</c:v>
                  </c:pt>
                  <c:pt idx="29">
                    <c:v>0.40000000000000036</c:v>
                  </c:pt>
                  <c:pt idx="30">
                    <c:v>0.40000000000000036</c:v>
                  </c:pt>
                </c:numCache>
              </c:numRef>
            </c:minus>
          </c:errBars>
          <c:cat>
            <c:strRef>
              <c:f>Sheet1!$C$2:$C$32</c:f>
              <c:strCache>
                <c:ptCount val="31"/>
                <c:pt idx="0">
                  <c:v>Newham PCT</c:v>
                </c:pt>
                <c:pt idx="1">
                  <c:v>Hillingdon PCT</c:v>
                </c:pt>
                <c:pt idx="2">
                  <c:v>Brent Teaching PCT</c:v>
                </c:pt>
                <c:pt idx="3">
                  <c:v>Hounslow PCT</c:v>
                </c:pt>
                <c:pt idx="4">
                  <c:v>Ealing PCT</c:v>
                </c:pt>
                <c:pt idx="5">
                  <c:v>Harrow PCT</c:v>
                </c:pt>
                <c:pt idx="6">
                  <c:v>Barnet PCT</c:v>
                </c:pt>
                <c:pt idx="7">
                  <c:v>Greenwich Teaching PCT</c:v>
                </c:pt>
                <c:pt idx="8">
                  <c:v>Lambeth PCT</c:v>
                </c:pt>
                <c:pt idx="9">
                  <c:v>Barking and Dagenham PCT</c:v>
                </c:pt>
                <c:pt idx="10">
                  <c:v>Havering PCT</c:v>
                </c:pt>
                <c:pt idx="11">
                  <c:v>Redbridge PCT</c:v>
                </c:pt>
                <c:pt idx="12">
                  <c:v>Bromley PCT</c:v>
                </c:pt>
                <c:pt idx="13">
                  <c:v>Richmond and Twickenham PCT</c:v>
                </c:pt>
                <c:pt idx="14">
                  <c:v>Bexley CT</c:v>
                </c:pt>
                <c:pt idx="15">
                  <c:v>Hammersmith and Fulham PCT</c:v>
                </c:pt>
                <c:pt idx="16">
                  <c:v>Lewisham PCT</c:v>
                </c:pt>
                <c:pt idx="17">
                  <c:v>Waltham Forest PCT</c:v>
                </c:pt>
                <c:pt idx="18">
                  <c:v>Southwark PCT</c:v>
                </c:pt>
                <c:pt idx="19">
                  <c:v>Kensington and Chelsea PCT</c:v>
                </c:pt>
                <c:pt idx="20">
                  <c:v>Sutton and Merton PCT</c:v>
                </c:pt>
                <c:pt idx="21">
                  <c:v>Westminster PCT</c:v>
                </c:pt>
                <c:pt idx="22">
                  <c:v>Enfield PCT</c:v>
                </c:pt>
                <c:pt idx="23">
                  <c:v>Camden PCT</c:v>
                </c:pt>
                <c:pt idx="24">
                  <c:v>Islington PCT</c:v>
                </c:pt>
                <c:pt idx="25">
                  <c:v>Croydon PCT</c:v>
                </c:pt>
                <c:pt idx="26">
                  <c:v>Haringey Teaching PCT</c:v>
                </c:pt>
                <c:pt idx="27">
                  <c:v>Wandsworth PCT</c:v>
                </c:pt>
                <c:pt idx="28">
                  <c:v>Tower Hamlets PCT</c:v>
                </c:pt>
                <c:pt idx="29">
                  <c:v>Kingston PCT</c:v>
                </c:pt>
                <c:pt idx="30">
                  <c:v>City and Hackney Teaching PCT</c:v>
                </c:pt>
              </c:strCache>
            </c:strRef>
          </c:cat>
          <c:val>
            <c:numRef>
              <c:f>Sheet1!$D$2:$D$32</c:f>
              <c:numCache>
                <c:formatCode>General</c:formatCode>
                <c:ptCount val="31"/>
                <c:pt idx="0">
                  <c:v>5.5</c:v>
                </c:pt>
                <c:pt idx="1">
                  <c:v>5.6</c:v>
                </c:pt>
                <c:pt idx="2">
                  <c:v>6</c:v>
                </c:pt>
                <c:pt idx="3">
                  <c:v>6</c:v>
                </c:pt>
                <c:pt idx="4">
                  <c:v>6.6</c:v>
                </c:pt>
                <c:pt idx="5">
                  <c:v>6.6</c:v>
                </c:pt>
                <c:pt idx="6">
                  <c:v>6.7</c:v>
                </c:pt>
                <c:pt idx="7">
                  <c:v>6.9</c:v>
                </c:pt>
                <c:pt idx="8">
                  <c:v>7</c:v>
                </c:pt>
                <c:pt idx="9">
                  <c:v>7</c:v>
                </c:pt>
                <c:pt idx="10">
                  <c:v>7</c:v>
                </c:pt>
                <c:pt idx="11">
                  <c:v>7.1</c:v>
                </c:pt>
                <c:pt idx="12">
                  <c:v>7.1</c:v>
                </c:pt>
                <c:pt idx="13">
                  <c:v>7.1</c:v>
                </c:pt>
                <c:pt idx="14">
                  <c:v>7.1</c:v>
                </c:pt>
                <c:pt idx="15">
                  <c:v>7.2</c:v>
                </c:pt>
                <c:pt idx="16">
                  <c:v>7.2</c:v>
                </c:pt>
                <c:pt idx="17">
                  <c:v>7.3</c:v>
                </c:pt>
                <c:pt idx="18">
                  <c:v>7.4</c:v>
                </c:pt>
                <c:pt idx="19">
                  <c:v>7.4</c:v>
                </c:pt>
                <c:pt idx="20">
                  <c:v>7.5</c:v>
                </c:pt>
                <c:pt idx="21">
                  <c:v>7.7</c:v>
                </c:pt>
                <c:pt idx="22">
                  <c:v>7.8</c:v>
                </c:pt>
                <c:pt idx="23">
                  <c:v>7.9</c:v>
                </c:pt>
                <c:pt idx="24">
                  <c:v>8.1</c:v>
                </c:pt>
                <c:pt idx="25">
                  <c:v>8.1</c:v>
                </c:pt>
                <c:pt idx="26">
                  <c:v>8.1</c:v>
                </c:pt>
                <c:pt idx="27">
                  <c:v>8.2000000000000011</c:v>
                </c:pt>
                <c:pt idx="28">
                  <c:v>8.5</c:v>
                </c:pt>
                <c:pt idx="29">
                  <c:v>8.8000000000000007</c:v>
                </c:pt>
                <c:pt idx="30">
                  <c:v>9</c:v>
                </c:pt>
              </c:numCache>
            </c:numRef>
          </c:val>
        </c:ser>
        <c:axId val="104449536"/>
        <c:axId val="104451072"/>
      </c:barChart>
      <c:lineChart>
        <c:grouping val="standard"/>
        <c:ser>
          <c:idx val="1"/>
          <c:order val="1"/>
          <c:tx>
            <c:v>London Average</c:v>
          </c:tx>
          <c:marker>
            <c:symbol val="none"/>
          </c:marker>
          <c:cat>
            <c:strRef>
              <c:f>Sheet1!$C$2:$C$32</c:f>
              <c:strCache>
                <c:ptCount val="31"/>
                <c:pt idx="0">
                  <c:v>Newham PCT</c:v>
                </c:pt>
                <c:pt idx="1">
                  <c:v>Hillingdon PCT</c:v>
                </c:pt>
                <c:pt idx="2">
                  <c:v>Brent Teaching PCT</c:v>
                </c:pt>
                <c:pt idx="3">
                  <c:v>Hounslow PCT</c:v>
                </c:pt>
                <c:pt idx="4">
                  <c:v>Ealing PCT</c:v>
                </c:pt>
                <c:pt idx="5">
                  <c:v>Harrow PCT</c:v>
                </c:pt>
                <c:pt idx="6">
                  <c:v>Barnet PCT</c:v>
                </c:pt>
                <c:pt idx="7">
                  <c:v>Greenwich Teaching PCT</c:v>
                </c:pt>
                <c:pt idx="8">
                  <c:v>Lambeth PCT</c:v>
                </c:pt>
                <c:pt idx="9">
                  <c:v>Barking and Dagenham PCT</c:v>
                </c:pt>
                <c:pt idx="10">
                  <c:v>Havering PCT</c:v>
                </c:pt>
                <c:pt idx="11">
                  <c:v>Redbridge PCT</c:v>
                </c:pt>
                <c:pt idx="12">
                  <c:v>Bromley PCT</c:v>
                </c:pt>
                <c:pt idx="13">
                  <c:v>Richmond and Twickenham PCT</c:v>
                </c:pt>
                <c:pt idx="14">
                  <c:v>Bexley CT</c:v>
                </c:pt>
                <c:pt idx="15">
                  <c:v>Hammersmith and Fulham PCT</c:v>
                </c:pt>
                <c:pt idx="16">
                  <c:v>Lewisham PCT</c:v>
                </c:pt>
                <c:pt idx="17">
                  <c:v>Waltham Forest PCT</c:v>
                </c:pt>
                <c:pt idx="18">
                  <c:v>Southwark PCT</c:v>
                </c:pt>
                <c:pt idx="19">
                  <c:v>Kensington and Chelsea PCT</c:v>
                </c:pt>
                <c:pt idx="20">
                  <c:v>Sutton and Merton PCT</c:v>
                </c:pt>
                <c:pt idx="21">
                  <c:v>Westminster PCT</c:v>
                </c:pt>
                <c:pt idx="22">
                  <c:v>Enfield PCT</c:v>
                </c:pt>
                <c:pt idx="23">
                  <c:v>Camden PCT</c:v>
                </c:pt>
                <c:pt idx="24">
                  <c:v>Islington PCT</c:v>
                </c:pt>
                <c:pt idx="25">
                  <c:v>Croydon PCT</c:v>
                </c:pt>
                <c:pt idx="26">
                  <c:v>Haringey Teaching PCT</c:v>
                </c:pt>
                <c:pt idx="27">
                  <c:v>Wandsworth PCT</c:v>
                </c:pt>
                <c:pt idx="28">
                  <c:v>Tower Hamlets PCT</c:v>
                </c:pt>
                <c:pt idx="29">
                  <c:v>Kingston PCT</c:v>
                </c:pt>
                <c:pt idx="30">
                  <c:v>City and Hackney Teaching PCT</c:v>
                </c:pt>
              </c:strCache>
            </c:strRef>
          </c:cat>
          <c:val>
            <c:numRef>
              <c:f>Sheet1!$E$2:$E$32</c:f>
              <c:numCache>
                <c:formatCode>General</c:formatCode>
                <c:ptCount val="31"/>
                <c:pt idx="0">
                  <c:v>7.2</c:v>
                </c:pt>
                <c:pt idx="1">
                  <c:v>7.2</c:v>
                </c:pt>
                <c:pt idx="2">
                  <c:v>7.2</c:v>
                </c:pt>
                <c:pt idx="3">
                  <c:v>7.2</c:v>
                </c:pt>
                <c:pt idx="4">
                  <c:v>7.2</c:v>
                </c:pt>
                <c:pt idx="5">
                  <c:v>7.2</c:v>
                </c:pt>
                <c:pt idx="6">
                  <c:v>7.2</c:v>
                </c:pt>
                <c:pt idx="7">
                  <c:v>7.2</c:v>
                </c:pt>
                <c:pt idx="8">
                  <c:v>7.2</c:v>
                </c:pt>
                <c:pt idx="9">
                  <c:v>7.2</c:v>
                </c:pt>
                <c:pt idx="10">
                  <c:v>7.2</c:v>
                </c:pt>
                <c:pt idx="11">
                  <c:v>7.2</c:v>
                </c:pt>
                <c:pt idx="12">
                  <c:v>7.2</c:v>
                </c:pt>
                <c:pt idx="13">
                  <c:v>7.2</c:v>
                </c:pt>
                <c:pt idx="14">
                  <c:v>7.2</c:v>
                </c:pt>
                <c:pt idx="15">
                  <c:v>7.2</c:v>
                </c:pt>
                <c:pt idx="16">
                  <c:v>7.2</c:v>
                </c:pt>
                <c:pt idx="17">
                  <c:v>7.2</c:v>
                </c:pt>
                <c:pt idx="18">
                  <c:v>7.2</c:v>
                </c:pt>
                <c:pt idx="19">
                  <c:v>7.2</c:v>
                </c:pt>
                <c:pt idx="20">
                  <c:v>7.2</c:v>
                </c:pt>
                <c:pt idx="21">
                  <c:v>7.2</c:v>
                </c:pt>
                <c:pt idx="22">
                  <c:v>7.2</c:v>
                </c:pt>
                <c:pt idx="23">
                  <c:v>7.2</c:v>
                </c:pt>
                <c:pt idx="24">
                  <c:v>7.2</c:v>
                </c:pt>
                <c:pt idx="25">
                  <c:v>7.2</c:v>
                </c:pt>
                <c:pt idx="26">
                  <c:v>7.2</c:v>
                </c:pt>
                <c:pt idx="27">
                  <c:v>7.2</c:v>
                </c:pt>
                <c:pt idx="28">
                  <c:v>7.2</c:v>
                </c:pt>
                <c:pt idx="29">
                  <c:v>7.2</c:v>
                </c:pt>
                <c:pt idx="30">
                  <c:v>7.2</c:v>
                </c:pt>
              </c:numCache>
            </c:numRef>
          </c:val>
        </c:ser>
        <c:ser>
          <c:idx val="2"/>
          <c:order val="2"/>
          <c:tx>
            <c:v>National Average</c:v>
          </c:tx>
          <c:marker>
            <c:symbol val="none"/>
          </c:marker>
          <c:cat>
            <c:strRef>
              <c:f>Sheet1!$C$2:$C$32</c:f>
              <c:strCache>
                <c:ptCount val="31"/>
                <c:pt idx="0">
                  <c:v>Newham PCT</c:v>
                </c:pt>
                <c:pt idx="1">
                  <c:v>Hillingdon PCT</c:v>
                </c:pt>
                <c:pt idx="2">
                  <c:v>Brent Teaching PCT</c:v>
                </c:pt>
                <c:pt idx="3">
                  <c:v>Hounslow PCT</c:v>
                </c:pt>
                <c:pt idx="4">
                  <c:v>Ealing PCT</c:v>
                </c:pt>
                <c:pt idx="5">
                  <c:v>Harrow PCT</c:v>
                </c:pt>
                <c:pt idx="6">
                  <c:v>Barnet PCT</c:v>
                </c:pt>
                <c:pt idx="7">
                  <c:v>Greenwich Teaching PCT</c:v>
                </c:pt>
                <c:pt idx="8">
                  <c:v>Lambeth PCT</c:v>
                </c:pt>
                <c:pt idx="9">
                  <c:v>Barking and Dagenham PCT</c:v>
                </c:pt>
                <c:pt idx="10">
                  <c:v>Havering PCT</c:v>
                </c:pt>
                <c:pt idx="11">
                  <c:v>Redbridge PCT</c:v>
                </c:pt>
                <c:pt idx="12">
                  <c:v>Bromley PCT</c:v>
                </c:pt>
                <c:pt idx="13">
                  <c:v>Richmond and Twickenham PCT</c:v>
                </c:pt>
                <c:pt idx="14">
                  <c:v>Bexley CT</c:v>
                </c:pt>
                <c:pt idx="15">
                  <c:v>Hammersmith and Fulham PCT</c:v>
                </c:pt>
                <c:pt idx="16">
                  <c:v>Lewisham PCT</c:v>
                </c:pt>
                <c:pt idx="17">
                  <c:v>Waltham Forest PCT</c:v>
                </c:pt>
                <c:pt idx="18">
                  <c:v>Southwark PCT</c:v>
                </c:pt>
                <c:pt idx="19">
                  <c:v>Kensington and Chelsea PCT</c:v>
                </c:pt>
                <c:pt idx="20">
                  <c:v>Sutton and Merton PCT</c:v>
                </c:pt>
                <c:pt idx="21">
                  <c:v>Westminster PCT</c:v>
                </c:pt>
                <c:pt idx="22">
                  <c:v>Enfield PCT</c:v>
                </c:pt>
                <c:pt idx="23">
                  <c:v>Camden PCT</c:v>
                </c:pt>
                <c:pt idx="24">
                  <c:v>Islington PCT</c:v>
                </c:pt>
                <c:pt idx="25">
                  <c:v>Croydon PCT</c:v>
                </c:pt>
                <c:pt idx="26">
                  <c:v>Haringey Teaching PCT</c:v>
                </c:pt>
                <c:pt idx="27">
                  <c:v>Wandsworth PCT</c:v>
                </c:pt>
                <c:pt idx="28">
                  <c:v>Tower Hamlets PCT</c:v>
                </c:pt>
                <c:pt idx="29">
                  <c:v>Kingston PCT</c:v>
                </c:pt>
                <c:pt idx="30">
                  <c:v>City and Hackney Teaching PCT</c:v>
                </c:pt>
              </c:strCache>
            </c:strRef>
          </c:cat>
          <c:val>
            <c:numRef>
              <c:f>Sheet1!$F$2:$F$32</c:f>
              <c:numCache>
                <c:formatCode>General</c:formatCode>
                <c:ptCount val="31"/>
                <c:pt idx="0">
                  <c:v>7.3</c:v>
                </c:pt>
                <c:pt idx="1">
                  <c:v>7.3</c:v>
                </c:pt>
                <c:pt idx="2">
                  <c:v>7.3</c:v>
                </c:pt>
                <c:pt idx="3">
                  <c:v>7.3</c:v>
                </c:pt>
                <c:pt idx="4">
                  <c:v>7.3</c:v>
                </c:pt>
                <c:pt idx="5">
                  <c:v>7.3</c:v>
                </c:pt>
                <c:pt idx="6">
                  <c:v>7.3</c:v>
                </c:pt>
                <c:pt idx="7">
                  <c:v>7.3</c:v>
                </c:pt>
                <c:pt idx="8">
                  <c:v>7.3</c:v>
                </c:pt>
                <c:pt idx="9">
                  <c:v>7.3</c:v>
                </c:pt>
                <c:pt idx="10">
                  <c:v>7.3</c:v>
                </c:pt>
                <c:pt idx="11">
                  <c:v>7.3</c:v>
                </c:pt>
                <c:pt idx="12">
                  <c:v>7.3</c:v>
                </c:pt>
                <c:pt idx="13">
                  <c:v>7.3</c:v>
                </c:pt>
                <c:pt idx="14">
                  <c:v>7.3</c:v>
                </c:pt>
                <c:pt idx="15">
                  <c:v>7.3</c:v>
                </c:pt>
                <c:pt idx="16">
                  <c:v>7.3</c:v>
                </c:pt>
                <c:pt idx="17">
                  <c:v>7.3</c:v>
                </c:pt>
                <c:pt idx="18">
                  <c:v>7.3</c:v>
                </c:pt>
                <c:pt idx="19">
                  <c:v>7.3</c:v>
                </c:pt>
                <c:pt idx="20">
                  <c:v>7.3</c:v>
                </c:pt>
                <c:pt idx="21">
                  <c:v>7.3</c:v>
                </c:pt>
                <c:pt idx="22">
                  <c:v>7.3</c:v>
                </c:pt>
                <c:pt idx="23">
                  <c:v>7.3</c:v>
                </c:pt>
                <c:pt idx="24">
                  <c:v>7.3</c:v>
                </c:pt>
                <c:pt idx="25">
                  <c:v>7.3</c:v>
                </c:pt>
                <c:pt idx="26">
                  <c:v>7.3</c:v>
                </c:pt>
                <c:pt idx="27">
                  <c:v>7.3</c:v>
                </c:pt>
                <c:pt idx="28">
                  <c:v>7.3</c:v>
                </c:pt>
                <c:pt idx="29">
                  <c:v>7.3</c:v>
                </c:pt>
                <c:pt idx="30">
                  <c:v>7.3</c:v>
                </c:pt>
              </c:numCache>
            </c:numRef>
          </c:val>
        </c:ser>
        <c:ser>
          <c:idx val="3"/>
          <c:order val="3"/>
          <c:tx>
            <c:v>Cluster Average</c:v>
          </c:tx>
          <c:marker>
            <c:symbol val="none"/>
          </c:marker>
          <c:cat>
            <c:strRef>
              <c:f>Sheet1!$C$2:$C$32</c:f>
              <c:strCache>
                <c:ptCount val="31"/>
                <c:pt idx="0">
                  <c:v>Newham PCT</c:v>
                </c:pt>
                <c:pt idx="1">
                  <c:v>Hillingdon PCT</c:v>
                </c:pt>
                <c:pt idx="2">
                  <c:v>Brent Teaching PCT</c:v>
                </c:pt>
                <c:pt idx="3">
                  <c:v>Hounslow PCT</c:v>
                </c:pt>
                <c:pt idx="4">
                  <c:v>Ealing PCT</c:v>
                </c:pt>
                <c:pt idx="5">
                  <c:v>Harrow PCT</c:v>
                </c:pt>
                <c:pt idx="6">
                  <c:v>Barnet PCT</c:v>
                </c:pt>
                <c:pt idx="7">
                  <c:v>Greenwich Teaching PCT</c:v>
                </c:pt>
                <c:pt idx="8">
                  <c:v>Lambeth PCT</c:v>
                </c:pt>
                <c:pt idx="9">
                  <c:v>Barking and Dagenham PCT</c:v>
                </c:pt>
                <c:pt idx="10">
                  <c:v>Havering PCT</c:v>
                </c:pt>
                <c:pt idx="11">
                  <c:v>Redbridge PCT</c:v>
                </c:pt>
                <c:pt idx="12">
                  <c:v>Bromley PCT</c:v>
                </c:pt>
                <c:pt idx="13">
                  <c:v>Richmond and Twickenham PCT</c:v>
                </c:pt>
                <c:pt idx="14">
                  <c:v>Bexley CT</c:v>
                </c:pt>
                <c:pt idx="15">
                  <c:v>Hammersmith and Fulham PCT</c:v>
                </c:pt>
                <c:pt idx="16">
                  <c:v>Lewisham PCT</c:v>
                </c:pt>
                <c:pt idx="17">
                  <c:v>Waltham Forest PCT</c:v>
                </c:pt>
                <c:pt idx="18">
                  <c:v>Southwark PCT</c:v>
                </c:pt>
                <c:pt idx="19">
                  <c:v>Kensington and Chelsea PCT</c:v>
                </c:pt>
                <c:pt idx="20">
                  <c:v>Sutton and Merton PCT</c:v>
                </c:pt>
                <c:pt idx="21">
                  <c:v>Westminster PCT</c:v>
                </c:pt>
                <c:pt idx="22">
                  <c:v>Enfield PCT</c:v>
                </c:pt>
                <c:pt idx="23">
                  <c:v>Camden PCT</c:v>
                </c:pt>
                <c:pt idx="24">
                  <c:v>Islington PCT</c:v>
                </c:pt>
                <c:pt idx="25">
                  <c:v>Croydon PCT</c:v>
                </c:pt>
                <c:pt idx="26">
                  <c:v>Haringey Teaching PCT</c:v>
                </c:pt>
                <c:pt idx="27">
                  <c:v>Wandsworth PCT</c:v>
                </c:pt>
                <c:pt idx="28">
                  <c:v>Tower Hamlets PCT</c:v>
                </c:pt>
                <c:pt idx="29">
                  <c:v>Kingston PCT</c:v>
                </c:pt>
                <c:pt idx="30">
                  <c:v>City and Hackney Teaching PCT</c:v>
                </c:pt>
              </c:strCache>
            </c:strRef>
          </c:cat>
          <c:val>
            <c:numRef>
              <c:f>Sheet1!$G$2:$G$32</c:f>
              <c:numCache>
                <c:formatCode>General</c:formatCode>
                <c:ptCount val="31"/>
                <c:pt idx="0">
                  <c:v>7.9</c:v>
                </c:pt>
                <c:pt idx="1">
                  <c:v>7.9</c:v>
                </c:pt>
                <c:pt idx="2">
                  <c:v>7.9</c:v>
                </c:pt>
                <c:pt idx="3">
                  <c:v>7.9</c:v>
                </c:pt>
                <c:pt idx="4">
                  <c:v>7.9</c:v>
                </c:pt>
                <c:pt idx="5">
                  <c:v>7.9</c:v>
                </c:pt>
                <c:pt idx="6">
                  <c:v>7.9</c:v>
                </c:pt>
                <c:pt idx="7">
                  <c:v>7.9</c:v>
                </c:pt>
                <c:pt idx="8">
                  <c:v>7.9</c:v>
                </c:pt>
                <c:pt idx="9">
                  <c:v>7.9</c:v>
                </c:pt>
                <c:pt idx="10">
                  <c:v>7.9</c:v>
                </c:pt>
                <c:pt idx="11">
                  <c:v>7.9</c:v>
                </c:pt>
                <c:pt idx="12">
                  <c:v>7.9</c:v>
                </c:pt>
                <c:pt idx="13">
                  <c:v>7.9</c:v>
                </c:pt>
                <c:pt idx="14">
                  <c:v>7.9</c:v>
                </c:pt>
                <c:pt idx="15">
                  <c:v>7.9</c:v>
                </c:pt>
                <c:pt idx="16">
                  <c:v>7.9</c:v>
                </c:pt>
                <c:pt idx="17">
                  <c:v>7.9</c:v>
                </c:pt>
                <c:pt idx="18">
                  <c:v>7.9</c:v>
                </c:pt>
                <c:pt idx="19">
                  <c:v>7.9</c:v>
                </c:pt>
                <c:pt idx="20">
                  <c:v>7.9</c:v>
                </c:pt>
                <c:pt idx="21">
                  <c:v>7.9</c:v>
                </c:pt>
                <c:pt idx="22">
                  <c:v>7.9</c:v>
                </c:pt>
                <c:pt idx="23">
                  <c:v>7.9</c:v>
                </c:pt>
                <c:pt idx="24">
                  <c:v>7.9</c:v>
                </c:pt>
                <c:pt idx="25">
                  <c:v>7.9</c:v>
                </c:pt>
                <c:pt idx="26">
                  <c:v>7.9</c:v>
                </c:pt>
                <c:pt idx="27">
                  <c:v>7.9</c:v>
                </c:pt>
                <c:pt idx="28">
                  <c:v>7.9</c:v>
                </c:pt>
                <c:pt idx="29">
                  <c:v>7.9</c:v>
                </c:pt>
                <c:pt idx="30">
                  <c:v>7.9</c:v>
                </c:pt>
              </c:numCache>
            </c:numRef>
          </c:val>
        </c:ser>
        <c:marker val="1"/>
        <c:axId val="104449536"/>
        <c:axId val="104451072"/>
      </c:lineChart>
      <c:catAx>
        <c:axId val="104449536"/>
        <c:scaling>
          <c:orientation val="minMax"/>
        </c:scaling>
        <c:axPos val="b"/>
        <c:tickLblPos val="nextTo"/>
        <c:txPr>
          <a:bodyPr rot="5400000" vert="horz"/>
          <a:lstStyle/>
          <a:p>
            <a:pPr>
              <a:defRPr/>
            </a:pPr>
            <a:endParaRPr lang="en-US"/>
          </a:p>
        </c:txPr>
        <c:crossAx val="104451072"/>
        <c:crosses val="autoZero"/>
        <c:auto val="1"/>
        <c:lblAlgn val="ctr"/>
        <c:lblOffset val="100"/>
      </c:catAx>
      <c:valAx>
        <c:axId val="104451072"/>
        <c:scaling>
          <c:orientation val="minMax"/>
        </c:scaling>
        <c:axPos val="l"/>
        <c:title>
          <c:tx>
            <c:rich>
              <a:bodyPr rot="-5400000" vert="horz"/>
              <a:lstStyle/>
              <a:p>
                <a:pPr>
                  <a:defRPr/>
                </a:pPr>
                <a:r>
                  <a:rPr lang="en-US"/>
                  <a:t>Mean Length of Stay (days)</a:t>
                </a:r>
              </a:p>
            </c:rich>
          </c:tx>
        </c:title>
        <c:numFmt formatCode="General" sourceLinked="1"/>
        <c:tickLblPos val="nextTo"/>
        <c:crossAx val="104449536"/>
        <c:crosses val="autoZero"/>
        <c:crossBetween val="between"/>
      </c:valAx>
    </c:plotArea>
    <c:legend>
      <c:legendPos val="r"/>
      <c:legendEntry>
        <c:idx val="0"/>
        <c:delete val="1"/>
      </c:legendEntry>
      <c:layout>
        <c:manualLayout>
          <c:xMode val="edge"/>
          <c:yMode val="edge"/>
          <c:x val="0.75194903594367746"/>
          <c:y val="7.8794809580862879E-2"/>
          <c:w val="0.22792022521065874"/>
          <c:h val="0.13833202235312742"/>
        </c:manualLayout>
      </c:layout>
      <c:txPr>
        <a:bodyPr/>
        <a:lstStyle/>
        <a:p>
          <a:pPr>
            <a:defRPr sz="1200"/>
          </a:pPr>
          <a:endParaRPr lang="en-US"/>
        </a:p>
      </c:txP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Average Length of Stay for Emergency COPD Admissions by practice in Wandsworth 2008/2009</a:t>
            </a:r>
          </a:p>
        </c:rich>
      </c:tx>
    </c:title>
    <c:plotArea>
      <c:layout>
        <c:manualLayout>
          <c:layoutTarget val="inner"/>
          <c:xMode val="edge"/>
          <c:yMode val="edge"/>
          <c:x val="7.2603179219334069E-2"/>
          <c:y val="0.11587971155251496"/>
          <c:w val="0.89208036899560306"/>
          <c:h val="0.57734251968503925"/>
        </c:manualLayout>
      </c:layout>
      <c:barChart>
        <c:barDir val="col"/>
        <c:grouping val="stacked"/>
        <c:ser>
          <c:idx val="0"/>
          <c:order val="0"/>
          <c:errBars>
            <c:errBarType val="both"/>
            <c:errValType val="cust"/>
            <c:plus>
              <c:numRef>
                <c:f>Data!$H$2:$H$51</c:f>
                <c:numCache>
                  <c:formatCode>General</c:formatCode>
                  <c:ptCount val="50"/>
                  <c:pt idx="0">
                    <c:v>0</c:v>
                  </c:pt>
                  <c:pt idx="1">
                    <c:v>0</c:v>
                  </c:pt>
                  <c:pt idx="2">
                    <c:v>0</c:v>
                  </c:pt>
                  <c:pt idx="3">
                    <c:v>5.3000000000000007</c:v>
                  </c:pt>
                  <c:pt idx="4">
                    <c:v>2.7</c:v>
                  </c:pt>
                  <c:pt idx="5">
                    <c:v>4.2</c:v>
                  </c:pt>
                  <c:pt idx="6">
                    <c:v>2.6</c:v>
                  </c:pt>
                  <c:pt idx="7">
                    <c:v>2.8</c:v>
                  </c:pt>
                  <c:pt idx="8">
                    <c:v>1.5999999999999934</c:v>
                  </c:pt>
                  <c:pt idx="9">
                    <c:v>1.5</c:v>
                  </c:pt>
                  <c:pt idx="10">
                    <c:v>1.5999999999999934</c:v>
                  </c:pt>
                  <c:pt idx="11">
                    <c:v>2.5999999999999988</c:v>
                  </c:pt>
                  <c:pt idx="12">
                    <c:v>1.8000000000000007</c:v>
                  </c:pt>
                  <c:pt idx="13">
                    <c:v>2.7</c:v>
                  </c:pt>
                  <c:pt idx="14">
                    <c:v>1.3999999999999941</c:v>
                  </c:pt>
                  <c:pt idx="15">
                    <c:v>1.9000000000000021</c:v>
                  </c:pt>
                  <c:pt idx="16">
                    <c:v>9.4</c:v>
                  </c:pt>
                  <c:pt idx="17">
                    <c:v>1.2999999999999929</c:v>
                  </c:pt>
                  <c:pt idx="18">
                    <c:v>1.0999999999999934</c:v>
                  </c:pt>
                  <c:pt idx="19">
                    <c:v>1.5999999999999934</c:v>
                  </c:pt>
                  <c:pt idx="20">
                    <c:v>1.7000000000000002</c:v>
                  </c:pt>
                  <c:pt idx="21">
                    <c:v>2</c:v>
                  </c:pt>
                  <c:pt idx="22">
                    <c:v>3.9000000000000004</c:v>
                  </c:pt>
                  <c:pt idx="23">
                    <c:v>2.1999999999999993</c:v>
                  </c:pt>
                  <c:pt idx="24">
                    <c:v>4.5999999999999996</c:v>
                  </c:pt>
                  <c:pt idx="25">
                    <c:v>1.5999999999999934</c:v>
                  </c:pt>
                  <c:pt idx="26">
                    <c:v>1.3000000000000007</c:v>
                  </c:pt>
                  <c:pt idx="27">
                    <c:v>2.0000000000000009</c:v>
                  </c:pt>
                  <c:pt idx="28">
                    <c:v>3.3000000000000007</c:v>
                  </c:pt>
                  <c:pt idx="29">
                    <c:v>6.3000000000000007</c:v>
                  </c:pt>
                  <c:pt idx="30">
                    <c:v>1.9000000000000021</c:v>
                  </c:pt>
                  <c:pt idx="31">
                    <c:v>0.99999999999999911</c:v>
                  </c:pt>
                  <c:pt idx="32">
                    <c:v>1.2999999999999914</c:v>
                  </c:pt>
                  <c:pt idx="33">
                    <c:v>4.3000000000000007</c:v>
                  </c:pt>
                  <c:pt idx="34">
                    <c:v>1.2999999999999914</c:v>
                  </c:pt>
                  <c:pt idx="35">
                    <c:v>1.5999999999999934</c:v>
                  </c:pt>
                  <c:pt idx="36">
                    <c:v>1.3000000000000007</c:v>
                  </c:pt>
                  <c:pt idx="37">
                    <c:v>3.2000000000000011</c:v>
                  </c:pt>
                  <c:pt idx="38">
                    <c:v>2.5</c:v>
                  </c:pt>
                  <c:pt idx="39">
                    <c:v>1.4000000000000004</c:v>
                  </c:pt>
                  <c:pt idx="40">
                    <c:v>6</c:v>
                  </c:pt>
                  <c:pt idx="41">
                    <c:v>1.5999999999999934</c:v>
                  </c:pt>
                  <c:pt idx="42">
                    <c:v>2.4000000000000004</c:v>
                  </c:pt>
                  <c:pt idx="43">
                    <c:v>2.0999999999999988</c:v>
                  </c:pt>
                  <c:pt idx="44">
                    <c:v>1.8000000000000007</c:v>
                  </c:pt>
                  <c:pt idx="45">
                    <c:v>3.8000000000000007</c:v>
                  </c:pt>
                  <c:pt idx="46">
                    <c:v>3.9999999999999978</c:v>
                  </c:pt>
                  <c:pt idx="47">
                    <c:v>7</c:v>
                  </c:pt>
                  <c:pt idx="48">
                    <c:v>7.1999999999999975</c:v>
                  </c:pt>
                  <c:pt idx="49">
                    <c:v>16.60000000000003</c:v>
                  </c:pt>
                </c:numCache>
              </c:numRef>
            </c:plus>
            <c:minus>
              <c:numRef>
                <c:f>Data!$I$2:$I$51</c:f>
                <c:numCache>
                  <c:formatCode>General</c:formatCode>
                  <c:ptCount val="50"/>
                  <c:pt idx="0">
                    <c:v>0</c:v>
                  </c:pt>
                  <c:pt idx="1">
                    <c:v>0</c:v>
                  </c:pt>
                  <c:pt idx="2">
                    <c:v>0</c:v>
                  </c:pt>
                  <c:pt idx="3">
                    <c:v>1.1000000000000001</c:v>
                  </c:pt>
                  <c:pt idx="4">
                    <c:v>1.3</c:v>
                  </c:pt>
                  <c:pt idx="5">
                    <c:v>2</c:v>
                  </c:pt>
                  <c:pt idx="6">
                    <c:v>1.5999999999999936</c:v>
                  </c:pt>
                  <c:pt idx="7">
                    <c:v>1.9000000000000001</c:v>
                  </c:pt>
                  <c:pt idx="8">
                    <c:v>1.2999999999999929</c:v>
                  </c:pt>
                  <c:pt idx="9">
                    <c:v>1.2000000000000002</c:v>
                  </c:pt>
                  <c:pt idx="10">
                    <c:v>1.2000000000000002</c:v>
                  </c:pt>
                  <c:pt idx="11">
                    <c:v>1.9000000000000021</c:v>
                  </c:pt>
                  <c:pt idx="12">
                    <c:v>1.5</c:v>
                  </c:pt>
                  <c:pt idx="13">
                    <c:v>2</c:v>
                  </c:pt>
                  <c:pt idx="14">
                    <c:v>1.2000000000000002</c:v>
                  </c:pt>
                  <c:pt idx="15">
                    <c:v>1.5999999999999934</c:v>
                  </c:pt>
                  <c:pt idx="16">
                    <c:v>4.4000000000000004</c:v>
                  </c:pt>
                  <c:pt idx="17">
                    <c:v>1.2000000000000002</c:v>
                  </c:pt>
                  <c:pt idx="18">
                    <c:v>0.90000000000000069</c:v>
                  </c:pt>
                  <c:pt idx="19">
                    <c:v>1.3999999999999941</c:v>
                  </c:pt>
                  <c:pt idx="20">
                    <c:v>1.3999999999999941</c:v>
                  </c:pt>
                  <c:pt idx="21">
                    <c:v>1.7000000000000002</c:v>
                  </c:pt>
                  <c:pt idx="22">
                    <c:v>2.8</c:v>
                  </c:pt>
                  <c:pt idx="23">
                    <c:v>1.7000000000000002</c:v>
                  </c:pt>
                  <c:pt idx="24">
                    <c:v>3.0999999999999988</c:v>
                  </c:pt>
                  <c:pt idx="25">
                    <c:v>1.3999999999999941</c:v>
                  </c:pt>
                  <c:pt idx="26">
                    <c:v>1.0999999999999934</c:v>
                  </c:pt>
                  <c:pt idx="27">
                    <c:v>1.7000000000000002</c:v>
                  </c:pt>
                  <c:pt idx="28">
                    <c:v>2.5</c:v>
                  </c:pt>
                  <c:pt idx="29">
                    <c:v>3.9</c:v>
                  </c:pt>
                  <c:pt idx="30">
                    <c:v>1.5999999999999934</c:v>
                  </c:pt>
                  <c:pt idx="31">
                    <c:v>1</c:v>
                  </c:pt>
                  <c:pt idx="32">
                    <c:v>1.2000000000000002</c:v>
                  </c:pt>
                  <c:pt idx="33">
                    <c:v>3.0999999999999988</c:v>
                  </c:pt>
                  <c:pt idx="34">
                    <c:v>1.2000000000000002</c:v>
                  </c:pt>
                  <c:pt idx="35">
                    <c:v>1.3000000000000007</c:v>
                  </c:pt>
                  <c:pt idx="36">
                    <c:v>1.1999999999999944</c:v>
                  </c:pt>
                  <c:pt idx="37">
                    <c:v>2.4999999999999987</c:v>
                  </c:pt>
                  <c:pt idx="38">
                    <c:v>2.0999999999999988</c:v>
                  </c:pt>
                  <c:pt idx="39">
                    <c:v>1.1999999999999944</c:v>
                  </c:pt>
                  <c:pt idx="40">
                    <c:v>4.0999999999999996</c:v>
                  </c:pt>
                  <c:pt idx="41">
                    <c:v>1.4000000000000004</c:v>
                  </c:pt>
                  <c:pt idx="42">
                    <c:v>2.2000000000000011</c:v>
                  </c:pt>
                  <c:pt idx="43">
                    <c:v>1.9000000000000021</c:v>
                  </c:pt>
                  <c:pt idx="44">
                    <c:v>1.5999999999999934</c:v>
                  </c:pt>
                  <c:pt idx="45">
                    <c:v>3.1000000000000014</c:v>
                  </c:pt>
                  <c:pt idx="46">
                    <c:v>3.2000000000000011</c:v>
                  </c:pt>
                  <c:pt idx="47">
                    <c:v>5.5000000000000018</c:v>
                  </c:pt>
                  <c:pt idx="48">
                    <c:v>5.8000000000000007</c:v>
                  </c:pt>
                  <c:pt idx="49">
                    <c:v>14.200000000000001</c:v>
                  </c:pt>
                </c:numCache>
              </c:numRef>
            </c:minus>
          </c:errBars>
          <c:cat>
            <c:strRef>
              <c:f>Data!$C$2:$C$51</c:f>
              <c:strCache>
                <c:ptCount val="50"/>
                <c:pt idx="0">
                  <c:v>Dr Nicholas &amp; Partners</c:v>
                </c:pt>
                <c:pt idx="1">
                  <c:v>Sai Medical Centre</c:v>
                </c:pt>
                <c:pt idx="2">
                  <c:v>The Wandle Valley Surgery</c:v>
                </c:pt>
                <c:pt idx="3">
                  <c:v>St. John's Hill Practice</c:v>
                </c:pt>
                <c:pt idx="4">
                  <c:v>Open Door Surgery</c:v>
                </c:pt>
                <c:pt idx="5">
                  <c:v>Wandsworth Medical Centre</c:v>
                </c:pt>
                <c:pt idx="6">
                  <c:v>Triangle Surgery</c:v>
                </c:pt>
                <c:pt idx="7">
                  <c:v>The Surgery, Balmuir Gardens</c:v>
                </c:pt>
                <c:pt idx="8">
                  <c:v>Elborough Street Surgery</c:v>
                </c:pt>
                <c:pt idx="9">
                  <c:v>Battersea Fields Practice</c:v>
                </c:pt>
                <c:pt idx="10">
                  <c:v>Balham Park Surgery</c:v>
                </c:pt>
                <c:pt idx="11">
                  <c:v>Furzedown Primary Care Centre</c:v>
                </c:pt>
                <c:pt idx="12">
                  <c:v>Mitcham Road Surgery</c:v>
                </c:pt>
                <c:pt idx="13">
                  <c:v>Putneymead Medical Centre</c:v>
                </c:pt>
                <c:pt idx="14">
                  <c:v>The Heathbridge Practice</c:v>
                </c:pt>
                <c:pt idx="15">
                  <c:v>Tooting Bec Surgery</c:v>
                </c:pt>
                <c:pt idx="16">
                  <c:v>Balham Health Centre</c:v>
                </c:pt>
                <c:pt idx="17">
                  <c:v>Queenstown Road Medical Practice</c:v>
                </c:pt>
                <c:pt idx="18">
                  <c:v>Earlsfield Surgery</c:v>
                </c:pt>
                <c:pt idx="19">
                  <c:v>Streatham Park Surgery</c:v>
                </c:pt>
                <c:pt idx="20">
                  <c:v>Bedford Hill Family Practice</c:v>
                </c:pt>
                <c:pt idx="21">
                  <c:v>Chartfield Surgery</c:v>
                </c:pt>
                <c:pt idx="22">
                  <c:v>Putneymead Medical Centre</c:v>
                </c:pt>
                <c:pt idx="23">
                  <c:v>Inner Park Road Health Centre</c:v>
                </c:pt>
                <c:pt idx="24">
                  <c:v>Granville Road Surgery</c:v>
                </c:pt>
                <c:pt idx="25">
                  <c:v>The Greyswood Practice</c:v>
                </c:pt>
                <c:pt idx="26">
                  <c:v>Chatfield Medical Centre</c:v>
                </c:pt>
                <c:pt idx="27">
                  <c:v>Thurleigh Road Practice</c:v>
                </c:pt>
                <c:pt idx="28">
                  <c:v>St Johns</c:v>
                </c:pt>
                <c:pt idx="29">
                  <c:v>The Bec Family Practice</c:v>
                </c:pt>
                <c:pt idx="30">
                  <c:v>Mayfield Surgery</c:v>
                </c:pt>
                <c:pt idx="31">
                  <c:v>Brocklebank Group Practice</c:v>
                </c:pt>
                <c:pt idx="32">
                  <c:v>Bridge Lane Group Practice</c:v>
                </c:pt>
                <c:pt idx="33">
                  <c:v>St Paul's Cottage Practice</c:v>
                </c:pt>
                <c:pt idx="34">
                  <c:v>The Franciscan Surgery</c:v>
                </c:pt>
                <c:pt idx="35">
                  <c:v>Lavender Hill Group Practice</c:v>
                </c:pt>
                <c:pt idx="36">
                  <c:v>The Falcon Road Medical Centre</c:v>
                </c:pt>
                <c:pt idx="37">
                  <c:v>Tooting South Medical Centre</c:v>
                </c:pt>
                <c:pt idx="38">
                  <c:v>Danebury Avenue Surgery</c:v>
                </c:pt>
                <c:pt idx="39">
                  <c:v>Dr Nicholas &amp; Partners</c:v>
                </c:pt>
                <c:pt idx="40">
                  <c:v>The Heritage Medical Centre</c:v>
                </c:pt>
                <c:pt idx="41">
                  <c:v>The Roehampton Surgery</c:v>
                </c:pt>
                <c:pt idx="42">
                  <c:v>Tudor Lodge Health Centre</c:v>
                </c:pt>
                <c:pt idx="43">
                  <c:v>Southfields Group Practice</c:v>
                </c:pt>
                <c:pt idx="44">
                  <c:v>Waterfall House</c:v>
                </c:pt>
                <c:pt idx="45">
                  <c:v>The Alton Practice</c:v>
                </c:pt>
                <c:pt idx="46">
                  <c:v>Battersea Rise Group Practice</c:v>
                </c:pt>
                <c:pt idx="47">
                  <c:v>Clapham Junction Medical Practice</c:v>
                </c:pt>
                <c:pt idx="48">
                  <c:v>Balham Hill Medical Practice</c:v>
                </c:pt>
                <c:pt idx="49">
                  <c:v>Northcote Road Surgery</c:v>
                </c:pt>
              </c:strCache>
            </c:strRef>
          </c:cat>
          <c:val>
            <c:numRef>
              <c:f>Data!$D$2:$D$51</c:f>
              <c:numCache>
                <c:formatCode>General</c:formatCode>
                <c:ptCount val="50"/>
                <c:pt idx="0">
                  <c:v>0</c:v>
                </c:pt>
                <c:pt idx="1">
                  <c:v>0</c:v>
                </c:pt>
                <c:pt idx="2">
                  <c:v>0</c:v>
                </c:pt>
                <c:pt idx="3">
                  <c:v>1.1000000000000001</c:v>
                </c:pt>
                <c:pt idx="4">
                  <c:v>2</c:v>
                </c:pt>
                <c:pt idx="5">
                  <c:v>2.7</c:v>
                </c:pt>
                <c:pt idx="6">
                  <c:v>2.9</c:v>
                </c:pt>
                <c:pt idx="7">
                  <c:v>4.3</c:v>
                </c:pt>
                <c:pt idx="8">
                  <c:v>4.5</c:v>
                </c:pt>
                <c:pt idx="9">
                  <c:v>4.7</c:v>
                </c:pt>
                <c:pt idx="10">
                  <c:v>5</c:v>
                </c:pt>
                <c:pt idx="11">
                  <c:v>5.2</c:v>
                </c:pt>
                <c:pt idx="12">
                  <c:v>5.6</c:v>
                </c:pt>
                <c:pt idx="13">
                  <c:v>5.8</c:v>
                </c:pt>
                <c:pt idx="14">
                  <c:v>5.9</c:v>
                </c:pt>
                <c:pt idx="15">
                  <c:v>6</c:v>
                </c:pt>
                <c:pt idx="16">
                  <c:v>6</c:v>
                </c:pt>
                <c:pt idx="17">
                  <c:v>6.3</c:v>
                </c:pt>
                <c:pt idx="18">
                  <c:v>6.4</c:v>
                </c:pt>
                <c:pt idx="19">
                  <c:v>6.6</c:v>
                </c:pt>
                <c:pt idx="20">
                  <c:v>6.8</c:v>
                </c:pt>
                <c:pt idx="21">
                  <c:v>6.9</c:v>
                </c:pt>
                <c:pt idx="22">
                  <c:v>7</c:v>
                </c:pt>
                <c:pt idx="23">
                  <c:v>7</c:v>
                </c:pt>
                <c:pt idx="24">
                  <c:v>7.1</c:v>
                </c:pt>
                <c:pt idx="25">
                  <c:v>7.1</c:v>
                </c:pt>
                <c:pt idx="26">
                  <c:v>7.1</c:v>
                </c:pt>
                <c:pt idx="27">
                  <c:v>7.3</c:v>
                </c:pt>
                <c:pt idx="28">
                  <c:v>7.5</c:v>
                </c:pt>
                <c:pt idx="29">
                  <c:v>7.5</c:v>
                </c:pt>
                <c:pt idx="30">
                  <c:v>7.6</c:v>
                </c:pt>
                <c:pt idx="31">
                  <c:v>7.7</c:v>
                </c:pt>
                <c:pt idx="32">
                  <c:v>8.4</c:v>
                </c:pt>
                <c:pt idx="33">
                  <c:v>8.5</c:v>
                </c:pt>
                <c:pt idx="34">
                  <c:v>8.9</c:v>
                </c:pt>
                <c:pt idx="35">
                  <c:v>8.9</c:v>
                </c:pt>
                <c:pt idx="36">
                  <c:v>9.1</c:v>
                </c:pt>
                <c:pt idx="37">
                  <c:v>9.2000000000000011</c:v>
                </c:pt>
                <c:pt idx="38">
                  <c:v>9.5</c:v>
                </c:pt>
                <c:pt idx="39">
                  <c:v>10</c:v>
                </c:pt>
                <c:pt idx="40">
                  <c:v>10.200000000000001</c:v>
                </c:pt>
                <c:pt idx="41">
                  <c:v>10.5</c:v>
                </c:pt>
                <c:pt idx="42">
                  <c:v>11.4</c:v>
                </c:pt>
                <c:pt idx="43">
                  <c:v>12.4</c:v>
                </c:pt>
                <c:pt idx="44">
                  <c:v>13.2</c:v>
                </c:pt>
                <c:pt idx="45">
                  <c:v>13.3</c:v>
                </c:pt>
                <c:pt idx="46">
                  <c:v>13.9</c:v>
                </c:pt>
                <c:pt idx="47">
                  <c:v>19.600000000000001</c:v>
                </c:pt>
                <c:pt idx="48">
                  <c:v>23.7</c:v>
                </c:pt>
                <c:pt idx="49">
                  <c:v>72.3</c:v>
                </c:pt>
              </c:numCache>
            </c:numRef>
          </c:val>
        </c:ser>
        <c:overlap val="100"/>
        <c:axId val="104576128"/>
        <c:axId val="104577664"/>
      </c:barChart>
      <c:lineChart>
        <c:grouping val="standard"/>
        <c:ser>
          <c:idx val="1"/>
          <c:order val="1"/>
          <c:tx>
            <c:v>National Average</c:v>
          </c:tx>
          <c:marker>
            <c:symbol val="none"/>
          </c:marker>
          <c:cat>
            <c:strRef>
              <c:f>Data!$C$2:$C$51</c:f>
              <c:strCache>
                <c:ptCount val="50"/>
                <c:pt idx="0">
                  <c:v>Dr Nicholas &amp; Partners</c:v>
                </c:pt>
                <c:pt idx="1">
                  <c:v>Sai Medical Centre</c:v>
                </c:pt>
                <c:pt idx="2">
                  <c:v>The Wandle Valley Surgery</c:v>
                </c:pt>
                <c:pt idx="3">
                  <c:v>St. John's Hill Practice</c:v>
                </c:pt>
                <c:pt idx="4">
                  <c:v>Open Door Surgery</c:v>
                </c:pt>
                <c:pt idx="5">
                  <c:v>Wandsworth Medical Centre</c:v>
                </c:pt>
                <c:pt idx="6">
                  <c:v>Triangle Surgery</c:v>
                </c:pt>
                <c:pt idx="7">
                  <c:v>The Surgery, Balmuir Gardens</c:v>
                </c:pt>
                <c:pt idx="8">
                  <c:v>Elborough Street Surgery</c:v>
                </c:pt>
                <c:pt idx="9">
                  <c:v>Battersea Fields Practice</c:v>
                </c:pt>
                <c:pt idx="10">
                  <c:v>Balham Park Surgery</c:v>
                </c:pt>
                <c:pt idx="11">
                  <c:v>Furzedown Primary Care Centre</c:v>
                </c:pt>
                <c:pt idx="12">
                  <c:v>Mitcham Road Surgery</c:v>
                </c:pt>
                <c:pt idx="13">
                  <c:v>Putneymead Medical Centre</c:v>
                </c:pt>
                <c:pt idx="14">
                  <c:v>The Heathbridge Practice</c:v>
                </c:pt>
                <c:pt idx="15">
                  <c:v>Tooting Bec Surgery</c:v>
                </c:pt>
                <c:pt idx="16">
                  <c:v>Balham Health Centre</c:v>
                </c:pt>
                <c:pt idx="17">
                  <c:v>Queenstown Road Medical Practice</c:v>
                </c:pt>
                <c:pt idx="18">
                  <c:v>Earlsfield Surgery</c:v>
                </c:pt>
                <c:pt idx="19">
                  <c:v>Streatham Park Surgery</c:v>
                </c:pt>
                <c:pt idx="20">
                  <c:v>Bedford Hill Family Practice</c:v>
                </c:pt>
                <c:pt idx="21">
                  <c:v>Chartfield Surgery</c:v>
                </c:pt>
                <c:pt idx="22">
                  <c:v>Putneymead Medical Centre</c:v>
                </c:pt>
                <c:pt idx="23">
                  <c:v>Inner Park Road Health Centre</c:v>
                </c:pt>
                <c:pt idx="24">
                  <c:v>Granville Road Surgery</c:v>
                </c:pt>
                <c:pt idx="25">
                  <c:v>The Greyswood Practice</c:v>
                </c:pt>
                <c:pt idx="26">
                  <c:v>Chatfield Medical Centre</c:v>
                </c:pt>
                <c:pt idx="27">
                  <c:v>Thurleigh Road Practice</c:v>
                </c:pt>
                <c:pt idx="28">
                  <c:v>St Johns</c:v>
                </c:pt>
                <c:pt idx="29">
                  <c:v>The Bec Family Practice</c:v>
                </c:pt>
                <c:pt idx="30">
                  <c:v>Mayfield Surgery</c:v>
                </c:pt>
                <c:pt idx="31">
                  <c:v>Brocklebank Group Practice</c:v>
                </c:pt>
                <c:pt idx="32">
                  <c:v>Bridge Lane Group Practice</c:v>
                </c:pt>
                <c:pt idx="33">
                  <c:v>St Paul's Cottage Practice</c:v>
                </c:pt>
                <c:pt idx="34">
                  <c:v>The Franciscan Surgery</c:v>
                </c:pt>
                <c:pt idx="35">
                  <c:v>Lavender Hill Group Practice</c:v>
                </c:pt>
                <c:pt idx="36">
                  <c:v>The Falcon Road Medical Centre</c:v>
                </c:pt>
                <c:pt idx="37">
                  <c:v>Tooting South Medical Centre</c:v>
                </c:pt>
                <c:pt idx="38">
                  <c:v>Danebury Avenue Surgery</c:v>
                </c:pt>
                <c:pt idx="39">
                  <c:v>Dr Nicholas &amp; Partners</c:v>
                </c:pt>
                <c:pt idx="40">
                  <c:v>The Heritage Medical Centre</c:v>
                </c:pt>
                <c:pt idx="41">
                  <c:v>The Roehampton Surgery</c:v>
                </c:pt>
                <c:pt idx="42">
                  <c:v>Tudor Lodge Health Centre</c:v>
                </c:pt>
                <c:pt idx="43">
                  <c:v>Southfields Group Practice</c:v>
                </c:pt>
                <c:pt idx="44">
                  <c:v>Waterfall House</c:v>
                </c:pt>
                <c:pt idx="45">
                  <c:v>The Alton Practice</c:v>
                </c:pt>
                <c:pt idx="46">
                  <c:v>Battersea Rise Group Practice</c:v>
                </c:pt>
                <c:pt idx="47">
                  <c:v>Clapham Junction Medical Practice</c:v>
                </c:pt>
                <c:pt idx="48">
                  <c:v>Balham Hill Medical Practice</c:v>
                </c:pt>
                <c:pt idx="49">
                  <c:v>Northcote Road Surgery</c:v>
                </c:pt>
              </c:strCache>
            </c:strRef>
          </c:cat>
          <c:val>
            <c:numRef>
              <c:f>Data!$E$2:$E$51</c:f>
              <c:numCache>
                <c:formatCode>General</c:formatCode>
                <c:ptCount val="50"/>
                <c:pt idx="0">
                  <c:v>7.3</c:v>
                </c:pt>
                <c:pt idx="1">
                  <c:v>7.3</c:v>
                </c:pt>
                <c:pt idx="2">
                  <c:v>7.3</c:v>
                </c:pt>
                <c:pt idx="3">
                  <c:v>7.3</c:v>
                </c:pt>
                <c:pt idx="4">
                  <c:v>7.3</c:v>
                </c:pt>
                <c:pt idx="5">
                  <c:v>7.3</c:v>
                </c:pt>
                <c:pt idx="6">
                  <c:v>7.3</c:v>
                </c:pt>
                <c:pt idx="7">
                  <c:v>7.3</c:v>
                </c:pt>
                <c:pt idx="8">
                  <c:v>7.3</c:v>
                </c:pt>
                <c:pt idx="9">
                  <c:v>7.3</c:v>
                </c:pt>
                <c:pt idx="10">
                  <c:v>7.3</c:v>
                </c:pt>
                <c:pt idx="11">
                  <c:v>7.3</c:v>
                </c:pt>
                <c:pt idx="12">
                  <c:v>7.3</c:v>
                </c:pt>
                <c:pt idx="13">
                  <c:v>7.3</c:v>
                </c:pt>
                <c:pt idx="14">
                  <c:v>7.3</c:v>
                </c:pt>
                <c:pt idx="15">
                  <c:v>7.3</c:v>
                </c:pt>
                <c:pt idx="16">
                  <c:v>7.3</c:v>
                </c:pt>
                <c:pt idx="17">
                  <c:v>7.3</c:v>
                </c:pt>
                <c:pt idx="18">
                  <c:v>7.3</c:v>
                </c:pt>
                <c:pt idx="19">
                  <c:v>7.3</c:v>
                </c:pt>
                <c:pt idx="20">
                  <c:v>7.3</c:v>
                </c:pt>
                <c:pt idx="21">
                  <c:v>7.3</c:v>
                </c:pt>
                <c:pt idx="22">
                  <c:v>7.3</c:v>
                </c:pt>
                <c:pt idx="23">
                  <c:v>7.3</c:v>
                </c:pt>
                <c:pt idx="24">
                  <c:v>7.3</c:v>
                </c:pt>
                <c:pt idx="25">
                  <c:v>7.3</c:v>
                </c:pt>
                <c:pt idx="26">
                  <c:v>7.3</c:v>
                </c:pt>
                <c:pt idx="27">
                  <c:v>7.3</c:v>
                </c:pt>
                <c:pt idx="28">
                  <c:v>7.3</c:v>
                </c:pt>
                <c:pt idx="29">
                  <c:v>7.3</c:v>
                </c:pt>
                <c:pt idx="30">
                  <c:v>7.3</c:v>
                </c:pt>
                <c:pt idx="31">
                  <c:v>7.3</c:v>
                </c:pt>
                <c:pt idx="32">
                  <c:v>7.3</c:v>
                </c:pt>
                <c:pt idx="33">
                  <c:v>7.3</c:v>
                </c:pt>
                <c:pt idx="34">
                  <c:v>7.3</c:v>
                </c:pt>
                <c:pt idx="35">
                  <c:v>7.3</c:v>
                </c:pt>
                <c:pt idx="36">
                  <c:v>7.3</c:v>
                </c:pt>
                <c:pt idx="37">
                  <c:v>7.3</c:v>
                </c:pt>
                <c:pt idx="38">
                  <c:v>7.3</c:v>
                </c:pt>
                <c:pt idx="39">
                  <c:v>7.3</c:v>
                </c:pt>
                <c:pt idx="40">
                  <c:v>7.3</c:v>
                </c:pt>
                <c:pt idx="41">
                  <c:v>7.3</c:v>
                </c:pt>
                <c:pt idx="42">
                  <c:v>7.3</c:v>
                </c:pt>
                <c:pt idx="43">
                  <c:v>7.3</c:v>
                </c:pt>
                <c:pt idx="44">
                  <c:v>7.3</c:v>
                </c:pt>
                <c:pt idx="45">
                  <c:v>7.3</c:v>
                </c:pt>
                <c:pt idx="46">
                  <c:v>7.3</c:v>
                </c:pt>
                <c:pt idx="47">
                  <c:v>7.3</c:v>
                </c:pt>
                <c:pt idx="48">
                  <c:v>7.3</c:v>
                </c:pt>
                <c:pt idx="49">
                  <c:v>7.3</c:v>
                </c:pt>
              </c:numCache>
            </c:numRef>
          </c:val>
        </c:ser>
        <c:ser>
          <c:idx val="2"/>
          <c:order val="2"/>
          <c:tx>
            <c:v>London Average</c:v>
          </c:tx>
          <c:marker>
            <c:symbol val="none"/>
          </c:marker>
          <c:cat>
            <c:strRef>
              <c:f>Data!$C$2:$C$51</c:f>
              <c:strCache>
                <c:ptCount val="50"/>
                <c:pt idx="0">
                  <c:v>Dr Nicholas &amp; Partners</c:v>
                </c:pt>
                <c:pt idx="1">
                  <c:v>Sai Medical Centre</c:v>
                </c:pt>
                <c:pt idx="2">
                  <c:v>The Wandle Valley Surgery</c:v>
                </c:pt>
                <c:pt idx="3">
                  <c:v>St. John's Hill Practice</c:v>
                </c:pt>
                <c:pt idx="4">
                  <c:v>Open Door Surgery</c:v>
                </c:pt>
                <c:pt idx="5">
                  <c:v>Wandsworth Medical Centre</c:v>
                </c:pt>
                <c:pt idx="6">
                  <c:v>Triangle Surgery</c:v>
                </c:pt>
                <c:pt idx="7">
                  <c:v>The Surgery, Balmuir Gardens</c:v>
                </c:pt>
                <c:pt idx="8">
                  <c:v>Elborough Street Surgery</c:v>
                </c:pt>
                <c:pt idx="9">
                  <c:v>Battersea Fields Practice</c:v>
                </c:pt>
                <c:pt idx="10">
                  <c:v>Balham Park Surgery</c:v>
                </c:pt>
                <c:pt idx="11">
                  <c:v>Furzedown Primary Care Centre</c:v>
                </c:pt>
                <c:pt idx="12">
                  <c:v>Mitcham Road Surgery</c:v>
                </c:pt>
                <c:pt idx="13">
                  <c:v>Putneymead Medical Centre</c:v>
                </c:pt>
                <c:pt idx="14">
                  <c:v>The Heathbridge Practice</c:v>
                </c:pt>
                <c:pt idx="15">
                  <c:v>Tooting Bec Surgery</c:v>
                </c:pt>
                <c:pt idx="16">
                  <c:v>Balham Health Centre</c:v>
                </c:pt>
                <c:pt idx="17">
                  <c:v>Queenstown Road Medical Practice</c:v>
                </c:pt>
                <c:pt idx="18">
                  <c:v>Earlsfield Surgery</c:v>
                </c:pt>
                <c:pt idx="19">
                  <c:v>Streatham Park Surgery</c:v>
                </c:pt>
                <c:pt idx="20">
                  <c:v>Bedford Hill Family Practice</c:v>
                </c:pt>
                <c:pt idx="21">
                  <c:v>Chartfield Surgery</c:v>
                </c:pt>
                <c:pt idx="22">
                  <c:v>Putneymead Medical Centre</c:v>
                </c:pt>
                <c:pt idx="23">
                  <c:v>Inner Park Road Health Centre</c:v>
                </c:pt>
                <c:pt idx="24">
                  <c:v>Granville Road Surgery</c:v>
                </c:pt>
                <c:pt idx="25">
                  <c:v>The Greyswood Practice</c:v>
                </c:pt>
                <c:pt idx="26">
                  <c:v>Chatfield Medical Centre</c:v>
                </c:pt>
                <c:pt idx="27">
                  <c:v>Thurleigh Road Practice</c:v>
                </c:pt>
                <c:pt idx="28">
                  <c:v>St Johns</c:v>
                </c:pt>
                <c:pt idx="29">
                  <c:v>The Bec Family Practice</c:v>
                </c:pt>
                <c:pt idx="30">
                  <c:v>Mayfield Surgery</c:v>
                </c:pt>
                <c:pt idx="31">
                  <c:v>Brocklebank Group Practice</c:v>
                </c:pt>
                <c:pt idx="32">
                  <c:v>Bridge Lane Group Practice</c:v>
                </c:pt>
                <c:pt idx="33">
                  <c:v>St Paul's Cottage Practice</c:v>
                </c:pt>
                <c:pt idx="34">
                  <c:v>The Franciscan Surgery</c:v>
                </c:pt>
                <c:pt idx="35">
                  <c:v>Lavender Hill Group Practice</c:v>
                </c:pt>
                <c:pt idx="36">
                  <c:v>The Falcon Road Medical Centre</c:v>
                </c:pt>
                <c:pt idx="37">
                  <c:v>Tooting South Medical Centre</c:v>
                </c:pt>
                <c:pt idx="38">
                  <c:v>Danebury Avenue Surgery</c:v>
                </c:pt>
                <c:pt idx="39">
                  <c:v>Dr Nicholas &amp; Partners</c:v>
                </c:pt>
                <c:pt idx="40">
                  <c:v>The Heritage Medical Centre</c:v>
                </c:pt>
                <c:pt idx="41">
                  <c:v>The Roehampton Surgery</c:v>
                </c:pt>
                <c:pt idx="42">
                  <c:v>Tudor Lodge Health Centre</c:v>
                </c:pt>
                <c:pt idx="43">
                  <c:v>Southfields Group Practice</c:v>
                </c:pt>
                <c:pt idx="44">
                  <c:v>Waterfall House</c:v>
                </c:pt>
                <c:pt idx="45">
                  <c:v>The Alton Practice</c:v>
                </c:pt>
                <c:pt idx="46">
                  <c:v>Battersea Rise Group Practice</c:v>
                </c:pt>
                <c:pt idx="47">
                  <c:v>Clapham Junction Medical Practice</c:v>
                </c:pt>
                <c:pt idx="48">
                  <c:v>Balham Hill Medical Practice</c:v>
                </c:pt>
                <c:pt idx="49">
                  <c:v>Northcote Road Surgery</c:v>
                </c:pt>
              </c:strCache>
            </c:strRef>
          </c:cat>
          <c:val>
            <c:numRef>
              <c:f>Data!$F$2:$F$51</c:f>
              <c:numCache>
                <c:formatCode>General</c:formatCode>
                <c:ptCount val="50"/>
                <c:pt idx="0">
                  <c:v>7.2</c:v>
                </c:pt>
                <c:pt idx="1">
                  <c:v>7.2</c:v>
                </c:pt>
                <c:pt idx="2">
                  <c:v>7.2</c:v>
                </c:pt>
                <c:pt idx="3">
                  <c:v>7.2</c:v>
                </c:pt>
                <c:pt idx="4">
                  <c:v>7.2</c:v>
                </c:pt>
                <c:pt idx="5">
                  <c:v>7.2</c:v>
                </c:pt>
                <c:pt idx="6">
                  <c:v>7.2</c:v>
                </c:pt>
                <c:pt idx="7">
                  <c:v>7.2</c:v>
                </c:pt>
                <c:pt idx="8">
                  <c:v>7.2</c:v>
                </c:pt>
                <c:pt idx="9">
                  <c:v>7.2</c:v>
                </c:pt>
                <c:pt idx="10">
                  <c:v>7.2</c:v>
                </c:pt>
                <c:pt idx="11">
                  <c:v>7.2</c:v>
                </c:pt>
                <c:pt idx="12">
                  <c:v>7.2</c:v>
                </c:pt>
                <c:pt idx="13">
                  <c:v>7.2</c:v>
                </c:pt>
                <c:pt idx="14">
                  <c:v>7.2</c:v>
                </c:pt>
                <c:pt idx="15">
                  <c:v>7.2</c:v>
                </c:pt>
                <c:pt idx="16">
                  <c:v>7.2</c:v>
                </c:pt>
                <c:pt idx="17">
                  <c:v>7.2</c:v>
                </c:pt>
                <c:pt idx="18">
                  <c:v>7.2</c:v>
                </c:pt>
                <c:pt idx="19">
                  <c:v>7.2</c:v>
                </c:pt>
                <c:pt idx="20">
                  <c:v>7.2</c:v>
                </c:pt>
                <c:pt idx="21">
                  <c:v>7.2</c:v>
                </c:pt>
                <c:pt idx="22">
                  <c:v>7.2</c:v>
                </c:pt>
                <c:pt idx="23">
                  <c:v>7.2</c:v>
                </c:pt>
                <c:pt idx="24">
                  <c:v>7.2</c:v>
                </c:pt>
                <c:pt idx="25">
                  <c:v>7.2</c:v>
                </c:pt>
                <c:pt idx="26">
                  <c:v>7.2</c:v>
                </c:pt>
                <c:pt idx="27">
                  <c:v>7.2</c:v>
                </c:pt>
                <c:pt idx="28">
                  <c:v>7.2</c:v>
                </c:pt>
                <c:pt idx="29">
                  <c:v>7.2</c:v>
                </c:pt>
                <c:pt idx="30">
                  <c:v>7.2</c:v>
                </c:pt>
                <c:pt idx="31">
                  <c:v>7.2</c:v>
                </c:pt>
                <c:pt idx="32">
                  <c:v>7.2</c:v>
                </c:pt>
                <c:pt idx="33">
                  <c:v>7.2</c:v>
                </c:pt>
                <c:pt idx="34">
                  <c:v>7.2</c:v>
                </c:pt>
                <c:pt idx="35">
                  <c:v>7.2</c:v>
                </c:pt>
                <c:pt idx="36">
                  <c:v>7.2</c:v>
                </c:pt>
                <c:pt idx="37">
                  <c:v>7.2</c:v>
                </c:pt>
                <c:pt idx="38">
                  <c:v>7.2</c:v>
                </c:pt>
                <c:pt idx="39">
                  <c:v>7.2</c:v>
                </c:pt>
                <c:pt idx="40">
                  <c:v>7.2</c:v>
                </c:pt>
                <c:pt idx="41">
                  <c:v>7.2</c:v>
                </c:pt>
                <c:pt idx="42">
                  <c:v>7.2</c:v>
                </c:pt>
                <c:pt idx="43">
                  <c:v>7.2</c:v>
                </c:pt>
                <c:pt idx="44">
                  <c:v>7.2</c:v>
                </c:pt>
                <c:pt idx="45">
                  <c:v>7.2</c:v>
                </c:pt>
                <c:pt idx="46">
                  <c:v>7.2</c:v>
                </c:pt>
                <c:pt idx="47">
                  <c:v>7.2</c:v>
                </c:pt>
                <c:pt idx="48">
                  <c:v>7.2</c:v>
                </c:pt>
                <c:pt idx="49">
                  <c:v>7.2</c:v>
                </c:pt>
              </c:numCache>
            </c:numRef>
          </c:val>
        </c:ser>
        <c:ser>
          <c:idx val="3"/>
          <c:order val="3"/>
          <c:tx>
            <c:v>Wandsworth Average</c:v>
          </c:tx>
          <c:marker>
            <c:symbol val="none"/>
          </c:marker>
          <c:cat>
            <c:strRef>
              <c:f>Data!$C$2:$C$51</c:f>
              <c:strCache>
                <c:ptCount val="50"/>
                <c:pt idx="0">
                  <c:v>Dr Nicholas &amp; Partners</c:v>
                </c:pt>
                <c:pt idx="1">
                  <c:v>Sai Medical Centre</c:v>
                </c:pt>
                <c:pt idx="2">
                  <c:v>The Wandle Valley Surgery</c:v>
                </c:pt>
                <c:pt idx="3">
                  <c:v>St. John's Hill Practice</c:v>
                </c:pt>
                <c:pt idx="4">
                  <c:v>Open Door Surgery</c:v>
                </c:pt>
                <c:pt idx="5">
                  <c:v>Wandsworth Medical Centre</c:v>
                </c:pt>
                <c:pt idx="6">
                  <c:v>Triangle Surgery</c:v>
                </c:pt>
                <c:pt idx="7">
                  <c:v>The Surgery, Balmuir Gardens</c:v>
                </c:pt>
                <c:pt idx="8">
                  <c:v>Elborough Street Surgery</c:v>
                </c:pt>
                <c:pt idx="9">
                  <c:v>Battersea Fields Practice</c:v>
                </c:pt>
                <c:pt idx="10">
                  <c:v>Balham Park Surgery</c:v>
                </c:pt>
                <c:pt idx="11">
                  <c:v>Furzedown Primary Care Centre</c:v>
                </c:pt>
                <c:pt idx="12">
                  <c:v>Mitcham Road Surgery</c:v>
                </c:pt>
                <c:pt idx="13">
                  <c:v>Putneymead Medical Centre</c:v>
                </c:pt>
                <c:pt idx="14">
                  <c:v>The Heathbridge Practice</c:v>
                </c:pt>
                <c:pt idx="15">
                  <c:v>Tooting Bec Surgery</c:v>
                </c:pt>
                <c:pt idx="16">
                  <c:v>Balham Health Centre</c:v>
                </c:pt>
                <c:pt idx="17">
                  <c:v>Queenstown Road Medical Practice</c:v>
                </c:pt>
                <c:pt idx="18">
                  <c:v>Earlsfield Surgery</c:v>
                </c:pt>
                <c:pt idx="19">
                  <c:v>Streatham Park Surgery</c:v>
                </c:pt>
                <c:pt idx="20">
                  <c:v>Bedford Hill Family Practice</c:v>
                </c:pt>
                <c:pt idx="21">
                  <c:v>Chartfield Surgery</c:v>
                </c:pt>
                <c:pt idx="22">
                  <c:v>Putneymead Medical Centre</c:v>
                </c:pt>
                <c:pt idx="23">
                  <c:v>Inner Park Road Health Centre</c:v>
                </c:pt>
                <c:pt idx="24">
                  <c:v>Granville Road Surgery</c:v>
                </c:pt>
                <c:pt idx="25">
                  <c:v>The Greyswood Practice</c:v>
                </c:pt>
                <c:pt idx="26">
                  <c:v>Chatfield Medical Centre</c:v>
                </c:pt>
                <c:pt idx="27">
                  <c:v>Thurleigh Road Practice</c:v>
                </c:pt>
                <c:pt idx="28">
                  <c:v>St Johns</c:v>
                </c:pt>
                <c:pt idx="29">
                  <c:v>The Bec Family Practice</c:v>
                </c:pt>
                <c:pt idx="30">
                  <c:v>Mayfield Surgery</c:v>
                </c:pt>
                <c:pt idx="31">
                  <c:v>Brocklebank Group Practice</c:v>
                </c:pt>
                <c:pt idx="32">
                  <c:v>Bridge Lane Group Practice</c:v>
                </c:pt>
                <c:pt idx="33">
                  <c:v>St Paul's Cottage Practice</c:v>
                </c:pt>
                <c:pt idx="34">
                  <c:v>The Franciscan Surgery</c:v>
                </c:pt>
                <c:pt idx="35">
                  <c:v>Lavender Hill Group Practice</c:v>
                </c:pt>
                <c:pt idx="36">
                  <c:v>The Falcon Road Medical Centre</c:v>
                </c:pt>
                <c:pt idx="37">
                  <c:v>Tooting South Medical Centre</c:v>
                </c:pt>
                <c:pt idx="38">
                  <c:v>Danebury Avenue Surgery</c:v>
                </c:pt>
                <c:pt idx="39">
                  <c:v>Dr Nicholas &amp; Partners</c:v>
                </c:pt>
                <c:pt idx="40">
                  <c:v>The Heritage Medical Centre</c:v>
                </c:pt>
                <c:pt idx="41">
                  <c:v>The Roehampton Surgery</c:v>
                </c:pt>
                <c:pt idx="42">
                  <c:v>Tudor Lodge Health Centre</c:v>
                </c:pt>
                <c:pt idx="43">
                  <c:v>Southfields Group Practice</c:v>
                </c:pt>
                <c:pt idx="44">
                  <c:v>Waterfall House</c:v>
                </c:pt>
                <c:pt idx="45">
                  <c:v>The Alton Practice</c:v>
                </c:pt>
                <c:pt idx="46">
                  <c:v>Battersea Rise Group Practice</c:v>
                </c:pt>
                <c:pt idx="47">
                  <c:v>Clapham Junction Medical Practice</c:v>
                </c:pt>
                <c:pt idx="48">
                  <c:v>Balham Hill Medical Practice</c:v>
                </c:pt>
                <c:pt idx="49">
                  <c:v>Northcote Road Surgery</c:v>
                </c:pt>
              </c:strCache>
            </c:strRef>
          </c:cat>
          <c:val>
            <c:numRef>
              <c:f>Data!$G$2:$G$51</c:f>
              <c:numCache>
                <c:formatCode>General</c:formatCode>
                <c:ptCount val="50"/>
                <c:pt idx="0">
                  <c:v>8.2000000000000011</c:v>
                </c:pt>
                <c:pt idx="1">
                  <c:v>8.2000000000000011</c:v>
                </c:pt>
                <c:pt idx="2">
                  <c:v>8.2000000000000011</c:v>
                </c:pt>
                <c:pt idx="3">
                  <c:v>8.2000000000000011</c:v>
                </c:pt>
                <c:pt idx="4">
                  <c:v>8.2000000000000011</c:v>
                </c:pt>
                <c:pt idx="5">
                  <c:v>8.2000000000000011</c:v>
                </c:pt>
                <c:pt idx="6">
                  <c:v>8.2000000000000011</c:v>
                </c:pt>
                <c:pt idx="7">
                  <c:v>8.2000000000000011</c:v>
                </c:pt>
                <c:pt idx="8">
                  <c:v>8.2000000000000011</c:v>
                </c:pt>
                <c:pt idx="9">
                  <c:v>8.2000000000000011</c:v>
                </c:pt>
                <c:pt idx="10">
                  <c:v>8.2000000000000011</c:v>
                </c:pt>
                <c:pt idx="11">
                  <c:v>8.2000000000000011</c:v>
                </c:pt>
                <c:pt idx="12">
                  <c:v>8.2000000000000011</c:v>
                </c:pt>
                <c:pt idx="13">
                  <c:v>8.2000000000000011</c:v>
                </c:pt>
                <c:pt idx="14">
                  <c:v>8.2000000000000011</c:v>
                </c:pt>
                <c:pt idx="15">
                  <c:v>8.2000000000000011</c:v>
                </c:pt>
                <c:pt idx="16">
                  <c:v>8.2000000000000011</c:v>
                </c:pt>
                <c:pt idx="17">
                  <c:v>8.2000000000000011</c:v>
                </c:pt>
                <c:pt idx="18">
                  <c:v>8.2000000000000011</c:v>
                </c:pt>
                <c:pt idx="19">
                  <c:v>8.2000000000000011</c:v>
                </c:pt>
                <c:pt idx="20">
                  <c:v>8.2000000000000011</c:v>
                </c:pt>
                <c:pt idx="21">
                  <c:v>8.2000000000000011</c:v>
                </c:pt>
                <c:pt idx="22">
                  <c:v>8.2000000000000011</c:v>
                </c:pt>
                <c:pt idx="23">
                  <c:v>8.2000000000000011</c:v>
                </c:pt>
                <c:pt idx="24">
                  <c:v>8.2000000000000011</c:v>
                </c:pt>
                <c:pt idx="25">
                  <c:v>8.2000000000000011</c:v>
                </c:pt>
                <c:pt idx="26">
                  <c:v>8.2000000000000011</c:v>
                </c:pt>
                <c:pt idx="27">
                  <c:v>8.2000000000000011</c:v>
                </c:pt>
                <c:pt idx="28">
                  <c:v>8.2000000000000011</c:v>
                </c:pt>
                <c:pt idx="29">
                  <c:v>8.2000000000000011</c:v>
                </c:pt>
                <c:pt idx="30">
                  <c:v>8.2000000000000011</c:v>
                </c:pt>
                <c:pt idx="31">
                  <c:v>8.2000000000000011</c:v>
                </c:pt>
                <c:pt idx="32">
                  <c:v>8.2000000000000011</c:v>
                </c:pt>
                <c:pt idx="33">
                  <c:v>8.2000000000000011</c:v>
                </c:pt>
                <c:pt idx="34">
                  <c:v>8.2000000000000011</c:v>
                </c:pt>
                <c:pt idx="35">
                  <c:v>8.2000000000000011</c:v>
                </c:pt>
                <c:pt idx="36">
                  <c:v>8.2000000000000011</c:v>
                </c:pt>
                <c:pt idx="37">
                  <c:v>8.2000000000000011</c:v>
                </c:pt>
                <c:pt idx="38">
                  <c:v>8.2000000000000011</c:v>
                </c:pt>
                <c:pt idx="39">
                  <c:v>8.2000000000000011</c:v>
                </c:pt>
                <c:pt idx="40">
                  <c:v>8.2000000000000011</c:v>
                </c:pt>
                <c:pt idx="41">
                  <c:v>8.2000000000000011</c:v>
                </c:pt>
                <c:pt idx="42">
                  <c:v>8.2000000000000011</c:v>
                </c:pt>
                <c:pt idx="43">
                  <c:v>8.2000000000000011</c:v>
                </c:pt>
                <c:pt idx="44">
                  <c:v>8.2000000000000011</c:v>
                </c:pt>
                <c:pt idx="45">
                  <c:v>8.2000000000000011</c:v>
                </c:pt>
                <c:pt idx="46">
                  <c:v>8.2000000000000011</c:v>
                </c:pt>
                <c:pt idx="47">
                  <c:v>8.2000000000000011</c:v>
                </c:pt>
                <c:pt idx="48">
                  <c:v>8.2000000000000011</c:v>
                </c:pt>
                <c:pt idx="49">
                  <c:v>8.2000000000000011</c:v>
                </c:pt>
              </c:numCache>
            </c:numRef>
          </c:val>
        </c:ser>
        <c:marker val="1"/>
        <c:axId val="104576128"/>
        <c:axId val="104577664"/>
      </c:lineChart>
      <c:catAx>
        <c:axId val="104576128"/>
        <c:scaling>
          <c:orientation val="minMax"/>
        </c:scaling>
        <c:axPos val="b"/>
        <c:tickLblPos val="nextTo"/>
        <c:txPr>
          <a:bodyPr rot="5400000" vert="horz"/>
          <a:lstStyle/>
          <a:p>
            <a:pPr>
              <a:defRPr sz="700"/>
            </a:pPr>
            <a:endParaRPr lang="en-US"/>
          </a:p>
        </c:txPr>
        <c:crossAx val="104577664"/>
        <c:crosses val="autoZero"/>
        <c:auto val="1"/>
        <c:lblAlgn val="ctr"/>
        <c:lblOffset val="100"/>
      </c:catAx>
      <c:valAx>
        <c:axId val="104577664"/>
        <c:scaling>
          <c:orientation val="minMax"/>
          <c:max val="75"/>
          <c:min val="0"/>
        </c:scaling>
        <c:axPos val="l"/>
        <c:title>
          <c:tx>
            <c:rich>
              <a:bodyPr rot="-5400000" vert="horz"/>
              <a:lstStyle/>
              <a:p>
                <a:pPr>
                  <a:defRPr/>
                </a:pPr>
                <a:r>
                  <a:rPr lang="en-US"/>
                  <a:t>Mean Length of stay (Days)</a:t>
                </a:r>
              </a:p>
            </c:rich>
          </c:tx>
        </c:title>
        <c:numFmt formatCode="General" sourceLinked="1"/>
        <c:tickLblPos val="nextTo"/>
        <c:crossAx val="104576128"/>
        <c:crosses val="autoZero"/>
        <c:crossBetween val="between"/>
      </c:valAx>
    </c:plotArea>
    <c:legend>
      <c:legendPos val="r"/>
      <c:legendEntry>
        <c:idx val="0"/>
        <c:delete val="1"/>
      </c:legendEntry>
      <c:legendEntry>
        <c:idx val="1"/>
        <c:delete val="1"/>
      </c:legendEntry>
      <c:layout>
        <c:manualLayout>
          <c:xMode val="edge"/>
          <c:yMode val="edge"/>
          <c:x val="0.59759498127346355"/>
          <c:y val="0.16782826485635324"/>
          <c:w val="0.18914912022003841"/>
          <c:h val="7.4187391718944104E-2"/>
        </c:manualLayout>
      </c:layout>
      <c:txPr>
        <a:bodyPr/>
        <a:lstStyle/>
        <a:p>
          <a:pPr>
            <a:defRPr sz="1200"/>
          </a:pPr>
          <a:endParaRPr lang="en-US"/>
        </a:p>
      </c:txP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Readmissions</a:t>
            </a:r>
            <a:r>
              <a:rPr lang="en-GB" baseline="0"/>
              <a:t> within 28 days for COPD emergency admissions</a:t>
            </a:r>
            <a:endParaRPr lang="en-GB"/>
          </a:p>
        </c:rich>
      </c:tx>
    </c:title>
    <c:plotArea>
      <c:layout/>
      <c:barChart>
        <c:barDir val="col"/>
        <c:grouping val="clustered"/>
        <c:ser>
          <c:idx val="0"/>
          <c:order val="0"/>
          <c:dPt>
            <c:idx val="8"/>
            <c:spPr>
              <a:solidFill>
                <a:schemeClr val="accent2">
                  <a:lumMod val="75000"/>
                </a:schemeClr>
              </a:solidFill>
            </c:spPr>
          </c:dPt>
          <c:cat>
            <c:strRef>
              <c:f>Data!$C$40:$C$70</c:f>
              <c:strCache>
                <c:ptCount val="31"/>
                <c:pt idx="0">
                  <c:v>Barnet PCT</c:v>
                </c:pt>
                <c:pt idx="1">
                  <c:v>Brent Teaching PCT</c:v>
                </c:pt>
                <c:pt idx="2">
                  <c:v>Hillingdon PCT</c:v>
                </c:pt>
                <c:pt idx="3">
                  <c:v>Lambeth PCT</c:v>
                </c:pt>
                <c:pt idx="4">
                  <c:v>City and Hackney Teaching PCT</c:v>
                </c:pt>
                <c:pt idx="5">
                  <c:v>Kingston PCT</c:v>
                </c:pt>
                <c:pt idx="6">
                  <c:v>Barking and Dagenham PCT</c:v>
                </c:pt>
                <c:pt idx="7">
                  <c:v>Richmond and Twickenham PCT</c:v>
                </c:pt>
                <c:pt idx="8">
                  <c:v>Wandsworth PCT</c:v>
                </c:pt>
                <c:pt idx="9">
                  <c:v>Bexley CT</c:v>
                </c:pt>
                <c:pt idx="10">
                  <c:v>Haringey Teaching PCT</c:v>
                </c:pt>
                <c:pt idx="11">
                  <c:v>Greenwich Teaching PCT</c:v>
                </c:pt>
                <c:pt idx="12">
                  <c:v>Newham PCT</c:v>
                </c:pt>
                <c:pt idx="13">
                  <c:v>Havering PCT</c:v>
                </c:pt>
                <c:pt idx="14">
                  <c:v>Croydon PCT</c:v>
                </c:pt>
                <c:pt idx="15">
                  <c:v>Ealing PCT</c:v>
                </c:pt>
                <c:pt idx="16">
                  <c:v>Kensington and Chelsea PCT</c:v>
                </c:pt>
                <c:pt idx="17">
                  <c:v>Camden PCT</c:v>
                </c:pt>
                <c:pt idx="18">
                  <c:v>Tower Hamlets PCT</c:v>
                </c:pt>
                <c:pt idx="19">
                  <c:v>Hounslow PCT</c:v>
                </c:pt>
                <c:pt idx="20">
                  <c:v>Hammersmith and Fulham PCT</c:v>
                </c:pt>
                <c:pt idx="21">
                  <c:v>Harrow PCT</c:v>
                </c:pt>
                <c:pt idx="22">
                  <c:v>Waltham Forest PCT</c:v>
                </c:pt>
                <c:pt idx="23">
                  <c:v>Bromley PCT</c:v>
                </c:pt>
                <c:pt idx="24">
                  <c:v>Enfield PCT</c:v>
                </c:pt>
                <c:pt idx="25">
                  <c:v>Westminster PCT</c:v>
                </c:pt>
                <c:pt idx="26">
                  <c:v>Southwark PCT</c:v>
                </c:pt>
                <c:pt idx="27">
                  <c:v>Redbridge PCT</c:v>
                </c:pt>
                <c:pt idx="28">
                  <c:v>Lewisham PCT</c:v>
                </c:pt>
                <c:pt idx="29">
                  <c:v>Islington PCT</c:v>
                </c:pt>
                <c:pt idx="30">
                  <c:v>Sutton and Merton PCT</c:v>
                </c:pt>
              </c:strCache>
            </c:strRef>
          </c:cat>
          <c:val>
            <c:numRef>
              <c:f>Data!$D$40:$D$70</c:f>
              <c:numCache>
                <c:formatCode>General</c:formatCode>
                <c:ptCount val="31"/>
                <c:pt idx="0">
                  <c:v>12.7</c:v>
                </c:pt>
                <c:pt idx="1">
                  <c:v>14.3</c:v>
                </c:pt>
                <c:pt idx="2">
                  <c:v>14.3</c:v>
                </c:pt>
                <c:pt idx="3">
                  <c:v>14.8</c:v>
                </c:pt>
                <c:pt idx="4">
                  <c:v>15.5</c:v>
                </c:pt>
                <c:pt idx="5">
                  <c:v>16.399999999999999</c:v>
                </c:pt>
                <c:pt idx="6">
                  <c:v>17.2</c:v>
                </c:pt>
                <c:pt idx="7">
                  <c:v>18.2</c:v>
                </c:pt>
                <c:pt idx="8">
                  <c:v>18.2</c:v>
                </c:pt>
                <c:pt idx="9">
                  <c:v>18.3</c:v>
                </c:pt>
                <c:pt idx="10">
                  <c:v>18.600000000000001</c:v>
                </c:pt>
                <c:pt idx="11">
                  <c:v>19.8</c:v>
                </c:pt>
                <c:pt idx="12">
                  <c:v>19.8</c:v>
                </c:pt>
                <c:pt idx="13">
                  <c:v>21.1</c:v>
                </c:pt>
                <c:pt idx="14">
                  <c:v>21.2</c:v>
                </c:pt>
                <c:pt idx="15">
                  <c:v>21.5</c:v>
                </c:pt>
                <c:pt idx="16">
                  <c:v>22.2</c:v>
                </c:pt>
                <c:pt idx="17">
                  <c:v>22.3</c:v>
                </c:pt>
                <c:pt idx="18">
                  <c:v>23.9</c:v>
                </c:pt>
                <c:pt idx="19">
                  <c:v>24.1</c:v>
                </c:pt>
                <c:pt idx="20">
                  <c:v>26.1</c:v>
                </c:pt>
                <c:pt idx="21">
                  <c:v>26.7</c:v>
                </c:pt>
                <c:pt idx="22">
                  <c:v>27.4</c:v>
                </c:pt>
                <c:pt idx="23">
                  <c:v>27.6</c:v>
                </c:pt>
                <c:pt idx="24">
                  <c:v>27.8</c:v>
                </c:pt>
                <c:pt idx="25">
                  <c:v>28.4</c:v>
                </c:pt>
                <c:pt idx="26">
                  <c:v>29.7</c:v>
                </c:pt>
                <c:pt idx="27">
                  <c:v>29.8</c:v>
                </c:pt>
                <c:pt idx="28">
                  <c:v>31</c:v>
                </c:pt>
                <c:pt idx="29">
                  <c:v>31.2</c:v>
                </c:pt>
                <c:pt idx="30">
                  <c:v>33</c:v>
                </c:pt>
              </c:numCache>
            </c:numRef>
          </c:val>
        </c:ser>
        <c:axId val="104761216"/>
        <c:axId val="104762752"/>
      </c:barChart>
      <c:lineChart>
        <c:grouping val="standard"/>
        <c:ser>
          <c:idx val="1"/>
          <c:order val="1"/>
          <c:tx>
            <c:v>London</c:v>
          </c:tx>
          <c:marker>
            <c:symbol val="none"/>
          </c:marker>
          <c:cat>
            <c:strRef>
              <c:f>Data!$C$40:$C$70</c:f>
              <c:strCache>
                <c:ptCount val="31"/>
                <c:pt idx="0">
                  <c:v>Barnet PCT</c:v>
                </c:pt>
                <c:pt idx="1">
                  <c:v>Brent Teaching PCT</c:v>
                </c:pt>
                <c:pt idx="2">
                  <c:v>Hillingdon PCT</c:v>
                </c:pt>
                <c:pt idx="3">
                  <c:v>Lambeth PCT</c:v>
                </c:pt>
                <c:pt idx="4">
                  <c:v>City and Hackney Teaching PCT</c:v>
                </c:pt>
                <c:pt idx="5">
                  <c:v>Kingston PCT</c:v>
                </c:pt>
                <c:pt idx="6">
                  <c:v>Barking and Dagenham PCT</c:v>
                </c:pt>
                <c:pt idx="7">
                  <c:v>Richmond and Twickenham PCT</c:v>
                </c:pt>
                <c:pt idx="8">
                  <c:v>Wandsworth PCT</c:v>
                </c:pt>
                <c:pt idx="9">
                  <c:v>Bexley CT</c:v>
                </c:pt>
                <c:pt idx="10">
                  <c:v>Haringey Teaching PCT</c:v>
                </c:pt>
                <c:pt idx="11">
                  <c:v>Greenwich Teaching PCT</c:v>
                </c:pt>
                <c:pt idx="12">
                  <c:v>Newham PCT</c:v>
                </c:pt>
                <c:pt idx="13">
                  <c:v>Havering PCT</c:v>
                </c:pt>
                <c:pt idx="14">
                  <c:v>Croydon PCT</c:v>
                </c:pt>
                <c:pt idx="15">
                  <c:v>Ealing PCT</c:v>
                </c:pt>
                <c:pt idx="16">
                  <c:v>Kensington and Chelsea PCT</c:v>
                </c:pt>
                <c:pt idx="17">
                  <c:v>Camden PCT</c:v>
                </c:pt>
                <c:pt idx="18">
                  <c:v>Tower Hamlets PCT</c:v>
                </c:pt>
                <c:pt idx="19">
                  <c:v>Hounslow PCT</c:v>
                </c:pt>
                <c:pt idx="20">
                  <c:v>Hammersmith and Fulham PCT</c:v>
                </c:pt>
                <c:pt idx="21">
                  <c:v>Harrow PCT</c:v>
                </c:pt>
                <c:pt idx="22">
                  <c:v>Waltham Forest PCT</c:v>
                </c:pt>
                <c:pt idx="23">
                  <c:v>Bromley PCT</c:v>
                </c:pt>
                <c:pt idx="24">
                  <c:v>Enfield PCT</c:v>
                </c:pt>
                <c:pt idx="25">
                  <c:v>Westminster PCT</c:v>
                </c:pt>
                <c:pt idx="26">
                  <c:v>Southwark PCT</c:v>
                </c:pt>
                <c:pt idx="27">
                  <c:v>Redbridge PCT</c:v>
                </c:pt>
                <c:pt idx="28">
                  <c:v>Lewisham PCT</c:v>
                </c:pt>
                <c:pt idx="29">
                  <c:v>Islington PCT</c:v>
                </c:pt>
                <c:pt idx="30">
                  <c:v>Sutton and Merton PCT</c:v>
                </c:pt>
              </c:strCache>
            </c:strRef>
          </c:cat>
          <c:val>
            <c:numRef>
              <c:f>Data!$E$40:$E$70</c:f>
              <c:numCache>
                <c:formatCode>General</c:formatCode>
                <c:ptCount val="31"/>
                <c:pt idx="0">
                  <c:v>22.7</c:v>
                </c:pt>
                <c:pt idx="1">
                  <c:v>22.7</c:v>
                </c:pt>
                <c:pt idx="2">
                  <c:v>22.7</c:v>
                </c:pt>
                <c:pt idx="3">
                  <c:v>22.7</c:v>
                </c:pt>
                <c:pt idx="4">
                  <c:v>22.7</c:v>
                </c:pt>
                <c:pt idx="5">
                  <c:v>22.7</c:v>
                </c:pt>
                <c:pt idx="6">
                  <c:v>22.7</c:v>
                </c:pt>
                <c:pt idx="7">
                  <c:v>22.7</c:v>
                </c:pt>
                <c:pt idx="8">
                  <c:v>22.7</c:v>
                </c:pt>
                <c:pt idx="9">
                  <c:v>22.7</c:v>
                </c:pt>
                <c:pt idx="10">
                  <c:v>22.7</c:v>
                </c:pt>
                <c:pt idx="11">
                  <c:v>22.7</c:v>
                </c:pt>
                <c:pt idx="12">
                  <c:v>22.7</c:v>
                </c:pt>
                <c:pt idx="13">
                  <c:v>22.7</c:v>
                </c:pt>
                <c:pt idx="14">
                  <c:v>22.7</c:v>
                </c:pt>
                <c:pt idx="15">
                  <c:v>22.7</c:v>
                </c:pt>
                <c:pt idx="16">
                  <c:v>22.7</c:v>
                </c:pt>
                <c:pt idx="17">
                  <c:v>22.7</c:v>
                </c:pt>
                <c:pt idx="18">
                  <c:v>22.7</c:v>
                </c:pt>
                <c:pt idx="19">
                  <c:v>22.7</c:v>
                </c:pt>
                <c:pt idx="20">
                  <c:v>22.7</c:v>
                </c:pt>
                <c:pt idx="21">
                  <c:v>22.7</c:v>
                </c:pt>
                <c:pt idx="22">
                  <c:v>22.7</c:v>
                </c:pt>
                <c:pt idx="23">
                  <c:v>22.7</c:v>
                </c:pt>
                <c:pt idx="24">
                  <c:v>22.7</c:v>
                </c:pt>
                <c:pt idx="25">
                  <c:v>22.7</c:v>
                </c:pt>
                <c:pt idx="26">
                  <c:v>22.7</c:v>
                </c:pt>
                <c:pt idx="27">
                  <c:v>22.7</c:v>
                </c:pt>
                <c:pt idx="28">
                  <c:v>22.7</c:v>
                </c:pt>
                <c:pt idx="29">
                  <c:v>22.7</c:v>
                </c:pt>
                <c:pt idx="30">
                  <c:v>22.7</c:v>
                </c:pt>
              </c:numCache>
            </c:numRef>
          </c:val>
        </c:ser>
        <c:ser>
          <c:idx val="2"/>
          <c:order val="2"/>
          <c:tx>
            <c:v>England</c:v>
          </c:tx>
          <c:marker>
            <c:symbol val="none"/>
          </c:marker>
          <c:cat>
            <c:strRef>
              <c:f>Data!$C$40:$C$70</c:f>
              <c:strCache>
                <c:ptCount val="31"/>
                <c:pt idx="0">
                  <c:v>Barnet PCT</c:v>
                </c:pt>
                <c:pt idx="1">
                  <c:v>Brent Teaching PCT</c:v>
                </c:pt>
                <c:pt idx="2">
                  <c:v>Hillingdon PCT</c:v>
                </c:pt>
                <c:pt idx="3">
                  <c:v>Lambeth PCT</c:v>
                </c:pt>
                <c:pt idx="4">
                  <c:v>City and Hackney Teaching PCT</c:v>
                </c:pt>
                <c:pt idx="5">
                  <c:v>Kingston PCT</c:v>
                </c:pt>
                <c:pt idx="6">
                  <c:v>Barking and Dagenham PCT</c:v>
                </c:pt>
                <c:pt idx="7">
                  <c:v>Richmond and Twickenham PCT</c:v>
                </c:pt>
                <c:pt idx="8">
                  <c:v>Wandsworth PCT</c:v>
                </c:pt>
                <c:pt idx="9">
                  <c:v>Bexley CT</c:v>
                </c:pt>
                <c:pt idx="10">
                  <c:v>Haringey Teaching PCT</c:v>
                </c:pt>
                <c:pt idx="11">
                  <c:v>Greenwich Teaching PCT</c:v>
                </c:pt>
                <c:pt idx="12">
                  <c:v>Newham PCT</c:v>
                </c:pt>
                <c:pt idx="13">
                  <c:v>Havering PCT</c:v>
                </c:pt>
                <c:pt idx="14">
                  <c:v>Croydon PCT</c:v>
                </c:pt>
                <c:pt idx="15">
                  <c:v>Ealing PCT</c:v>
                </c:pt>
                <c:pt idx="16">
                  <c:v>Kensington and Chelsea PCT</c:v>
                </c:pt>
                <c:pt idx="17">
                  <c:v>Camden PCT</c:v>
                </c:pt>
                <c:pt idx="18">
                  <c:v>Tower Hamlets PCT</c:v>
                </c:pt>
                <c:pt idx="19">
                  <c:v>Hounslow PCT</c:v>
                </c:pt>
                <c:pt idx="20">
                  <c:v>Hammersmith and Fulham PCT</c:v>
                </c:pt>
                <c:pt idx="21">
                  <c:v>Harrow PCT</c:v>
                </c:pt>
                <c:pt idx="22">
                  <c:v>Waltham Forest PCT</c:v>
                </c:pt>
                <c:pt idx="23">
                  <c:v>Bromley PCT</c:v>
                </c:pt>
                <c:pt idx="24">
                  <c:v>Enfield PCT</c:v>
                </c:pt>
                <c:pt idx="25">
                  <c:v>Westminster PCT</c:v>
                </c:pt>
                <c:pt idx="26">
                  <c:v>Southwark PCT</c:v>
                </c:pt>
                <c:pt idx="27">
                  <c:v>Redbridge PCT</c:v>
                </c:pt>
                <c:pt idx="28">
                  <c:v>Lewisham PCT</c:v>
                </c:pt>
                <c:pt idx="29">
                  <c:v>Islington PCT</c:v>
                </c:pt>
                <c:pt idx="30">
                  <c:v>Sutton and Merton PCT</c:v>
                </c:pt>
              </c:strCache>
            </c:strRef>
          </c:cat>
          <c:val>
            <c:numRef>
              <c:f>Data!$F$40:$F$70</c:f>
              <c:numCache>
                <c:formatCode>General</c:formatCode>
                <c:ptCount val="31"/>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22</c:v>
                </c:pt>
                <c:pt idx="15">
                  <c:v>22</c:v>
                </c:pt>
                <c:pt idx="16">
                  <c:v>22</c:v>
                </c:pt>
                <c:pt idx="17">
                  <c:v>22</c:v>
                </c:pt>
                <c:pt idx="18">
                  <c:v>22</c:v>
                </c:pt>
                <c:pt idx="19">
                  <c:v>22</c:v>
                </c:pt>
                <c:pt idx="20">
                  <c:v>22</c:v>
                </c:pt>
                <c:pt idx="21">
                  <c:v>22</c:v>
                </c:pt>
                <c:pt idx="22">
                  <c:v>22</c:v>
                </c:pt>
                <c:pt idx="23">
                  <c:v>22</c:v>
                </c:pt>
                <c:pt idx="24">
                  <c:v>22</c:v>
                </c:pt>
                <c:pt idx="25">
                  <c:v>22</c:v>
                </c:pt>
                <c:pt idx="26">
                  <c:v>22</c:v>
                </c:pt>
                <c:pt idx="27">
                  <c:v>22</c:v>
                </c:pt>
                <c:pt idx="28">
                  <c:v>22</c:v>
                </c:pt>
                <c:pt idx="29">
                  <c:v>22</c:v>
                </c:pt>
                <c:pt idx="30">
                  <c:v>22</c:v>
                </c:pt>
              </c:numCache>
            </c:numRef>
          </c:val>
        </c:ser>
        <c:marker val="1"/>
        <c:axId val="104761216"/>
        <c:axId val="104762752"/>
      </c:lineChart>
      <c:catAx>
        <c:axId val="104761216"/>
        <c:scaling>
          <c:orientation val="minMax"/>
        </c:scaling>
        <c:axPos val="b"/>
        <c:tickLblPos val="nextTo"/>
        <c:crossAx val="104762752"/>
        <c:crosses val="autoZero"/>
        <c:auto val="1"/>
        <c:lblAlgn val="ctr"/>
        <c:lblOffset val="100"/>
      </c:catAx>
      <c:valAx>
        <c:axId val="104762752"/>
        <c:scaling>
          <c:orientation val="minMax"/>
        </c:scaling>
        <c:axPos val="l"/>
        <c:majorGridlines/>
        <c:title>
          <c:tx>
            <c:rich>
              <a:bodyPr rot="-5400000" vert="horz"/>
              <a:lstStyle/>
              <a:p>
                <a:pPr>
                  <a:defRPr/>
                </a:pPr>
                <a:r>
                  <a:rPr lang="en-US"/>
                  <a:t>% of admission readmitted within 28 days</a:t>
                </a:r>
              </a:p>
            </c:rich>
          </c:tx>
        </c:title>
        <c:numFmt formatCode="General" sourceLinked="1"/>
        <c:tickLblPos val="nextTo"/>
        <c:crossAx val="104761216"/>
        <c:crosses val="autoZero"/>
        <c:crossBetween val="between"/>
      </c:valAx>
    </c:plotArea>
    <c:legend>
      <c:legendPos val="r"/>
      <c:legendEntry>
        <c:idx val="0"/>
        <c:delete val="1"/>
      </c:legendEntry>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Pounds spent on COPD admissions per 1,000 patients</a:t>
            </a:r>
          </a:p>
        </c:rich>
      </c:tx>
    </c:title>
    <c:plotArea>
      <c:layout>
        <c:manualLayout>
          <c:layoutTarget val="inner"/>
          <c:xMode val="edge"/>
          <c:yMode val="edge"/>
          <c:x val="0.14808523408316568"/>
          <c:y val="0.20519845399962774"/>
          <c:w val="0.79653023374293719"/>
          <c:h val="0.38222366958656584"/>
        </c:manualLayout>
      </c:layout>
      <c:barChart>
        <c:barDir val="col"/>
        <c:grouping val="stacked"/>
        <c:ser>
          <c:idx val="0"/>
          <c:order val="0"/>
          <c:dPt>
            <c:idx val="22"/>
            <c:spPr>
              <a:solidFill>
                <a:schemeClr val="accent2">
                  <a:lumMod val="75000"/>
                </a:schemeClr>
              </a:solidFill>
            </c:spPr>
          </c:dPt>
          <c:cat>
            <c:strRef>
              <c:f>Data!$C$2:$C$32</c:f>
              <c:strCache>
                <c:ptCount val="31"/>
                <c:pt idx="0">
                  <c:v>Bromley PCT</c:v>
                </c:pt>
                <c:pt idx="1">
                  <c:v>Richmond and Twickenham PCT</c:v>
                </c:pt>
                <c:pt idx="2">
                  <c:v>Harrow PCT</c:v>
                </c:pt>
                <c:pt idx="3">
                  <c:v>Kingston PCT</c:v>
                </c:pt>
                <c:pt idx="4">
                  <c:v>Brent Teaching PCT</c:v>
                </c:pt>
                <c:pt idx="5">
                  <c:v>Redbridge PCT</c:v>
                </c:pt>
                <c:pt idx="6">
                  <c:v>Barnet PCT</c:v>
                </c:pt>
                <c:pt idx="7">
                  <c:v>Hillingdon PCT</c:v>
                </c:pt>
                <c:pt idx="8">
                  <c:v>Lambeth PCT</c:v>
                </c:pt>
                <c:pt idx="9">
                  <c:v>Croydon PCT</c:v>
                </c:pt>
                <c:pt idx="10">
                  <c:v>Bexley CT</c:v>
                </c:pt>
                <c:pt idx="11">
                  <c:v>Enfield PCT</c:v>
                </c:pt>
                <c:pt idx="12">
                  <c:v>Sutton and Merton PCT</c:v>
                </c:pt>
                <c:pt idx="13">
                  <c:v>Haringey Teaching PCT</c:v>
                </c:pt>
                <c:pt idx="14">
                  <c:v>Ealing PCT</c:v>
                </c:pt>
                <c:pt idx="15">
                  <c:v>Havering PCT</c:v>
                </c:pt>
                <c:pt idx="16">
                  <c:v>Hounslow PCT</c:v>
                </c:pt>
                <c:pt idx="17">
                  <c:v>Kensington and Chelsea PCT</c:v>
                </c:pt>
                <c:pt idx="18">
                  <c:v>City and Hackney Teaching PCT</c:v>
                </c:pt>
                <c:pt idx="19">
                  <c:v>Westminster PCT</c:v>
                </c:pt>
                <c:pt idx="20">
                  <c:v>Waltham Forest PCT</c:v>
                </c:pt>
                <c:pt idx="21">
                  <c:v>Lewisham PCT</c:v>
                </c:pt>
                <c:pt idx="22">
                  <c:v>Wandsworth PCT</c:v>
                </c:pt>
                <c:pt idx="23">
                  <c:v>Hammersmith and Fulham PCT</c:v>
                </c:pt>
                <c:pt idx="24">
                  <c:v>Newham PCT</c:v>
                </c:pt>
                <c:pt idx="25">
                  <c:v>Greenwich Teaching PCT</c:v>
                </c:pt>
                <c:pt idx="26">
                  <c:v>Southwark PCT</c:v>
                </c:pt>
                <c:pt idx="27">
                  <c:v>Camden PCT</c:v>
                </c:pt>
                <c:pt idx="28">
                  <c:v>Islington PCT</c:v>
                </c:pt>
                <c:pt idx="29">
                  <c:v>Barking and Dagenham PCT</c:v>
                </c:pt>
                <c:pt idx="30">
                  <c:v>Tower Hamlets PCT</c:v>
                </c:pt>
              </c:strCache>
            </c:strRef>
          </c:cat>
          <c:val>
            <c:numRef>
              <c:f>Data!$D$2:$D$32</c:f>
              <c:numCache>
                <c:formatCode>General</c:formatCode>
                <c:ptCount val="31"/>
                <c:pt idx="0">
                  <c:v>2974.1</c:v>
                </c:pt>
                <c:pt idx="1">
                  <c:v>3018.1</c:v>
                </c:pt>
                <c:pt idx="2">
                  <c:v>3190.2</c:v>
                </c:pt>
                <c:pt idx="3">
                  <c:v>3242.6</c:v>
                </c:pt>
                <c:pt idx="4">
                  <c:v>3436.1</c:v>
                </c:pt>
                <c:pt idx="5">
                  <c:v>3439.7</c:v>
                </c:pt>
                <c:pt idx="6">
                  <c:v>3454</c:v>
                </c:pt>
                <c:pt idx="7">
                  <c:v>3472.4</c:v>
                </c:pt>
                <c:pt idx="8">
                  <c:v>3966.3</c:v>
                </c:pt>
                <c:pt idx="9">
                  <c:v>3992.3</c:v>
                </c:pt>
                <c:pt idx="10">
                  <c:v>4007.3</c:v>
                </c:pt>
                <c:pt idx="11">
                  <c:v>4123.6000000000004</c:v>
                </c:pt>
                <c:pt idx="12">
                  <c:v>4212.7</c:v>
                </c:pt>
                <c:pt idx="13">
                  <c:v>4269.6000000000004</c:v>
                </c:pt>
                <c:pt idx="14">
                  <c:v>4313.4000000000005</c:v>
                </c:pt>
                <c:pt idx="15">
                  <c:v>4498.9000000000005</c:v>
                </c:pt>
                <c:pt idx="16">
                  <c:v>4544.1000000000004</c:v>
                </c:pt>
                <c:pt idx="17">
                  <c:v>4718.1000000000004</c:v>
                </c:pt>
                <c:pt idx="18">
                  <c:v>4757.3</c:v>
                </c:pt>
                <c:pt idx="19">
                  <c:v>4780.8</c:v>
                </c:pt>
                <c:pt idx="20">
                  <c:v>5196.5</c:v>
                </c:pt>
                <c:pt idx="21">
                  <c:v>5264.5</c:v>
                </c:pt>
                <c:pt idx="22">
                  <c:v>5330.3</c:v>
                </c:pt>
                <c:pt idx="23">
                  <c:v>5464.1</c:v>
                </c:pt>
                <c:pt idx="24">
                  <c:v>5806.2</c:v>
                </c:pt>
                <c:pt idx="25">
                  <c:v>6155.9</c:v>
                </c:pt>
                <c:pt idx="26">
                  <c:v>6943.7</c:v>
                </c:pt>
                <c:pt idx="27">
                  <c:v>6996.6</c:v>
                </c:pt>
                <c:pt idx="28">
                  <c:v>7224.1</c:v>
                </c:pt>
                <c:pt idx="29">
                  <c:v>9011.9</c:v>
                </c:pt>
                <c:pt idx="30">
                  <c:v>10987.6</c:v>
                </c:pt>
              </c:numCache>
            </c:numRef>
          </c:val>
        </c:ser>
        <c:overlap val="100"/>
        <c:axId val="104791040"/>
        <c:axId val="104801024"/>
      </c:barChart>
      <c:lineChart>
        <c:grouping val="standard"/>
        <c:ser>
          <c:idx val="1"/>
          <c:order val="1"/>
          <c:tx>
            <c:v>National Average</c:v>
          </c:tx>
          <c:marker>
            <c:symbol val="none"/>
          </c:marker>
          <c:cat>
            <c:strRef>
              <c:f>Data!$C$2:$C$32</c:f>
              <c:strCache>
                <c:ptCount val="31"/>
                <c:pt idx="0">
                  <c:v>Bromley PCT</c:v>
                </c:pt>
                <c:pt idx="1">
                  <c:v>Richmond and Twickenham PCT</c:v>
                </c:pt>
                <c:pt idx="2">
                  <c:v>Harrow PCT</c:v>
                </c:pt>
                <c:pt idx="3">
                  <c:v>Kingston PCT</c:v>
                </c:pt>
                <c:pt idx="4">
                  <c:v>Brent Teaching PCT</c:v>
                </c:pt>
                <c:pt idx="5">
                  <c:v>Redbridge PCT</c:v>
                </c:pt>
                <c:pt idx="6">
                  <c:v>Barnet PCT</c:v>
                </c:pt>
                <c:pt idx="7">
                  <c:v>Hillingdon PCT</c:v>
                </c:pt>
                <c:pt idx="8">
                  <c:v>Lambeth PCT</c:v>
                </c:pt>
                <c:pt idx="9">
                  <c:v>Croydon PCT</c:v>
                </c:pt>
                <c:pt idx="10">
                  <c:v>Bexley CT</c:v>
                </c:pt>
                <c:pt idx="11">
                  <c:v>Enfield PCT</c:v>
                </c:pt>
                <c:pt idx="12">
                  <c:v>Sutton and Merton PCT</c:v>
                </c:pt>
                <c:pt idx="13">
                  <c:v>Haringey Teaching PCT</c:v>
                </c:pt>
                <c:pt idx="14">
                  <c:v>Ealing PCT</c:v>
                </c:pt>
                <c:pt idx="15">
                  <c:v>Havering PCT</c:v>
                </c:pt>
                <c:pt idx="16">
                  <c:v>Hounslow PCT</c:v>
                </c:pt>
                <c:pt idx="17">
                  <c:v>Kensington and Chelsea PCT</c:v>
                </c:pt>
                <c:pt idx="18">
                  <c:v>City and Hackney Teaching PCT</c:v>
                </c:pt>
                <c:pt idx="19">
                  <c:v>Westminster PCT</c:v>
                </c:pt>
                <c:pt idx="20">
                  <c:v>Waltham Forest PCT</c:v>
                </c:pt>
                <c:pt idx="21">
                  <c:v>Lewisham PCT</c:v>
                </c:pt>
                <c:pt idx="22">
                  <c:v>Wandsworth PCT</c:v>
                </c:pt>
                <c:pt idx="23">
                  <c:v>Hammersmith and Fulham PCT</c:v>
                </c:pt>
                <c:pt idx="24">
                  <c:v>Newham PCT</c:v>
                </c:pt>
                <c:pt idx="25">
                  <c:v>Greenwich Teaching PCT</c:v>
                </c:pt>
                <c:pt idx="26">
                  <c:v>Southwark PCT</c:v>
                </c:pt>
                <c:pt idx="27">
                  <c:v>Camden PCT</c:v>
                </c:pt>
                <c:pt idx="28">
                  <c:v>Islington PCT</c:v>
                </c:pt>
                <c:pt idx="29">
                  <c:v>Barking and Dagenham PCT</c:v>
                </c:pt>
                <c:pt idx="30">
                  <c:v>Tower Hamlets PCT</c:v>
                </c:pt>
              </c:strCache>
            </c:strRef>
          </c:cat>
          <c:val>
            <c:numRef>
              <c:f>Data!$E$2:$E$32</c:f>
              <c:numCache>
                <c:formatCode>General</c:formatCode>
                <c:ptCount val="31"/>
                <c:pt idx="0">
                  <c:v>4226.5</c:v>
                </c:pt>
                <c:pt idx="1">
                  <c:v>4226.5</c:v>
                </c:pt>
                <c:pt idx="2">
                  <c:v>4226.5</c:v>
                </c:pt>
                <c:pt idx="3">
                  <c:v>4226.5</c:v>
                </c:pt>
                <c:pt idx="4">
                  <c:v>4226.5</c:v>
                </c:pt>
                <c:pt idx="5">
                  <c:v>4226.5</c:v>
                </c:pt>
                <c:pt idx="6">
                  <c:v>4226.5</c:v>
                </c:pt>
                <c:pt idx="7">
                  <c:v>4226.5</c:v>
                </c:pt>
                <c:pt idx="8">
                  <c:v>4226.5</c:v>
                </c:pt>
                <c:pt idx="9">
                  <c:v>4226.5</c:v>
                </c:pt>
                <c:pt idx="10">
                  <c:v>4226.5</c:v>
                </c:pt>
                <c:pt idx="11">
                  <c:v>4226.5</c:v>
                </c:pt>
                <c:pt idx="12">
                  <c:v>4226.5</c:v>
                </c:pt>
                <c:pt idx="13">
                  <c:v>4226.5</c:v>
                </c:pt>
                <c:pt idx="14">
                  <c:v>4226.5</c:v>
                </c:pt>
                <c:pt idx="15">
                  <c:v>4226.5</c:v>
                </c:pt>
                <c:pt idx="16">
                  <c:v>4226.5</c:v>
                </c:pt>
                <c:pt idx="17">
                  <c:v>4226.5</c:v>
                </c:pt>
                <c:pt idx="18">
                  <c:v>4226.5</c:v>
                </c:pt>
                <c:pt idx="19">
                  <c:v>4226.5</c:v>
                </c:pt>
                <c:pt idx="20">
                  <c:v>4226.5</c:v>
                </c:pt>
                <c:pt idx="21">
                  <c:v>4226.5</c:v>
                </c:pt>
                <c:pt idx="22">
                  <c:v>4226.5</c:v>
                </c:pt>
                <c:pt idx="23">
                  <c:v>4226.5</c:v>
                </c:pt>
                <c:pt idx="24">
                  <c:v>4226.5</c:v>
                </c:pt>
                <c:pt idx="25">
                  <c:v>4226.5</c:v>
                </c:pt>
                <c:pt idx="26">
                  <c:v>4226.5</c:v>
                </c:pt>
                <c:pt idx="27">
                  <c:v>4226.5</c:v>
                </c:pt>
                <c:pt idx="28">
                  <c:v>4226.5</c:v>
                </c:pt>
                <c:pt idx="29">
                  <c:v>4226.5</c:v>
                </c:pt>
                <c:pt idx="30">
                  <c:v>4226.5</c:v>
                </c:pt>
              </c:numCache>
            </c:numRef>
          </c:val>
        </c:ser>
        <c:ser>
          <c:idx val="2"/>
          <c:order val="2"/>
          <c:tx>
            <c:v>London Average</c:v>
          </c:tx>
          <c:marker>
            <c:symbol val="none"/>
          </c:marker>
          <c:cat>
            <c:strRef>
              <c:f>Data!$C$2:$C$32</c:f>
              <c:strCache>
                <c:ptCount val="31"/>
                <c:pt idx="0">
                  <c:v>Bromley PCT</c:v>
                </c:pt>
                <c:pt idx="1">
                  <c:v>Richmond and Twickenham PCT</c:v>
                </c:pt>
                <c:pt idx="2">
                  <c:v>Harrow PCT</c:v>
                </c:pt>
                <c:pt idx="3">
                  <c:v>Kingston PCT</c:v>
                </c:pt>
                <c:pt idx="4">
                  <c:v>Brent Teaching PCT</c:v>
                </c:pt>
                <c:pt idx="5">
                  <c:v>Redbridge PCT</c:v>
                </c:pt>
                <c:pt idx="6">
                  <c:v>Barnet PCT</c:v>
                </c:pt>
                <c:pt idx="7">
                  <c:v>Hillingdon PCT</c:v>
                </c:pt>
                <c:pt idx="8">
                  <c:v>Lambeth PCT</c:v>
                </c:pt>
                <c:pt idx="9">
                  <c:v>Croydon PCT</c:v>
                </c:pt>
                <c:pt idx="10">
                  <c:v>Bexley CT</c:v>
                </c:pt>
                <c:pt idx="11">
                  <c:v>Enfield PCT</c:v>
                </c:pt>
                <c:pt idx="12">
                  <c:v>Sutton and Merton PCT</c:v>
                </c:pt>
                <c:pt idx="13">
                  <c:v>Haringey Teaching PCT</c:v>
                </c:pt>
                <c:pt idx="14">
                  <c:v>Ealing PCT</c:v>
                </c:pt>
                <c:pt idx="15">
                  <c:v>Havering PCT</c:v>
                </c:pt>
                <c:pt idx="16">
                  <c:v>Hounslow PCT</c:v>
                </c:pt>
                <c:pt idx="17">
                  <c:v>Kensington and Chelsea PCT</c:v>
                </c:pt>
                <c:pt idx="18">
                  <c:v>City and Hackney Teaching PCT</c:v>
                </c:pt>
                <c:pt idx="19">
                  <c:v>Westminster PCT</c:v>
                </c:pt>
                <c:pt idx="20">
                  <c:v>Waltham Forest PCT</c:v>
                </c:pt>
                <c:pt idx="21">
                  <c:v>Lewisham PCT</c:v>
                </c:pt>
                <c:pt idx="22">
                  <c:v>Wandsworth PCT</c:v>
                </c:pt>
                <c:pt idx="23">
                  <c:v>Hammersmith and Fulham PCT</c:v>
                </c:pt>
                <c:pt idx="24">
                  <c:v>Newham PCT</c:v>
                </c:pt>
                <c:pt idx="25">
                  <c:v>Greenwich Teaching PCT</c:v>
                </c:pt>
                <c:pt idx="26">
                  <c:v>Southwark PCT</c:v>
                </c:pt>
                <c:pt idx="27">
                  <c:v>Camden PCT</c:v>
                </c:pt>
                <c:pt idx="28">
                  <c:v>Islington PCT</c:v>
                </c:pt>
                <c:pt idx="29">
                  <c:v>Barking and Dagenham PCT</c:v>
                </c:pt>
                <c:pt idx="30">
                  <c:v>Tower Hamlets PCT</c:v>
                </c:pt>
              </c:strCache>
            </c:strRef>
          </c:cat>
          <c:val>
            <c:numRef>
              <c:f>Data!$F$2:$F$32</c:f>
              <c:numCache>
                <c:formatCode>General</c:formatCode>
                <c:ptCount val="31"/>
                <c:pt idx="0">
                  <c:v>4611.3</c:v>
                </c:pt>
                <c:pt idx="1">
                  <c:v>4611.3</c:v>
                </c:pt>
                <c:pt idx="2">
                  <c:v>4611.3</c:v>
                </c:pt>
                <c:pt idx="3">
                  <c:v>4611.3</c:v>
                </c:pt>
                <c:pt idx="4">
                  <c:v>4611.3</c:v>
                </c:pt>
                <c:pt idx="5">
                  <c:v>4611.3</c:v>
                </c:pt>
                <c:pt idx="6">
                  <c:v>4611.3</c:v>
                </c:pt>
                <c:pt idx="7">
                  <c:v>4611.3</c:v>
                </c:pt>
                <c:pt idx="8">
                  <c:v>4611.3</c:v>
                </c:pt>
                <c:pt idx="9">
                  <c:v>4611.3</c:v>
                </c:pt>
                <c:pt idx="10">
                  <c:v>4611.3</c:v>
                </c:pt>
                <c:pt idx="11">
                  <c:v>4611.3</c:v>
                </c:pt>
                <c:pt idx="12">
                  <c:v>4611.3</c:v>
                </c:pt>
                <c:pt idx="13">
                  <c:v>4611.3</c:v>
                </c:pt>
                <c:pt idx="14">
                  <c:v>4611.3</c:v>
                </c:pt>
                <c:pt idx="15">
                  <c:v>4611.3</c:v>
                </c:pt>
                <c:pt idx="16">
                  <c:v>4611.3</c:v>
                </c:pt>
                <c:pt idx="17">
                  <c:v>4611.3</c:v>
                </c:pt>
                <c:pt idx="18">
                  <c:v>4611.3</c:v>
                </c:pt>
                <c:pt idx="19">
                  <c:v>4611.3</c:v>
                </c:pt>
                <c:pt idx="20">
                  <c:v>4611.3</c:v>
                </c:pt>
                <c:pt idx="21">
                  <c:v>4611.3</c:v>
                </c:pt>
                <c:pt idx="22">
                  <c:v>4611.3</c:v>
                </c:pt>
                <c:pt idx="23">
                  <c:v>4611.3</c:v>
                </c:pt>
                <c:pt idx="24">
                  <c:v>4611.3</c:v>
                </c:pt>
                <c:pt idx="25">
                  <c:v>4611.3</c:v>
                </c:pt>
                <c:pt idx="26">
                  <c:v>4611.3</c:v>
                </c:pt>
                <c:pt idx="27">
                  <c:v>4611.3</c:v>
                </c:pt>
                <c:pt idx="28">
                  <c:v>4611.3</c:v>
                </c:pt>
                <c:pt idx="29">
                  <c:v>4611.3</c:v>
                </c:pt>
                <c:pt idx="30">
                  <c:v>4611.3</c:v>
                </c:pt>
              </c:numCache>
            </c:numRef>
          </c:val>
        </c:ser>
        <c:marker val="1"/>
        <c:axId val="104791040"/>
        <c:axId val="104801024"/>
      </c:lineChart>
      <c:catAx>
        <c:axId val="104791040"/>
        <c:scaling>
          <c:orientation val="minMax"/>
        </c:scaling>
        <c:axPos val="b"/>
        <c:tickLblPos val="nextTo"/>
        <c:txPr>
          <a:bodyPr rot="5400000" vert="horz"/>
          <a:lstStyle/>
          <a:p>
            <a:pPr>
              <a:defRPr sz="900"/>
            </a:pPr>
            <a:endParaRPr lang="en-US"/>
          </a:p>
        </c:txPr>
        <c:crossAx val="104801024"/>
        <c:crosses val="autoZero"/>
        <c:auto val="1"/>
        <c:lblAlgn val="ctr"/>
        <c:lblOffset val="100"/>
      </c:catAx>
      <c:valAx>
        <c:axId val="104801024"/>
        <c:scaling>
          <c:orientation val="minMax"/>
        </c:scaling>
        <c:axPos val="l"/>
        <c:title>
          <c:tx>
            <c:rich>
              <a:bodyPr rot="-5400000" vert="horz"/>
              <a:lstStyle/>
              <a:p>
                <a:pPr>
                  <a:defRPr/>
                </a:pPr>
                <a:r>
                  <a:rPr lang="en-US"/>
                  <a:t>£ spent</a:t>
                </a:r>
              </a:p>
            </c:rich>
          </c:tx>
        </c:title>
        <c:numFmt formatCode="General" sourceLinked="1"/>
        <c:tickLblPos val="nextTo"/>
        <c:crossAx val="104791040"/>
        <c:crosses val="autoZero"/>
        <c:crossBetween val="between"/>
      </c:valAx>
    </c:plotArea>
    <c:legend>
      <c:legendPos val="r"/>
      <c:legendEntry>
        <c:idx val="0"/>
        <c:delete val="1"/>
      </c:legendEntry>
      <c:layout>
        <c:manualLayout>
          <c:xMode val="edge"/>
          <c:yMode val="edge"/>
          <c:x val="0.21339455047622802"/>
          <c:y val="0.20972864272932418"/>
          <c:w val="0.22157110429886712"/>
          <c:h val="0.11586073081360766"/>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QOF prevalence vs modelled prevalence for COPD in practices in Wandsworth</a:t>
            </a:r>
          </a:p>
        </c:rich>
      </c:tx>
      <c:layout>
        <c:manualLayout>
          <c:xMode val="edge"/>
          <c:yMode val="edge"/>
          <c:x val="0.12489630662196002"/>
          <c:y val="1.493930905695612E-2"/>
        </c:manualLayout>
      </c:layout>
    </c:title>
    <c:plotArea>
      <c:layout>
        <c:manualLayout>
          <c:layoutTarget val="inner"/>
          <c:xMode val="edge"/>
          <c:yMode val="edge"/>
          <c:x val="8.5077980641324186E-2"/>
          <c:y val="0.15008354795265888"/>
          <c:w val="0.87762677966959091"/>
          <c:h val="0.52894552359619829"/>
        </c:manualLayout>
      </c:layout>
      <c:barChart>
        <c:barDir val="col"/>
        <c:grouping val="clustered"/>
        <c:ser>
          <c:idx val="0"/>
          <c:order val="0"/>
          <c:tx>
            <c:v>Modelled Prevalence</c:v>
          </c:tx>
          <c:cat>
            <c:strRef>
              <c:f>'IMD FEV'!$AD$6:$AD$52</c:f>
              <c:strCache>
                <c:ptCount val="47"/>
                <c:pt idx="0">
                  <c:v>GRANVILLE ROAD SURGERY</c:v>
                </c:pt>
                <c:pt idx="1">
                  <c:v>SAI MEDICAL CENTRE</c:v>
                </c:pt>
                <c:pt idx="2">
                  <c:v>TOOTING BEC SURGERY</c:v>
                </c:pt>
                <c:pt idx="3">
                  <c:v>MITCHAM ROAD SURGERY</c:v>
                </c:pt>
                <c:pt idx="4">
                  <c:v>BALHAM HEALTH CENTRE</c:v>
                </c:pt>
                <c:pt idx="5">
                  <c:v>THE HERITAGE MEDICAL CENTRE</c:v>
                </c:pt>
                <c:pt idx="6">
                  <c:v>PUTNEY MEAN MEDICAL CENTRE</c:v>
                </c:pt>
                <c:pt idx="7">
                  <c:v>LAVENDER HILL SURGERY</c:v>
                </c:pt>
                <c:pt idx="8">
                  <c:v>OPEN DOOR SURGERY</c:v>
                </c:pt>
                <c:pt idx="9">
                  <c:v>FURZEDOWN PRIMARY CARE CENTRE</c:v>
                </c:pt>
                <c:pt idx="10">
                  <c:v>BALHAM HILL MEDICAL PRACTICE</c:v>
                </c:pt>
                <c:pt idx="11">
                  <c:v>LAVENDER HILL GROUP PRACTICE</c:v>
                </c:pt>
                <c:pt idx="12">
                  <c:v>THE FALCON ROAD MEDICAL CENTRE</c:v>
                </c:pt>
                <c:pt idx="13">
                  <c:v>THE SURGERY</c:v>
                </c:pt>
                <c:pt idx="14">
                  <c:v>BATTERSEA RISE GROUP PRACTICE</c:v>
                </c:pt>
                <c:pt idx="15">
                  <c:v>NORTHCOTE ROAD SURGERY</c:v>
                </c:pt>
                <c:pt idx="16">
                  <c:v>BICKERSTETH ROAD SURGERY</c:v>
                </c:pt>
                <c:pt idx="17">
                  <c:v>THE GRAYSWOOD PRACTICE</c:v>
                </c:pt>
                <c:pt idx="18">
                  <c:v>THE ROEHAMPTON SURGERY</c:v>
                </c:pt>
                <c:pt idx="19">
                  <c:v>PUTNEY SURGERY</c:v>
                </c:pt>
                <c:pt idx="20">
                  <c:v>BALHAM PARK SURGERY</c:v>
                </c:pt>
                <c:pt idx="21">
                  <c:v>DR NICHOLAS &amp; PARTNERS</c:v>
                </c:pt>
                <c:pt idx="22">
                  <c:v>BATTERSEA FIELDS PRACTICE</c:v>
                </c:pt>
                <c:pt idx="23">
                  <c:v>THE FRANCISCAN SURGERY</c:v>
                </c:pt>
                <c:pt idx="24">
                  <c:v>BEDFORD HILL FAMILY PRACTICE</c:v>
                </c:pt>
                <c:pt idx="25">
                  <c:v>THURLEIGH ROAD PRACTICE</c:v>
                </c:pt>
                <c:pt idx="26">
                  <c:v>THE MEDICAL CENTRE</c:v>
                </c:pt>
                <c:pt idx="27">
                  <c:v>BROCKLEBANK HEALTH CENTRE</c:v>
                </c:pt>
                <c:pt idx="28">
                  <c:v>EARLSFIELD SURGERY</c:v>
                </c:pt>
                <c:pt idx="29">
                  <c:v>CHATFIELD MEDICAL CENTRE</c:v>
                </c:pt>
                <c:pt idx="30">
                  <c:v>ST. PAUL'S COTTAGE SURGERY</c:v>
                </c:pt>
                <c:pt idx="31">
                  <c:v>ELBOROUGH STREET SURGERY</c:v>
                </c:pt>
                <c:pt idx="32">
                  <c:v>ST. JOHN'S HILL PRACTICE</c:v>
                </c:pt>
                <c:pt idx="33">
                  <c:v>CHARTFIELD SURGERY</c:v>
                </c:pt>
                <c:pt idx="34">
                  <c:v>STREATHAM PARK SURGERY</c:v>
                </c:pt>
                <c:pt idx="35">
                  <c:v>SOUTHFIELDS GROUP PRACTICE</c:v>
                </c:pt>
                <c:pt idx="36">
                  <c:v>TRIANGLE SURGERY</c:v>
                </c:pt>
                <c:pt idx="37">
                  <c:v>BRIDGE LANE GROUP PRACTICE</c:v>
                </c:pt>
                <c:pt idx="38">
                  <c:v>QUEENSTOWN ROAD MEDICAL PRACTICE</c:v>
                </c:pt>
                <c:pt idx="39">
                  <c:v>THE HEATHBRIDGE PRACTICE</c:v>
                </c:pt>
                <c:pt idx="40">
                  <c:v>THE ALTON PRACTICE</c:v>
                </c:pt>
                <c:pt idx="41">
                  <c:v>DANEBURY AVENUE SURGERY</c:v>
                </c:pt>
                <c:pt idx="42">
                  <c:v>WATERFALL HOUSE</c:v>
                </c:pt>
                <c:pt idx="43">
                  <c:v>THE SURGERY</c:v>
                </c:pt>
                <c:pt idx="44">
                  <c:v>INNER PARK ROAD HEALTH CENTRE</c:v>
                </c:pt>
                <c:pt idx="45">
                  <c:v>MAYFIELD SURGERY</c:v>
                </c:pt>
                <c:pt idx="46">
                  <c:v>TUDOR LODGE HEALTH CENTRE</c:v>
                </c:pt>
              </c:strCache>
            </c:strRef>
          </c:cat>
          <c:val>
            <c:numRef>
              <c:f>'IMD FEV'!$AE$6:$AE$52</c:f>
              <c:numCache>
                <c:formatCode>0.0</c:formatCode>
                <c:ptCount val="47"/>
                <c:pt idx="0">
                  <c:v>2.4459080173103791</c:v>
                </c:pt>
                <c:pt idx="1">
                  <c:v>1.9297236506213775</c:v>
                </c:pt>
                <c:pt idx="2">
                  <c:v>2.6880729326627981</c:v>
                </c:pt>
                <c:pt idx="3">
                  <c:v>3.115940490444149</c:v>
                </c:pt>
                <c:pt idx="4">
                  <c:v>2.9579555133988027</c:v>
                </c:pt>
                <c:pt idx="5">
                  <c:v>2.7852414783418542</c:v>
                </c:pt>
                <c:pt idx="6">
                  <c:v>2.1824925982629368</c:v>
                </c:pt>
                <c:pt idx="7">
                  <c:v>3.3185934053941577</c:v>
                </c:pt>
                <c:pt idx="8">
                  <c:v>3.6726506362636337</c:v>
                </c:pt>
                <c:pt idx="9">
                  <c:v>3.2499168065711057</c:v>
                </c:pt>
                <c:pt idx="10">
                  <c:v>3.0985173062961642</c:v>
                </c:pt>
                <c:pt idx="11">
                  <c:v>2.8893220866234972</c:v>
                </c:pt>
                <c:pt idx="12">
                  <c:v>3.0332441039400417</c:v>
                </c:pt>
                <c:pt idx="13">
                  <c:v>2.3481064208708933</c:v>
                </c:pt>
                <c:pt idx="14">
                  <c:v>2.2690051657021462</c:v>
                </c:pt>
                <c:pt idx="15">
                  <c:v>3.4194353927454078</c:v>
                </c:pt>
                <c:pt idx="16">
                  <c:v>2.4408588220685767</c:v>
                </c:pt>
                <c:pt idx="17">
                  <c:v>2.8932679175654203</c:v>
                </c:pt>
                <c:pt idx="18">
                  <c:v>3.8058137040545108</c:v>
                </c:pt>
                <c:pt idx="19">
                  <c:v>1.8673473247141721</c:v>
                </c:pt>
                <c:pt idx="20">
                  <c:v>2.3929187025334109</c:v>
                </c:pt>
                <c:pt idx="21">
                  <c:v>2.7742330689330612</c:v>
                </c:pt>
                <c:pt idx="22">
                  <c:v>2.9971806911329453</c:v>
                </c:pt>
                <c:pt idx="23">
                  <c:v>2.4656841889615393</c:v>
                </c:pt>
                <c:pt idx="24">
                  <c:v>2.506020868447322</c:v>
                </c:pt>
                <c:pt idx="25">
                  <c:v>1.7506150971035996</c:v>
                </c:pt>
                <c:pt idx="26">
                  <c:v>2.4827995191632977</c:v>
                </c:pt>
                <c:pt idx="27">
                  <c:v>2.3627801536509079</c:v>
                </c:pt>
                <c:pt idx="28">
                  <c:v>2.8370791609647767</c:v>
                </c:pt>
                <c:pt idx="29">
                  <c:v>3.4031146428701016</c:v>
                </c:pt>
                <c:pt idx="30">
                  <c:v>2.4447999044935647</c:v>
                </c:pt>
                <c:pt idx="31">
                  <c:v>1.832644788868552</c:v>
                </c:pt>
                <c:pt idx="32">
                  <c:v>2.494082905618912</c:v>
                </c:pt>
                <c:pt idx="33">
                  <c:v>2.7050930863782172</c:v>
                </c:pt>
                <c:pt idx="34">
                  <c:v>3.8469865560937047</c:v>
                </c:pt>
                <c:pt idx="35">
                  <c:v>2.3680083539492527</c:v>
                </c:pt>
                <c:pt idx="36">
                  <c:v>2.5320640987850589</c:v>
                </c:pt>
                <c:pt idx="37">
                  <c:v>3.2572349936417706</c:v>
                </c:pt>
                <c:pt idx="38">
                  <c:v>3.256483453162192</c:v>
                </c:pt>
                <c:pt idx="39">
                  <c:v>2.3008710296998376</c:v>
                </c:pt>
                <c:pt idx="40">
                  <c:v>3.4359542079457297</c:v>
                </c:pt>
                <c:pt idx="41">
                  <c:v>3.5612258111393031</c:v>
                </c:pt>
                <c:pt idx="42">
                  <c:v>2.7447620901011662</c:v>
                </c:pt>
                <c:pt idx="43">
                  <c:v>3.0731934072256042</c:v>
                </c:pt>
                <c:pt idx="44">
                  <c:v>3.2509558987565152</c:v>
                </c:pt>
                <c:pt idx="45">
                  <c:v>3.8604065516927291</c:v>
                </c:pt>
                <c:pt idx="46">
                  <c:v>2.3749222770078542</c:v>
                </c:pt>
              </c:numCache>
            </c:numRef>
          </c:val>
        </c:ser>
        <c:ser>
          <c:idx val="1"/>
          <c:order val="1"/>
          <c:tx>
            <c:v>QOF prevalence</c:v>
          </c:tx>
          <c:cat>
            <c:strRef>
              <c:f>'IMD FEV'!$AD$6:$AD$52</c:f>
              <c:strCache>
                <c:ptCount val="47"/>
                <c:pt idx="0">
                  <c:v>GRANVILLE ROAD SURGERY</c:v>
                </c:pt>
                <c:pt idx="1">
                  <c:v>SAI MEDICAL CENTRE</c:v>
                </c:pt>
                <c:pt idx="2">
                  <c:v>TOOTING BEC SURGERY</c:v>
                </c:pt>
                <c:pt idx="3">
                  <c:v>MITCHAM ROAD SURGERY</c:v>
                </c:pt>
                <c:pt idx="4">
                  <c:v>BALHAM HEALTH CENTRE</c:v>
                </c:pt>
                <c:pt idx="5">
                  <c:v>THE HERITAGE MEDICAL CENTRE</c:v>
                </c:pt>
                <c:pt idx="6">
                  <c:v>PUTNEY MEAN MEDICAL CENTRE</c:v>
                </c:pt>
                <c:pt idx="7">
                  <c:v>LAVENDER HILL SURGERY</c:v>
                </c:pt>
                <c:pt idx="8">
                  <c:v>OPEN DOOR SURGERY</c:v>
                </c:pt>
                <c:pt idx="9">
                  <c:v>FURZEDOWN PRIMARY CARE CENTRE</c:v>
                </c:pt>
                <c:pt idx="10">
                  <c:v>BALHAM HILL MEDICAL PRACTICE</c:v>
                </c:pt>
                <c:pt idx="11">
                  <c:v>LAVENDER HILL GROUP PRACTICE</c:v>
                </c:pt>
                <c:pt idx="12">
                  <c:v>THE FALCON ROAD MEDICAL CENTRE</c:v>
                </c:pt>
                <c:pt idx="13">
                  <c:v>THE SURGERY</c:v>
                </c:pt>
                <c:pt idx="14">
                  <c:v>BATTERSEA RISE GROUP PRACTICE</c:v>
                </c:pt>
                <c:pt idx="15">
                  <c:v>NORTHCOTE ROAD SURGERY</c:v>
                </c:pt>
                <c:pt idx="16">
                  <c:v>BICKERSTETH ROAD SURGERY</c:v>
                </c:pt>
                <c:pt idx="17">
                  <c:v>THE GRAYSWOOD PRACTICE</c:v>
                </c:pt>
                <c:pt idx="18">
                  <c:v>THE ROEHAMPTON SURGERY</c:v>
                </c:pt>
                <c:pt idx="19">
                  <c:v>PUTNEY SURGERY</c:v>
                </c:pt>
                <c:pt idx="20">
                  <c:v>BALHAM PARK SURGERY</c:v>
                </c:pt>
                <c:pt idx="21">
                  <c:v>DR NICHOLAS &amp; PARTNERS</c:v>
                </c:pt>
                <c:pt idx="22">
                  <c:v>BATTERSEA FIELDS PRACTICE</c:v>
                </c:pt>
                <c:pt idx="23">
                  <c:v>THE FRANCISCAN SURGERY</c:v>
                </c:pt>
                <c:pt idx="24">
                  <c:v>BEDFORD HILL FAMILY PRACTICE</c:v>
                </c:pt>
                <c:pt idx="25">
                  <c:v>THURLEIGH ROAD PRACTICE</c:v>
                </c:pt>
                <c:pt idx="26">
                  <c:v>THE MEDICAL CENTRE</c:v>
                </c:pt>
                <c:pt idx="27">
                  <c:v>BROCKLEBANK HEALTH CENTRE</c:v>
                </c:pt>
                <c:pt idx="28">
                  <c:v>EARLSFIELD SURGERY</c:v>
                </c:pt>
                <c:pt idx="29">
                  <c:v>CHATFIELD MEDICAL CENTRE</c:v>
                </c:pt>
                <c:pt idx="30">
                  <c:v>ST. PAUL'S COTTAGE SURGERY</c:v>
                </c:pt>
                <c:pt idx="31">
                  <c:v>ELBOROUGH STREET SURGERY</c:v>
                </c:pt>
                <c:pt idx="32">
                  <c:v>ST. JOHN'S HILL PRACTICE</c:v>
                </c:pt>
                <c:pt idx="33">
                  <c:v>CHARTFIELD SURGERY</c:v>
                </c:pt>
                <c:pt idx="34">
                  <c:v>STREATHAM PARK SURGERY</c:v>
                </c:pt>
                <c:pt idx="35">
                  <c:v>SOUTHFIELDS GROUP PRACTICE</c:v>
                </c:pt>
                <c:pt idx="36">
                  <c:v>TRIANGLE SURGERY</c:v>
                </c:pt>
                <c:pt idx="37">
                  <c:v>BRIDGE LANE GROUP PRACTICE</c:v>
                </c:pt>
                <c:pt idx="38">
                  <c:v>QUEENSTOWN ROAD MEDICAL PRACTICE</c:v>
                </c:pt>
                <c:pt idx="39">
                  <c:v>THE HEATHBRIDGE PRACTICE</c:v>
                </c:pt>
                <c:pt idx="40">
                  <c:v>THE ALTON PRACTICE</c:v>
                </c:pt>
                <c:pt idx="41">
                  <c:v>DANEBURY AVENUE SURGERY</c:v>
                </c:pt>
                <c:pt idx="42">
                  <c:v>WATERFALL HOUSE</c:v>
                </c:pt>
                <c:pt idx="43">
                  <c:v>THE SURGERY</c:v>
                </c:pt>
                <c:pt idx="44">
                  <c:v>INNER PARK ROAD HEALTH CENTRE</c:v>
                </c:pt>
                <c:pt idx="45">
                  <c:v>MAYFIELD SURGERY</c:v>
                </c:pt>
                <c:pt idx="46">
                  <c:v>TUDOR LODGE HEALTH CENTRE</c:v>
                </c:pt>
              </c:strCache>
            </c:strRef>
          </c:cat>
          <c:val>
            <c:numRef>
              <c:f>'IMD FEV'!$AF$6:$AF$52</c:f>
              <c:numCache>
                <c:formatCode>General</c:formatCode>
                <c:ptCount val="47"/>
                <c:pt idx="0">
                  <c:v>6.4641241111829298E-2</c:v>
                </c:pt>
                <c:pt idx="1">
                  <c:v>6.1500615006150096E-2</c:v>
                </c:pt>
                <c:pt idx="2">
                  <c:v>0.157563025210084</c:v>
                </c:pt>
                <c:pt idx="3">
                  <c:v>0.20136931131695501</c:v>
                </c:pt>
                <c:pt idx="4">
                  <c:v>0.216262975778547</c:v>
                </c:pt>
                <c:pt idx="5">
                  <c:v>0.27900146842878099</c:v>
                </c:pt>
                <c:pt idx="6">
                  <c:v>0.27278089059274746</c:v>
                </c:pt>
                <c:pt idx="7">
                  <c:v>0.418799441600745</c:v>
                </c:pt>
                <c:pt idx="8">
                  <c:v>0.6849949088216235</c:v>
                </c:pt>
                <c:pt idx="9">
                  <c:v>0.62418725617685533</c:v>
                </c:pt>
                <c:pt idx="10">
                  <c:v>0.61092019854906565</c:v>
                </c:pt>
                <c:pt idx="11">
                  <c:v>0.62950385156961863</c:v>
                </c:pt>
                <c:pt idx="12">
                  <c:v>0.66473176668851852</c:v>
                </c:pt>
                <c:pt idx="13">
                  <c:v>0.52559414990859199</c:v>
                </c:pt>
                <c:pt idx="14">
                  <c:v>0.51504472756844921</c:v>
                </c:pt>
                <c:pt idx="15">
                  <c:v>0.77720207253886386</c:v>
                </c:pt>
                <c:pt idx="16">
                  <c:v>0.56015586945932805</c:v>
                </c:pt>
                <c:pt idx="17">
                  <c:v>0.66497400556160369</c:v>
                </c:pt>
                <c:pt idx="18">
                  <c:v>0.93572009764036068</c:v>
                </c:pt>
                <c:pt idx="19">
                  <c:v>0.48124557678697799</c:v>
                </c:pt>
                <c:pt idx="20">
                  <c:v>0.62495055770904262</c:v>
                </c:pt>
                <c:pt idx="21">
                  <c:v>0.75308444159590004</c:v>
                </c:pt>
                <c:pt idx="22">
                  <c:v>0.81464240372408181</c:v>
                </c:pt>
                <c:pt idx="23">
                  <c:v>0.67393458870168499</c:v>
                </c:pt>
                <c:pt idx="24">
                  <c:v>0.69885641677255461</c:v>
                </c:pt>
                <c:pt idx="25">
                  <c:v>0.49275945293644396</c:v>
                </c:pt>
                <c:pt idx="26">
                  <c:v>0.72840790842872005</c:v>
                </c:pt>
                <c:pt idx="27">
                  <c:v>0.70457354758961699</c:v>
                </c:pt>
                <c:pt idx="28">
                  <c:v>0.87151609284666243</c:v>
                </c:pt>
                <c:pt idx="29">
                  <c:v>1.0632688927943745</c:v>
                </c:pt>
                <c:pt idx="30">
                  <c:v>0.76416896624920394</c:v>
                </c:pt>
                <c:pt idx="31">
                  <c:v>0.58027079303674878</c:v>
                </c:pt>
                <c:pt idx="32">
                  <c:v>0.82530949105914764</c:v>
                </c:pt>
                <c:pt idx="33">
                  <c:v>0.93287583101008298</c:v>
                </c:pt>
                <c:pt idx="34">
                  <c:v>1.3735137351373499</c:v>
                </c:pt>
                <c:pt idx="35">
                  <c:v>0.88473826492995578</c:v>
                </c:pt>
                <c:pt idx="36">
                  <c:v>0.96723253059613112</c:v>
                </c:pt>
                <c:pt idx="37">
                  <c:v>1.25844076120319</c:v>
                </c:pt>
                <c:pt idx="38">
                  <c:v>1.2636899747262054</c:v>
                </c:pt>
                <c:pt idx="39">
                  <c:v>0.89463220675944299</c:v>
                </c:pt>
                <c:pt idx="40">
                  <c:v>1.4219171365530801</c:v>
                </c:pt>
                <c:pt idx="41">
                  <c:v>1.5510434292160249</c:v>
                </c:pt>
                <c:pt idx="42">
                  <c:v>1.2804097311139602</c:v>
                </c:pt>
                <c:pt idx="43">
                  <c:v>1.455668284075865</c:v>
                </c:pt>
                <c:pt idx="44">
                  <c:v>1.7980221756068349</c:v>
                </c:pt>
                <c:pt idx="45">
                  <c:v>2.3387538826968797</c:v>
                </c:pt>
                <c:pt idx="46">
                  <c:v>1.6930891180544898</c:v>
                </c:pt>
              </c:numCache>
            </c:numRef>
          </c:val>
        </c:ser>
        <c:axId val="149175680"/>
        <c:axId val="149492864"/>
      </c:barChart>
      <c:catAx>
        <c:axId val="149175680"/>
        <c:scaling>
          <c:orientation val="minMax"/>
        </c:scaling>
        <c:axPos val="b"/>
        <c:tickLblPos val="nextTo"/>
        <c:txPr>
          <a:bodyPr/>
          <a:lstStyle/>
          <a:p>
            <a:pPr>
              <a:defRPr sz="700"/>
            </a:pPr>
            <a:endParaRPr lang="en-US"/>
          </a:p>
        </c:txPr>
        <c:crossAx val="149492864"/>
        <c:crosses val="autoZero"/>
        <c:auto val="1"/>
        <c:lblAlgn val="ctr"/>
        <c:lblOffset val="100"/>
      </c:catAx>
      <c:valAx>
        <c:axId val="149492864"/>
        <c:scaling>
          <c:orientation val="minMax"/>
          <c:max val="4"/>
        </c:scaling>
        <c:axPos val="l"/>
        <c:title>
          <c:tx>
            <c:rich>
              <a:bodyPr rot="-5400000" vert="horz"/>
              <a:lstStyle/>
              <a:p>
                <a:pPr>
                  <a:defRPr/>
                </a:pPr>
                <a:r>
                  <a:rPr lang="en-GB"/>
                  <a:t>Prevalence %</a:t>
                </a:r>
              </a:p>
            </c:rich>
          </c:tx>
        </c:title>
        <c:numFmt formatCode="0.0" sourceLinked="1"/>
        <c:tickLblPos val="nextTo"/>
        <c:crossAx val="149175680"/>
        <c:crosses val="autoZero"/>
        <c:crossBetween val="between"/>
      </c:valAx>
    </c:plotArea>
    <c:legend>
      <c:legendPos val="r"/>
      <c:layout>
        <c:manualLayout>
          <c:xMode val="edge"/>
          <c:yMode val="edge"/>
          <c:x val="0.59454231258980283"/>
          <c:y val="5.0421777930288507E-2"/>
          <c:w val="0.40404695551567787"/>
          <c:h val="0.1676888077512904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Graph of prevalence of  COPD against  Deprivation Score of Practice</a:t>
            </a:r>
          </a:p>
        </c:rich>
      </c:tx>
    </c:title>
    <c:plotArea>
      <c:layout>
        <c:manualLayout>
          <c:layoutTarget val="inner"/>
          <c:xMode val="edge"/>
          <c:yMode val="edge"/>
          <c:x val="0.14217582352767688"/>
          <c:y val="0.22875923436399828"/>
          <c:w val="0.77441491897642811"/>
          <c:h val="0.58261852634274358"/>
        </c:manualLayout>
      </c:layout>
      <c:scatterChart>
        <c:scatterStyle val="lineMarker"/>
        <c:ser>
          <c:idx val="0"/>
          <c:order val="0"/>
          <c:spPr>
            <a:ln w="28575">
              <a:noFill/>
            </a:ln>
          </c:spPr>
          <c:trendline>
            <c:trendlineType val="linear"/>
            <c:dispRSqr val="1"/>
            <c:trendlineLbl>
              <c:layout>
                <c:manualLayout>
                  <c:x val="2.6685994794583816E-2"/>
                  <c:y val="-4.2285826326038632E-2"/>
                </c:manualLayout>
              </c:layout>
              <c:numFmt formatCode="General" sourceLinked="0"/>
            </c:trendlineLbl>
          </c:trendline>
          <c:xVal>
            <c:numRef>
              <c:f>IMD!$A$54:$A$101</c:f>
              <c:numCache>
                <c:formatCode>0.0</c:formatCode>
                <c:ptCount val="48"/>
                <c:pt idx="0">
                  <c:v>17.997701327826988</c:v>
                </c:pt>
                <c:pt idx="1">
                  <c:v>28.662284684961058</c:v>
                </c:pt>
                <c:pt idx="2">
                  <c:v>28.50643641874802</c:v>
                </c:pt>
                <c:pt idx="3">
                  <c:v>13.337466393744172</c:v>
                </c:pt>
                <c:pt idx="4">
                  <c:v>19.927069187860418</c:v>
                </c:pt>
                <c:pt idx="5">
                  <c:v>27.524944141003658</c:v>
                </c:pt>
                <c:pt idx="6">
                  <c:v>10.593536727680856</c:v>
                </c:pt>
                <c:pt idx="7">
                  <c:v>25.532779630707424</c:v>
                </c:pt>
                <c:pt idx="8">
                  <c:v>20.912186469016891</c:v>
                </c:pt>
                <c:pt idx="9">
                  <c:v>19.857099238584222</c:v>
                </c:pt>
                <c:pt idx="10">
                  <c:v>15.593893216605354</c:v>
                </c:pt>
                <c:pt idx="11">
                  <c:v>21.045059224344627</c:v>
                </c:pt>
                <c:pt idx="12">
                  <c:v>18.287665450741152</c:v>
                </c:pt>
                <c:pt idx="13">
                  <c:v>24.161087055969585</c:v>
                </c:pt>
                <c:pt idx="14">
                  <c:v>26.414870268542131</c:v>
                </c:pt>
                <c:pt idx="15">
                  <c:v>18.818128199073765</c:v>
                </c:pt>
                <c:pt idx="16">
                  <c:v>14.268707449970693</c:v>
                </c:pt>
                <c:pt idx="17">
                  <c:v>24.576206383493627</c:v>
                </c:pt>
                <c:pt idx="18">
                  <c:v>19.84952472790269</c:v>
                </c:pt>
                <c:pt idx="19">
                  <c:v>11.353885574617857</c:v>
                </c:pt>
                <c:pt idx="20">
                  <c:v>13.687098700245715</c:v>
                </c:pt>
                <c:pt idx="21">
                  <c:v>30.102613177648685</c:v>
                </c:pt>
                <c:pt idx="22">
                  <c:v>17.239747570268673</c:v>
                </c:pt>
                <c:pt idx="23">
                  <c:v>30.410705850828414</c:v>
                </c:pt>
                <c:pt idx="24">
                  <c:v>21.688155038934674</c:v>
                </c:pt>
                <c:pt idx="25">
                  <c:v>20.763661659489763</c:v>
                </c:pt>
                <c:pt idx="26">
                  <c:v>18.245018353875189</c:v>
                </c:pt>
                <c:pt idx="27">
                  <c:v>18.96282162088897</c:v>
                </c:pt>
                <c:pt idx="28">
                  <c:v>23.916019333317166</c:v>
                </c:pt>
                <c:pt idx="29">
                  <c:v>25.884969318229349</c:v>
                </c:pt>
                <c:pt idx="30">
                  <c:v>19.426292748763796</c:v>
                </c:pt>
                <c:pt idx="32">
                  <c:v>33.861407137857896</c:v>
                </c:pt>
                <c:pt idx="33">
                  <c:v>11.519968979570098</c:v>
                </c:pt>
                <c:pt idx="34">
                  <c:v>26.855756048172189</c:v>
                </c:pt>
                <c:pt idx="35">
                  <c:v>17.159383259289005</c:v>
                </c:pt>
                <c:pt idx="36">
                  <c:v>21.410431952812068</c:v>
                </c:pt>
                <c:pt idx="37">
                  <c:v>19.17147064675909</c:v>
                </c:pt>
                <c:pt idx="38">
                  <c:v>19.04465322755766</c:v>
                </c:pt>
                <c:pt idx="39">
                  <c:v>22.323008570928785</c:v>
                </c:pt>
                <c:pt idx="40">
                  <c:v>21.698672424930919</c:v>
                </c:pt>
                <c:pt idx="41">
                  <c:v>21.397277471709685</c:v>
                </c:pt>
                <c:pt idx="42">
                  <c:v>23.833397123671951</c:v>
                </c:pt>
                <c:pt idx="43">
                  <c:v>21.988170883426676</c:v>
                </c:pt>
                <c:pt idx="44">
                  <c:v>23.685121950931489</c:v>
                </c:pt>
                <c:pt idx="45">
                  <c:v>14.901126549233515</c:v>
                </c:pt>
                <c:pt idx="46">
                  <c:v>25.869622006005589</c:v>
                </c:pt>
                <c:pt idx="47">
                  <c:v>17.921202001008322</c:v>
                </c:pt>
              </c:numCache>
            </c:numRef>
          </c:xVal>
          <c:yVal>
            <c:numRef>
              <c:f>IMD!$B$54:$B$101</c:f>
              <c:numCache>
                <c:formatCode>0.0%</c:formatCode>
                <c:ptCount val="48"/>
                <c:pt idx="0">
                  <c:v>7.2840790842872731E-3</c:v>
                </c:pt>
                <c:pt idx="1">
                  <c:v>6.6473176668851155E-3</c:v>
                </c:pt>
                <c:pt idx="2">
                  <c:v>1.2636899747262188E-2</c:v>
                </c:pt>
                <c:pt idx="3">
                  <c:v>5.2559414990859324E-3</c:v>
                </c:pt>
                <c:pt idx="4">
                  <c:v>7.5308444159590529E-3</c:v>
                </c:pt>
                <c:pt idx="5">
                  <c:v>2.3387538826968798E-2</c:v>
                </c:pt>
                <c:pt idx="6">
                  <c:v>8.8473826492995802E-3</c:v>
                </c:pt>
                <c:pt idx="7">
                  <c:v>9.3572009764037161E-3</c:v>
                </c:pt>
                <c:pt idx="8">
                  <c:v>6.9885641677255514E-3</c:v>
                </c:pt>
                <c:pt idx="9">
                  <c:v>6.6497400556160633E-3</c:v>
                </c:pt>
                <c:pt idx="10">
                  <c:v>2.7278089059274862E-3</c:v>
                </c:pt>
                <c:pt idx="11">
                  <c:v>1.2804097311139601E-2</c:v>
                </c:pt>
                <c:pt idx="12">
                  <c:v>8.7151609284666746E-3</c:v>
                </c:pt>
                <c:pt idx="13">
                  <c:v>1.2584407612031901E-2</c:v>
                </c:pt>
                <c:pt idx="14">
                  <c:v>1.0632688927943798E-2</c:v>
                </c:pt>
                <c:pt idx="15">
                  <c:v>7.0457354758961914E-3</c:v>
                </c:pt>
                <c:pt idx="16">
                  <c:v>5.1504472756844734E-3</c:v>
                </c:pt>
                <c:pt idx="17">
                  <c:v>1.3735137351373499E-2</c:v>
                </c:pt>
                <c:pt idx="18">
                  <c:v>6.1092019854907522E-3</c:v>
                </c:pt>
                <c:pt idx="19">
                  <c:v>5.8027079303675103E-3</c:v>
                </c:pt>
                <c:pt idx="20">
                  <c:v>8.9463220675944279E-3</c:v>
                </c:pt>
                <c:pt idx="21">
                  <c:v>1.4219171365530863E-2</c:v>
                </c:pt>
                <c:pt idx="22">
                  <c:v>6.2495055770904204E-3</c:v>
                </c:pt>
                <c:pt idx="23">
                  <c:v>1.5510434292160393E-2</c:v>
                </c:pt>
                <c:pt idx="24">
                  <c:v>6.2950385156961934E-3</c:v>
                </c:pt>
                <c:pt idx="25">
                  <c:v>1.4556682840758698E-2</c:v>
                </c:pt>
                <c:pt idx="26">
                  <c:v>2.7900146842878212E-3</c:v>
                </c:pt>
                <c:pt idx="27">
                  <c:v>9.6723253059613247E-3</c:v>
                </c:pt>
                <c:pt idx="28">
                  <c:v>6.8499490882162964E-3</c:v>
                </c:pt>
                <c:pt idx="29">
                  <c:v>4.1879944160074355E-3</c:v>
                </c:pt>
                <c:pt idx="30">
                  <c:v>7.6416896624921047E-3</c:v>
                </c:pt>
                <c:pt idx="31">
                  <c:v>4.8124557678697775E-3</c:v>
                </c:pt>
                <c:pt idx="32">
                  <c:v>2.0136931131695501E-3</c:v>
                </c:pt>
                <c:pt idx="33">
                  <c:v>8.1464240372408226E-3</c:v>
                </c:pt>
                <c:pt idx="34">
                  <c:v>4.9275945293644355E-3</c:v>
                </c:pt>
                <c:pt idx="35">
                  <c:v>7.7720207253887006E-3</c:v>
                </c:pt>
                <c:pt idx="36">
                  <c:v>2.162629757785512E-3</c:v>
                </c:pt>
                <c:pt idx="37">
                  <c:v>1.7980221756068469E-2</c:v>
                </c:pt>
                <c:pt idx="38">
                  <c:v>6.4641241111829323E-4</c:v>
                </c:pt>
                <c:pt idx="39">
                  <c:v>8.2530949105914728E-3</c:v>
                </c:pt>
                <c:pt idx="40">
                  <c:v>1.5756302521008399E-3</c:v>
                </c:pt>
                <c:pt idx="41">
                  <c:v>5.6015586945933477E-3</c:v>
                </c:pt>
                <c:pt idx="42">
                  <c:v>1.6930891180544898E-2</c:v>
                </c:pt>
                <c:pt idx="43">
                  <c:v>6.1500615006150118E-4</c:v>
                </c:pt>
                <c:pt idx="44">
                  <c:v>6.7393458870169112E-3</c:v>
                </c:pt>
                <c:pt idx="45">
                  <c:v>2.4752475247524799E-2</c:v>
                </c:pt>
                <c:pt idx="46">
                  <c:v>6.2418725617685534E-3</c:v>
                </c:pt>
                <c:pt idx="47">
                  <c:v>9.3287583101008004E-3</c:v>
                </c:pt>
              </c:numCache>
            </c:numRef>
          </c:yVal>
        </c:ser>
        <c:axId val="57608064"/>
        <c:axId val="57614336"/>
      </c:scatterChart>
      <c:valAx>
        <c:axId val="57608064"/>
        <c:scaling>
          <c:orientation val="minMax"/>
        </c:scaling>
        <c:axPos val="b"/>
        <c:title>
          <c:tx>
            <c:rich>
              <a:bodyPr/>
              <a:lstStyle/>
              <a:p>
                <a:pPr>
                  <a:defRPr/>
                </a:pPr>
                <a:r>
                  <a:rPr lang="en-GB" sz="1600"/>
                  <a:t>Average</a:t>
                </a:r>
                <a:r>
                  <a:rPr lang="en-GB" sz="1600" baseline="0"/>
                  <a:t> IMD of Practice</a:t>
                </a:r>
                <a:endParaRPr lang="en-GB" sz="1600"/>
              </a:p>
            </c:rich>
          </c:tx>
        </c:title>
        <c:numFmt formatCode="0.0" sourceLinked="1"/>
        <c:majorTickMark val="none"/>
        <c:tickLblPos val="nextTo"/>
        <c:crossAx val="57614336"/>
        <c:crosses val="autoZero"/>
        <c:crossBetween val="midCat"/>
      </c:valAx>
      <c:valAx>
        <c:axId val="57614336"/>
        <c:scaling>
          <c:orientation val="minMax"/>
        </c:scaling>
        <c:axPos val="l"/>
        <c:majorGridlines/>
        <c:title>
          <c:tx>
            <c:rich>
              <a:bodyPr/>
              <a:lstStyle/>
              <a:p>
                <a:pPr>
                  <a:defRPr/>
                </a:pPr>
                <a:r>
                  <a:rPr lang="en-GB" sz="1600"/>
                  <a:t>Prevalence of COPD</a:t>
                </a:r>
              </a:p>
            </c:rich>
          </c:tx>
        </c:title>
        <c:numFmt formatCode="0.0%" sourceLinked="1"/>
        <c:majorTickMark val="none"/>
        <c:tickLblPos val="nextTo"/>
        <c:crossAx val="57608064"/>
        <c:crosses val="autoZero"/>
        <c:crossBetween val="midCat"/>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Modelled</a:t>
            </a:r>
            <a:r>
              <a:rPr lang="en-GB" baseline="0"/>
              <a:t> Prevalence of COPD by ethnicity in Wandsworth, 2009</a:t>
            </a:r>
            <a:endParaRPr lang="en-GB"/>
          </a:p>
        </c:rich>
      </c:tx>
    </c:title>
    <c:plotArea>
      <c:layout>
        <c:manualLayout>
          <c:layoutTarget val="inner"/>
          <c:xMode val="edge"/>
          <c:yMode val="edge"/>
          <c:x val="0.12269652283802752"/>
          <c:y val="0.22356900413626424"/>
          <c:w val="0.86012688027523132"/>
          <c:h val="0.66305973533413542"/>
        </c:manualLayout>
      </c:layout>
      <c:barChart>
        <c:barDir val="col"/>
        <c:grouping val="clustered"/>
        <c:ser>
          <c:idx val="0"/>
          <c:order val="0"/>
          <c:tx>
            <c:v>Wandsworth</c:v>
          </c:tx>
          <c:cat>
            <c:strRef>
              <c:f>'Modelled estimates of the preva'!$E$2:$E$4</c:f>
              <c:strCache>
                <c:ptCount val="3"/>
                <c:pt idx="0">
                  <c:v>Asian</c:v>
                </c:pt>
                <c:pt idx="1">
                  <c:v>Black</c:v>
                </c:pt>
                <c:pt idx="2">
                  <c:v>White</c:v>
                </c:pt>
              </c:strCache>
            </c:strRef>
          </c:cat>
          <c:val>
            <c:numRef>
              <c:f>'Modelled estimates of the preva'!$F$2:$F$4</c:f>
              <c:numCache>
                <c:formatCode>0.00</c:formatCode>
                <c:ptCount val="3"/>
                <c:pt idx="0">
                  <c:v>2.61</c:v>
                </c:pt>
                <c:pt idx="1">
                  <c:v>4.6599999999999975</c:v>
                </c:pt>
                <c:pt idx="2">
                  <c:v>2.9899999999999998</c:v>
                </c:pt>
              </c:numCache>
            </c:numRef>
          </c:val>
        </c:ser>
        <c:ser>
          <c:idx val="1"/>
          <c:order val="1"/>
          <c:tx>
            <c:v>England</c:v>
          </c:tx>
          <c:cat>
            <c:strRef>
              <c:f>'Modelled estimates of the preva'!$E$2:$E$4</c:f>
              <c:strCache>
                <c:ptCount val="3"/>
                <c:pt idx="0">
                  <c:v>Asian</c:v>
                </c:pt>
                <c:pt idx="1">
                  <c:v>Black</c:v>
                </c:pt>
                <c:pt idx="2">
                  <c:v>White</c:v>
                </c:pt>
              </c:strCache>
            </c:strRef>
          </c:cat>
          <c:val>
            <c:numRef>
              <c:f>'Modelled estimates of the preva'!$G$2:$G$4</c:f>
              <c:numCache>
                <c:formatCode>0.00</c:formatCode>
                <c:ptCount val="3"/>
                <c:pt idx="0">
                  <c:v>2.3699999999999997</c:v>
                </c:pt>
                <c:pt idx="1">
                  <c:v>4.26</c:v>
                </c:pt>
                <c:pt idx="2">
                  <c:v>3.74</c:v>
                </c:pt>
              </c:numCache>
            </c:numRef>
          </c:val>
        </c:ser>
        <c:axId val="57627008"/>
        <c:axId val="57628544"/>
      </c:barChart>
      <c:catAx>
        <c:axId val="57627008"/>
        <c:scaling>
          <c:orientation val="minMax"/>
        </c:scaling>
        <c:axPos val="b"/>
        <c:majorTickMark val="none"/>
        <c:tickLblPos val="nextTo"/>
        <c:crossAx val="57628544"/>
        <c:crosses val="autoZero"/>
        <c:auto val="1"/>
        <c:lblAlgn val="ctr"/>
        <c:lblOffset val="100"/>
      </c:catAx>
      <c:valAx>
        <c:axId val="57628544"/>
        <c:scaling>
          <c:orientation val="minMax"/>
        </c:scaling>
        <c:axPos val="l"/>
        <c:majorGridlines/>
        <c:title>
          <c:tx>
            <c:rich>
              <a:bodyPr rot="-5400000" vert="horz"/>
              <a:lstStyle/>
              <a:p>
                <a:pPr>
                  <a:defRPr/>
                </a:pPr>
                <a:r>
                  <a:rPr lang="en-US"/>
                  <a:t>Prevalence (%)</a:t>
                </a:r>
              </a:p>
            </c:rich>
          </c:tx>
        </c:title>
        <c:numFmt formatCode="0.0" sourceLinked="0"/>
        <c:majorTickMark val="none"/>
        <c:tickLblPos val="nextTo"/>
        <c:crossAx val="57627008"/>
        <c:crosses val="autoZero"/>
        <c:crossBetween val="between"/>
      </c:valAx>
      <c:spPr>
        <a:noFill/>
        <a:ln w="25400">
          <a:noFill/>
        </a:ln>
      </c:spPr>
    </c:plotArea>
    <c:legend>
      <c:legendPos val="r"/>
      <c:layout>
        <c:manualLayout>
          <c:xMode val="edge"/>
          <c:yMode val="edge"/>
          <c:x val="0.73314111098431844"/>
          <c:y val="0.23609789613994644"/>
          <c:w val="0.14944602939125451"/>
          <c:h val="0.12623325225708043"/>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a:defRPr/>
            </a:pPr>
            <a:r>
              <a:rPr lang="en-US" sz="1200" b="1" i="0" baseline="0"/>
              <a:t>Smoking prevalence versus deprevation index by GP practices in Wandsworth</a:t>
            </a:r>
          </a:p>
        </c:rich>
      </c:tx>
      <c:layout>
        <c:manualLayout>
          <c:xMode val="edge"/>
          <c:yMode val="edge"/>
          <c:x val="8.1449344765848156E-2"/>
          <c:y val="1.8489941894713261E-2"/>
        </c:manualLayout>
      </c:layout>
    </c:title>
    <c:plotArea>
      <c:layout>
        <c:manualLayout>
          <c:layoutTarget val="inner"/>
          <c:xMode val="edge"/>
          <c:yMode val="edge"/>
          <c:x val="0.14406092657117286"/>
          <c:y val="0.13150697421359953"/>
          <c:w val="0.81577439961944065"/>
          <c:h val="0.67132633664379204"/>
        </c:manualLayout>
      </c:layout>
      <c:scatterChart>
        <c:scatterStyle val="lineMarker"/>
        <c:ser>
          <c:idx val="0"/>
          <c:order val="0"/>
          <c:tx>
            <c:strRef>
              <c:f>'IMD smking'!$O$1</c:f>
              <c:strCache>
                <c:ptCount val="1"/>
                <c:pt idx="0">
                  <c:v>Smoking prevalence 07/08</c:v>
                </c:pt>
              </c:strCache>
            </c:strRef>
          </c:tx>
          <c:spPr>
            <a:ln w="28575">
              <a:noFill/>
            </a:ln>
          </c:spPr>
          <c:trendline>
            <c:trendlineType val="linear"/>
            <c:dispRSqr val="1"/>
            <c:trendlineLbl>
              <c:layout>
                <c:manualLayout>
                  <c:x val="1.8730644327868543E-3"/>
                  <c:y val="-0.12320441562451752"/>
                </c:manualLayout>
              </c:layout>
              <c:numFmt formatCode="General" sourceLinked="0"/>
            </c:trendlineLbl>
          </c:trendline>
          <c:xVal>
            <c:numRef>
              <c:f>'IMD smking'!$N$2:$N$49</c:f>
              <c:numCache>
                <c:formatCode>0.0</c:formatCode>
                <c:ptCount val="48"/>
                <c:pt idx="0">
                  <c:v>17.997701327826988</c:v>
                </c:pt>
                <c:pt idx="1">
                  <c:v>28.662284684961069</c:v>
                </c:pt>
                <c:pt idx="2">
                  <c:v>28.50643641874802</c:v>
                </c:pt>
                <c:pt idx="3">
                  <c:v>13.337466393744172</c:v>
                </c:pt>
                <c:pt idx="4">
                  <c:v>19.927069187860418</c:v>
                </c:pt>
                <c:pt idx="5">
                  <c:v>27.524944141003658</c:v>
                </c:pt>
                <c:pt idx="6">
                  <c:v>10.593536727680856</c:v>
                </c:pt>
                <c:pt idx="7">
                  <c:v>25.532779630707438</c:v>
                </c:pt>
                <c:pt idx="8">
                  <c:v>20.912186469016891</c:v>
                </c:pt>
                <c:pt idx="9">
                  <c:v>19.857099238584222</c:v>
                </c:pt>
                <c:pt idx="10">
                  <c:v>15.593893216605348</c:v>
                </c:pt>
                <c:pt idx="11">
                  <c:v>21.045059224344627</c:v>
                </c:pt>
                <c:pt idx="12">
                  <c:v>18.287665450741152</c:v>
                </c:pt>
                <c:pt idx="13">
                  <c:v>24.161087055969585</c:v>
                </c:pt>
                <c:pt idx="14">
                  <c:v>26.414870268542131</c:v>
                </c:pt>
                <c:pt idx="15">
                  <c:v>18.818128199073765</c:v>
                </c:pt>
                <c:pt idx="16">
                  <c:v>14.268707449970693</c:v>
                </c:pt>
                <c:pt idx="17">
                  <c:v>24.576206383493627</c:v>
                </c:pt>
                <c:pt idx="18">
                  <c:v>19.84952472790269</c:v>
                </c:pt>
                <c:pt idx="19">
                  <c:v>11.353885574617854</c:v>
                </c:pt>
                <c:pt idx="20">
                  <c:v>13.687098700245715</c:v>
                </c:pt>
                <c:pt idx="21">
                  <c:v>30.102613177648685</c:v>
                </c:pt>
                <c:pt idx="22">
                  <c:v>17.23974757026868</c:v>
                </c:pt>
                <c:pt idx="23">
                  <c:v>30.410705850828414</c:v>
                </c:pt>
                <c:pt idx="24">
                  <c:v>21.688155038934674</c:v>
                </c:pt>
                <c:pt idx="25">
                  <c:v>20.763661659489763</c:v>
                </c:pt>
                <c:pt idx="26">
                  <c:v>18.245018353875189</c:v>
                </c:pt>
                <c:pt idx="27">
                  <c:v>18.96282162088897</c:v>
                </c:pt>
                <c:pt idx="28">
                  <c:v>23.916019333317173</c:v>
                </c:pt>
                <c:pt idx="29">
                  <c:v>25.884969318229349</c:v>
                </c:pt>
                <c:pt idx="30">
                  <c:v>19.42629274876381</c:v>
                </c:pt>
                <c:pt idx="32">
                  <c:v>33.861407137857896</c:v>
                </c:pt>
                <c:pt idx="33">
                  <c:v>11.519968979570098</c:v>
                </c:pt>
                <c:pt idx="34">
                  <c:v>26.855756048172189</c:v>
                </c:pt>
                <c:pt idx="35">
                  <c:v>17.159383259289005</c:v>
                </c:pt>
                <c:pt idx="36">
                  <c:v>21.410431952812068</c:v>
                </c:pt>
                <c:pt idx="37">
                  <c:v>19.17147064675909</c:v>
                </c:pt>
                <c:pt idx="38">
                  <c:v>19.04465322755766</c:v>
                </c:pt>
                <c:pt idx="39">
                  <c:v>22.323008570928792</c:v>
                </c:pt>
                <c:pt idx="40">
                  <c:v>21.698672424930919</c:v>
                </c:pt>
                <c:pt idx="41">
                  <c:v>21.397277471709685</c:v>
                </c:pt>
                <c:pt idx="42">
                  <c:v>23.833397123671951</c:v>
                </c:pt>
                <c:pt idx="43">
                  <c:v>21.988170883426683</c:v>
                </c:pt>
                <c:pt idx="44">
                  <c:v>23.685121950931489</c:v>
                </c:pt>
                <c:pt idx="46">
                  <c:v>25.869622006005589</c:v>
                </c:pt>
                <c:pt idx="47">
                  <c:v>17.921202001008322</c:v>
                </c:pt>
              </c:numCache>
            </c:numRef>
          </c:xVal>
          <c:yVal>
            <c:numRef>
              <c:f>'IMD smking'!$O$2:$O$49</c:f>
              <c:numCache>
                <c:formatCode>0.0%</c:formatCode>
                <c:ptCount val="48"/>
                <c:pt idx="0">
                  <c:v>0.11249323958896702</c:v>
                </c:pt>
                <c:pt idx="1">
                  <c:v>0.12501153242919091</c:v>
                </c:pt>
                <c:pt idx="2">
                  <c:v>0.16547207118141374</c:v>
                </c:pt>
                <c:pt idx="3">
                  <c:v>0.10825815405968157</c:v>
                </c:pt>
                <c:pt idx="4">
                  <c:v>0.15106994570424909</c:v>
                </c:pt>
                <c:pt idx="5">
                  <c:v>0.2035300606729179</c:v>
                </c:pt>
                <c:pt idx="6">
                  <c:v>0.16611074049366245</c:v>
                </c:pt>
                <c:pt idx="7">
                  <c:v>0.16264897074756229</c:v>
                </c:pt>
                <c:pt idx="8">
                  <c:v>0.12810432447981587</c:v>
                </c:pt>
                <c:pt idx="9">
                  <c:v>0.15913654618473896</c:v>
                </c:pt>
                <c:pt idx="10">
                  <c:v>8.8138448579524922E-2</c:v>
                </c:pt>
                <c:pt idx="11">
                  <c:v>0.15389257694628847</c:v>
                </c:pt>
                <c:pt idx="12">
                  <c:v>0.17108391300519504</c:v>
                </c:pt>
                <c:pt idx="13">
                  <c:v>0.15660874961216395</c:v>
                </c:pt>
                <c:pt idx="14">
                  <c:v>0.16671194421805668</c:v>
                </c:pt>
                <c:pt idx="15">
                  <c:v>0.11638650070576158</c:v>
                </c:pt>
                <c:pt idx="16">
                  <c:v>0.10778271463379677</c:v>
                </c:pt>
                <c:pt idx="17">
                  <c:v>0.23674475955610558</c:v>
                </c:pt>
                <c:pt idx="18">
                  <c:v>9.5000000000000043E-2</c:v>
                </c:pt>
                <c:pt idx="19">
                  <c:v>9.0774030604665004E-2</c:v>
                </c:pt>
                <c:pt idx="20">
                  <c:v>0.12253053838033479</c:v>
                </c:pt>
                <c:pt idx="21">
                  <c:v>0.13830540476752551</c:v>
                </c:pt>
                <c:pt idx="22">
                  <c:v>0.13326816552623208</c:v>
                </c:pt>
                <c:pt idx="23">
                  <c:v>0.18083593972135475</c:v>
                </c:pt>
                <c:pt idx="24">
                  <c:v>0.11914443721535459</c:v>
                </c:pt>
                <c:pt idx="25">
                  <c:v>0.18981279930343944</c:v>
                </c:pt>
                <c:pt idx="26">
                  <c:v>0.13470873786407794</c:v>
                </c:pt>
                <c:pt idx="27">
                  <c:v>0.14570460434522739</c:v>
                </c:pt>
                <c:pt idx="28">
                  <c:v>0.17196278898406644</c:v>
                </c:pt>
                <c:pt idx="29">
                  <c:v>0.15219894082431643</c:v>
                </c:pt>
                <c:pt idx="30">
                  <c:v>0.10779006825135418</c:v>
                </c:pt>
                <c:pt idx="31">
                  <c:v>9.7508281722598289E-2</c:v>
                </c:pt>
                <c:pt idx="32">
                  <c:v>0.19098457888493475</c:v>
                </c:pt>
                <c:pt idx="33">
                  <c:v>0.15335251161761437</c:v>
                </c:pt>
                <c:pt idx="34">
                  <c:v>0.10265700483091787</c:v>
                </c:pt>
                <c:pt idx="35">
                  <c:v>0.14959886739027844</c:v>
                </c:pt>
                <c:pt idx="36">
                  <c:v>0.115</c:v>
                </c:pt>
                <c:pt idx="37">
                  <c:v>0.2096672944130572</c:v>
                </c:pt>
                <c:pt idx="38">
                  <c:v>0.10805746408494685</c:v>
                </c:pt>
                <c:pt idx="39">
                  <c:v>0.10021786492374685</c:v>
                </c:pt>
                <c:pt idx="40">
                  <c:v>8.2077922077922208E-2</c:v>
                </c:pt>
                <c:pt idx="41">
                  <c:v>0.14413075780089171</c:v>
                </c:pt>
                <c:pt idx="42">
                  <c:v>0.15805717998700491</c:v>
                </c:pt>
                <c:pt idx="43">
                  <c:v>0.10133495145631158</c:v>
                </c:pt>
                <c:pt idx="44">
                  <c:v>0.14128333977580362</c:v>
                </c:pt>
                <c:pt idx="46">
                  <c:v>0.14982133741705084</c:v>
                </c:pt>
                <c:pt idx="47">
                  <c:v>0.12712875583035035</c:v>
                </c:pt>
              </c:numCache>
            </c:numRef>
          </c:yVal>
        </c:ser>
        <c:axId val="57655296"/>
        <c:axId val="57657216"/>
      </c:scatterChart>
      <c:valAx>
        <c:axId val="57655296"/>
        <c:scaling>
          <c:orientation val="minMax"/>
        </c:scaling>
        <c:axPos val="b"/>
        <c:title>
          <c:tx>
            <c:rich>
              <a:bodyPr/>
              <a:lstStyle/>
              <a:p>
                <a:pPr>
                  <a:defRPr sz="1200"/>
                </a:pPr>
                <a:r>
                  <a:rPr lang="en-GB" sz="1200"/>
                  <a:t>Practice</a:t>
                </a:r>
                <a:r>
                  <a:rPr lang="en-GB" sz="1200" baseline="0"/>
                  <a:t> average IMD</a:t>
                </a:r>
                <a:endParaRPr lang="en-GB" sz="1200"/>
              </a:p>
            </c:rich>
          </c:tx>
        </c:title>
        <c:numFmt formatCode="0.0" sourceLinked="1"/>
        <c:majorTickMark val="none"/>
        <c:tickLblPos val="nextTo"/>
        <c:crossAx val="57657216"/>
        <c:crosses val="autoZero"/>
        <c:crossBetween val="midCat"/>
      </c:valAx>
      <c:valAx>
        <c:axId val="57657216"/>
        <c:scaling>
          <c:orientation val="minMax"/>
        </c:scaling>
        <c:axPos val="l"/>
        <c:majorGridlines/>
        <c:title>
          <c:tx>
            <c:rich>
              <a:bodyPr/>
              <a:lstStyle/>
              <a:p>
                <a:pPr>
                  <a:defRPr/>
                </a:pPr>
                <a:r>
                  <a:rPr lang="en-GB" sz="1400"/>
                  <a:t>Smoking  prevalence</a:t>
                </a:r>
              </a:p>
            </c:rich>
          </c:tx>
        </c:title>
        <c:numFmt formatCode="0.0%" sourceLinked="1"/>
        <c:majorTickMark val="none"/>
        <c:tickLblPos val="nextTo"/>
        <c:crossAx val="57655296"/>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400"/>
              <a:t>% of smokers with COPD, Cardiovascular disease or Diabetes offered smoking cessation advice in the previous 15 months</a:t>
            </a:r>
          </a:p>
        </c:rich>
      </c:tx>
    </c:title>
    <c:plotArea>
      <c:layout>
        <c:manualLayout>
          <c:layoutTarget val="inner"/>
          <c:xMode val="edge"/>
          <c:yMode val="edge"/>
          <c:x val="8.9436989554236263E-2"/>
          <c:y val="0.21444268970685212"/>
          <c:w val="0.73453819325099323"/>
          <c:h val="0.40028412290047932"/>
        </c:manualLayout>
      </c:layout>
      <c:barChart>
        <c:barDir val="col"/>
        <c:grouping val="clustered"/>
        <c:ser>
          <c:idx val="0"/>
          <c:order val="0"/>
          <c:errBars>
            <c:errBarType val="both"/>
            <c:errValType val="cust"/>
            <c:plus>
              <c:numRef>
                <c:f>'02O_672PC_08_V1'!$H$23:$H$29</c:f>
                <c:numCache>
                  <c:formatCode>General</c:formatCode>
                  <c:ptCount val="7"/>
                  <c:pt idx="0">
                    <c:v>0.630000000000011</c:v>
                  </c:pt>
                  <c:pt idx="1">
                    <c:v>0.65999999999999825</c:v>
                  </c:pt>
                  <c:pt idx="2">
                    <c:v>0.71999999999999964</c:v>
                  </c:pt>
                  <c:pt idx="3">
                    <c:v>0.59000000000000341</c:v>
                  </c:pt>
                  <c:pt idx="4">
                    <c:v>0.71999999999999964</c:v>
                  </c:pt>
                  <c:pt idx="5">
                    <c:v>0.70999999999999375</c:v>
                  </c:pt>
                  <c:pt idx="6">
                    <c:v>0.62000000000000588</c:v>
                  </c:pt>
                </c:numCache>
              </c:numRef>
            </c:plus>
            <c:minus>
              <c:numRef>
                <c:f>'02O_672PC_08_V1'!$I$23:$I$29</c:f>
                <c:numCache>
                  <c:formatCode>General</c:formatCode>
                  <c:ptCount val="7"/>
                  <c:pt idx="0">
                    <c:v>0.67000000000000326</c:v>
                  </c:pt>
                  <c:pt idx="1">
                    <c:v>0.73000000000000465</c:v>
                  </c:pt>
                  <c:pt idx="2">
                    <c:v>0.78000000000000114</c:v>
                  </c:pt>
                  <c:pt idx="3">
                    <c:v>0.64000000000000212</c:v>
                  </c:pt>
                  <c:pt idx="4">
                    <c:v>0.81000000000000261</c:v>
                  </c:pt>
                  <c:pt idx="5">
                    <c:v>0.76000000000000656</c:v>
                  </c:pt>
                  <c:pt idx="6">
                    <c:v>0.65999999999999825</c:v>
                  </c:pt>
                </c:numCache>
              </c:numRef>
            </c:minus>
          </c:errBars>
          <c:cat>
            <c:strRef>
              <c:f>'02O_672PC_08_V1'!$B$23:$B$29</c:f>
              <c:strCache>
                <c:ptCount val="7"/>
                <c:pt idx="0">
                  <c:v>Tower Hamlets PCT</c:v>
                </c:pt>
                <c:pt idx="1">
                  <c:v>Hammersmith and Fulham PCT</c:v>
                </c:pt>
                <c:pt idx="2">
                  <c:v>Camden PCT</c:v>
                </c:pt>
                <c:pt idx="3">
                  <c:v>Islington PCT</c:v>
                </c:pt>
                <c:pt idx="4">
                  <c:v>Kensington and Chelsea PCT</c:v>
                </c:pt>
                <c:pt idx="5">
                  <c:v>Westminster PCT</c:v>
                </c:pt>
                <c:pt idx="6">
                  <c:v>Wandsworth Teaching PCT</c:v>
                </c:pt>
              </c:strCache>
            </c:strRef>
          </c:cat>
          <c:val>
            <c:numRef>
              <c:f>'02O_672PC_08_V1'!$C$23:$C$29</c:f>
              <c:numCache>
                <c:formatCode>0.00</c:formatCode>
                <c:ptCount val="7"/>
                <c:pt idx="0">
                  <c:v>91.410000000000025</c:v>
                </c:pt>
                <c:pt idx="1">
                  <c:v>93.7</c:v>
                </c:pt>
                <c:pt idx="2">
                  <c:v>90.910000000000025</c:v>
                </c:pt>
                <c:pt idx="3">
                  <c:v>92.89</c:v>
                </c:pt>
                <c:pt idx="4">
                  <c:v>93.63</c:v>
                </c:pt>
                <c:pt idx="5">
                  <c:v>92.56</c:v>
                </c:pt>
                <c:pt idx="6">
                  <c:v>91.940000000000026</c:v>
                </c:pt>
              </c:numCache>
            </c:numRef>
          </c:val>
        </c:ser>
        <c:axId val="64472192"/>
        <c:axId val="64473728"/>
      </c:barChart>
      <c:lineChart>
        <c:grouping val="standard"/>
        <c:ser>
          <c:idx val="3"/>
          <c:order val="1"/>
          <c:tx>
            <c:v>England</c:v>
          </c:tx>
          <c:marker>
            <c:symbol val="none"/>
          </c:marker>
          <c:cat>
            <c:strRef>
              <c:f>'02O_672PC_08_V1'!$B$23:$B$29</c:f>
              <c:strCache>
                <c:ptCount val="7"/>
                <c:pt idx="0">
                  <c:v>Tower Hamlets PCT</c:v>
                </c:pt>
                <c:pt idx="1">
                  <c:v>Hammersmith and Fulham PCT</c:v>
                </c:pt>
                <c:pt idx="2">
                  <c:v>Camden PCT</c:v>
                </c:pt>
                <c:pt idx="3">
                  <c:v>Islington PCT</c:v>
                </c:pt>
                <c:pt idx="4">
                  <c:v>Kensington and Chelsea PCT</c:v>
                </c:pt>
                <c:pt idx="5">
                  <c:v>Westminster PCT</c:v>
                </c:pt>
                <c:pt idx="6">
                  <c:v>Wandsworth Teaching PCT</c:v>
                </c:pt>
              </c:strCache>
            </c:strRef>
          </c:cat>
          <c:val>
            <c:numRef>
              <c:f>'02O_672PC_08_V1'!$F$23:$F$29</c:f>
              <c:numCache>
                <c:formatCode>0.00</c:formatCode>
                <c:ptCount val="7"/>
                <c:pt idx="0">
                  <c:v>92.86999999999999</c:v>
                </c:pt>
                <c:pt idx="1">
                  <c:v>92.86999999999999</c:v>
                </c:pt>
                <c:pt idx="2">
                  <c:v>92.86999999999999</c:v>
                </c:pt>
                <c:pt idx="3">
                  <c:v>92.86999999999999</c:v>
                </c:pt>
                <c:pt idx="4">
                  <c:v>92.86999999999999</c:v>
                </c:pt>
                <c:pt idx="5">
                  <c:v>92.86999999999999</c:v>
                </c:pt>
                <c:pt idx="6">
                  <c:v>92.86999999999999</c:v>
                </c:pt>
              </c:numCache>
            </c:numRef>
          </c:val>
        </c:ser>
        <c:ser>
          <c:idx val="4"/>
          <c:order val="2"/>
          <c:tx>
            <c:v>London</c:v>
          </c:tx>
          <c:marker>
            <c:symbol val="none"/>
          </c:marker>
          <c:cat>
            <c:strRef>
              <c:f>'02O_672PC_08_V1'!$B$23:$B$29</c:f>
              <c:strCache>
                <c:ptCount val="7"/>
                <c:pt idx="0">
                  <c:v>Tower Hamlets PCT</c:v>
                </c:pt>
                <c:pt idx="1">
                  <c:v>Hammersmith and Fulham PCT</c:v>
                </c:pt>
                <c:pt idx="2">
                  <c:v>Camden PCT</c:v>
                </c:pt>
                <c:pt idx="3">
                  <c:v>Islington PCT</c:v>
                </c:pt>
                <c:pt idx="4">
                  <c:v>Kensington and Chelsea PCT</c:v>
                </c:pt>
                <c:pt idx="5">
                  <c:v>Westminster PCT</c:v>
                </c:pt>
                <c:pt idx="6">
                  <c:v>Wandsworth Teaching PCT</c:v>
                </c:pt>
              </c:strCache>
            </c:strRef>
          </c:cat>
          <c:val>
            <c:numRef>
              <c:f>'02O_672PC_08_V1'!$G$23:$G$29</c:f>
              <c:numCache>
                <c:formatCode>0.00</c:formatCode>
                <c:ptCount val="7"/>
                <c:pt idx="0">
                  <c:v>92.940000000000026</c:v>
                </c:pt>
                <c:pt idx="1">
                  <c:v>92.940000000000026</c:v>
                </c:pt>
                <c:pt idx="2">
                  <c:v>92.940000000000026</c:v>
                </c:pt>
                <c:pt idx="3">
                  <c:v>92.940000000000026</c:v>
                </c:pt>
                <c:pt idx="4">
                  <c:v>92.940000000000026</c:v>
                </c:pt>
                <c:pt idx="5">
                  <c:v>92.940000000000026</c:v>
                </c:pt>
                <c:pt idx="6">
                  <c:v>92.940000000000026</c:v>
                </c:pt>
              </c:numCache>
            </c:numRef>
          </c:val>
        </c:ser>
        <c:marker val="1"/>
        <c:axId val="64472192"/>
        <c:axId val="64473728"/>
      </c:lineChart>
      <c:catAx>
        <c:axId val="64472192"/>
        <c:scaling>
          <c:orientation val="minMax"/>
        </c:scaling>
        <c:axPos val="b"/>
        <c:tickLblPos val="nextTo"/>
        <c:txPr>
          <a:bodyPr rot="5400000" vert="horz"/>
          <a:lstStyle/>
          <a:p>
            <a:pPr>
              <a:defRPr sz="800"/>
            </a:pPr>
            <a:endParaRPr lang="en-US"/>
          </a:p>
        </c:txPr>
        <c:crossAx val="64473728"/>
        <c:crosses val="autoZero"/>
        <c:auto val="1"/>
        <c:lblAlgn val="ctr"/>
        <c:lblOffset val="100"/>
      </c:catAx>
      <c:valAx>
        <c:axId val="64473728"/>
        <c:scaling>
          <c:orientation val="minMax"/>
          <c:min val="0"/>
        </c:scaling>
        <c:axPos val="l"/>
        <c:majorGridlines/>
        <c:numFmt formatCode="0" sourceLinked="0"/>
        <c:tickLblPos val="nextTo"/>
        <c:crossAx val="64472192"/>
        <c:crosses val="autoZero"/>
        <c:crossBetween val="between"/>
      </c:valAx>
    </c:plotArea>
    <c:legend>
      <c:legendPos val="r"/>
      <c:legendEntry>
        <c:idx val="0"/>
        <c:delete val="1"/>
      </c:legendEntry>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800" b="1" i="0" baseline="0"/>
              <a:t>Age specific mortality rates for COPD in different geographical areas</a:t>
            </a:r>
            <a:endParaRPr lang="en-GB"/>
          </a:p>
        </c:rich>
      </c:tx>
    </c:title>
    <c:plotArea>
      <c:layout>
        <c:manualLayout>
          <c:layoutTarget val="inner"/>
          <c:xMode val="edge"/>
          <c:yMode val="edge"/>
          <c:x val="8.4357651580024701E-2"/>
          <c:y val="0.17464899709622386"/>
          <c:w val="0.88538955840069067"/>
          <c:h val="0.64785490770708964"/>
        </c:manualLayout>
      </c:layout>
      <c:barChart>
        <c:barDir val="col"/>
        <c:grouping val="clustered"/>
        <c:ser>
          <c:idx val="0"/>
          <c:order val="0"/>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'24B_038CR_08_V1'!$C$20:$Y$20</c:f>
              <c:numCache>
                <c:formatCode>General</c:formatCode>
                <c:ptCount val="23"/>
              </c:numCache>
            </c:numRef>
          </c:val>
        </c:ser>
        <c:ser>
          <c:idx val="1"/>
          <c:order val="1"/>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'24B_038CR_08_V1'!$C$21:$Y$21</c:f>
            </c:numRef>
          </c:val>
        </c:ser>
        <c:ser>
          <c:idx val="2"/>
          <c:order val="2"/>
          <c:tx>
            <c:v>England</c:v>
          </c:tx>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'24B_038CR_08_V1'!$C$22:$Y$22</c:f>
              <c:numCache>
                <c:formatCode>0.0</c:formatCode>
                <c:ptCount val="23"/>
                <c:pt idx="0">
                  <c:v>47.5</c:v>
                </c:pt>
                <c:pt idx="1">
                  <c:v>0</c:v>
                </c:pt>
                <c:pt idx="2">
                  <c:v>0</c:v>
                </c:pt>
                <c:pt idx="3">
                  <c:v>0</c:v>
                </c:pt>
                <c:pt idx="4">
                  <c:v>12.2</c:v>
                </c:pt>
                <c:pt idx="5">
                  <c:v>129.4</c:v>
                </c:pt>
                <c:pt idx="6">
                  <c:v>512.5</c:v>
                </c:pt>
                <c:pt idx="8">
                  <c:v>41.4</c:v>
                </c:pt>
                <c:pt idx="9">
                  <c:v>0</c:v>
                </c:pt>
                <c:pt idx="10">
                  <c:v>0</c:v>
                </c:pt>
                <c:pt idx="11">
                  <c:v>0.1</c:v>
                </c:pt>
                <c:pt idx="12">
                  <c:v>8.8000000000000007</c:v>
                </c:pt>
                <c:pt idx="13">
                  <c:v>94.6</c:v>
                </c:pt>
                <c:pt idx="14">
                  <c:v>315.39999999999969</c:v>
                </c:pt>
                <c:pt idx="16">
                  <c:v>44.4</c:v>
                </c:pt>
                <c:pt idx="17">
                  <c:v>0</c:v>
                </c:pt>
                <c:pt idx="18">
                  <c:v>0</c:v>
                </c:pt>
                <c:pt idx="19">
                  <c:v>0</c:v>
                </c:pt>
                <c:pt idx="20">
                  <c:v>10.5</c:v>
                </c:pt>
                <c:pt idx="21">
                  <c:v>111.2</c:v>
                </c:pt>
                <c:pt idx="22">
                  <c:v>392.4</c:v>
                </c:pt>
              </c:numCache>
            </c:numRef>
          </c:val>
        </c:ser>
        <c:ser>
          <c:idx val="3"/>
          <c:order val="3"/>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'24B_038CR_08_V1'!$C$23:$Y$23</c:f>
            </c:numRef>
          </c:val>
        </c:ser>
        <c:ser>
          <c:idx val="4"/>
          <c:order val="4"/>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'24B_038CR_08_V1'!$C$24:$Y$24</c:f>
            </c:numRef>
          </c:val>
        </c:ser>
        <c:ser>
          <c:idx val="5"/>
          <c:order val="5"/>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'24B_038CR_08_V1'!$C$25:$Y$25</c:f>
            </c:numRef>
          </c:val>
        </c:ser>
        <c:ser>
          <c:idx val="6"/>
          <c:order val="6"/>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'24B_038CR_08_V1'!$C$26:$Y$26</c:f>
            </c:numRef>
          </c:val>
        </c:ser>
        <c:ser>
          <c:idx val="7"/>
          <c:order val="7"/>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'24B_038CR_08_V1'!$C$27:$Y$27</c:f>
            </c:numRef>
          </c:val>
        </c:ser>
        <c:ser>
          <c:idx val="8"/>
          <c:order val="8"/>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'24B_038CR_08_V1'!$C$28:$Y$28</c:f>
            </c:numRef>
          </c:val>
        </c:ser>
        <c:ser>
          <c:idx val="9"/>
          <c:order val="9"/>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'24B_038CR_08_V1'!$C$29:$Y$29</c:f>
            </c:numRef>
          </c:val>
        </c:ser>
        <c:ser>
          <c:idx val="10"/>
          <c:order val="10"/>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'24B_038CR_08_V1'!$C$30:$Y$30</c:f>
            </c:numRef>
          </c:val>
        </c:ser>
        <c:ser>
          <c:idx val="11"/>
          <c:order val="11"/>
          <c:tx>
            <c:v>London</c:v>
          </c:tx>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'24B_038CR_08_V1'!$C$31:$Y$31</c:f>
              <c:numCache>
                <c:formatCode>0.0</c:formatCode>
                <c:ptCount val="23"/>
                <c:pt idx="0">
                  <c:v>36.1</c:v>
                </c:pt>
                <c:pt idx="1">
                  <c:v>0</c:v>
                </c:pt>
                <c:pt idx="2">
                  <c:v>0</c:v>
                </c:pt>
                <c:pt idx="3">
                  <c:v>0</c:v>
                </c:pt>
                <c:pt idx="4">
                  <c:v>11.8</c:v>
                </c:pt>
                <c:pt idx="5">
                  <c:v>137.30000000000001</c:v>
                </c:pt>
                <c:pt idx="6">
                  <c:v>513.9</c:v>
                </c:pt>
                <c:pt idx="8">
                  <c:v>28.8</c:v>
                </c:pt>
                <c:pt idx="9">
                  <c:v>0</c:v>
                </c:pt>
                <c:pt idx="10">
                  <c:v>0</c:v>
                </c:pt>
                <c:pt idx="11">
                  <c:v>0.1</c:v>
                </c:pt>
                <c:pt idx="12">
                  <c:v>5.7</c:v>
                </c:pt>
                <c:pt idx="13">
                  <c:v>86.1</c:v>
                </c:pt>
                <c:pt idx="14">
                  <c:v>303.39999999999969</c:v>
                </c:pt>
                <c:pt idx="16">
                  <c:v>32.4</c:v>
                </c:pt>
                <c:pt idx="17">
                  <c:v>0</c:v>
                </c:pt>
                <c:pt idx="18">
                  <c:v>0</c:v>
                </c:pt>
                <c:pt idx="19">
                  <c:v>0</c:v>
                </c:pt>
                <c:pt idx="20">
                  <c:v>8.7000000000000011</c:v>
                </c:pt>
                <c:pt idx="21">
                  <c:v>110</c:v>
                </c:pt>
                <c:pt idx="22">
                  <c:v>386.1</c:v>
                </c:pt>
              </c:numCache>
            </c:numRef>
          </c:val>
        </c:ser>
        <c:ser>
          <c:idx val="12"/>
          <c:order val="12"/>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'24B_038CR_08_V1'!$C$32:$Y$32</c:f>
            </c:numRef>
          </c:val>
        </c:ser>
        <c:ser>
          <c:idx val="13"/>
          <c:order val="13"/>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'24B_038CR_08_V1'!$C$33:$Y$33</c:f>
            </c:numRef>
          </c:val>
        </c:ser>
        <c:ser>
          <c:idx val="14"/>
          <c:order val="14"/>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'24B_038CR_08_V1'!$C$34:$Y$34</c:f>
            </c:numRef>
          </c:val>
        </c:ser>
        <c:ser>
          <c:idx val="15"/>
          <c:order val="15"/>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'24B_038CR_08_V1'!$C$35:$Y$35</c:f>
            </c:numRef>
          </c:val>
        </c:ser>
        <c:ser>
          <c:idx val="16"/>
          <c:order val="16"/>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'24B_038CR_08_V1'!$C$36:$Y$36</c:f>
            </c:numRef>
          </c:val>
        </c:ser>
        <c:ser>
          <c:idx val="17"/>
          <c:order val="17"/>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'24B_038CR_08_V1'!$C$37:$Y$37</c:f>
            </c:numRef>
          </c:val>
        </c:ser>
        <c:ser>
          <c:idx val="18"/>
          <c:order val="18"/>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'24B_038CR_08_V1'!$C$38:$Y$38</c:f>
            </c:numRef>
          </c:val>
        </c:ser>
        <c:ser>
          <c:idx val="19"/>
          <c:order val="19"/>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'24B_038CR_08_V1'!$C$39:$Y$39</c:f>
            </c:numRef>
          </c:val>
        </c:ser>
        <c:ser>
          <c:idx val="20"/>
          <c:order val="20"/>
          <c:tx>
            <c:v>London Centre Cluster</c:v>
          </c:tx>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'24B_038CR_08_V1'!$C$40:$Y$40</c:f>
              <c:numCache>
                <c:formatCode>0.0</c:formatCode>
                <c:ptCount val="23"/>
                <c:pt idx="0">
                  <c:v>30.7</c:v>
                </c:pt>
                <c:pt idx="1">
                  <c:v>0</c:v>
                </c:pt>
                <c:pt idx="2">
                  <c:v>0</c:v>
                </c:pt>
                <c:pt idx="3">
                  <c:v>0</c:v>
                </c:pt>
                <c:pt idx="4">
                  <c:v>12.9</c:v>
                </c:pt>
                <c:pt idx="5">
                  <c:v>163.4</c:v>
                </c:pt>
                <c:pt idx="6">
                  <c:v>454.7</c:v>
                </c:pt>
                <c:pt idx="8">
                  <c:v>26.4</c:v>
                </c:pt>
                <c:pt idx="9">
                  <c:v>0</c:v>
                </c:pt>
                <c:pt idx="10">
                  <c:v>0</c:v>
                </c:pt>
                <c:pt idx="11">
                  <c:v>0</c:v>
                </c:pt>
                <c:pt idx="12">
                  <c:v>5.8</c:v>
                </c:pt>
                <c:pt idx="13">
                  <c:v>103.4</c:v>
                </c:pt>
                <c:pt idx="14">
                  <c:v>335</c:v>
                </c:pt>
                <c:pt idx="16">
                  <c:v>28.6</c:v>
                </c:pt>
                <c:pt idx="17">
                  <c:v>0</c:v>
                </c:pt>
                <c:pt idx="18">
                  <c:v>0</c:v>
                </c:pt>
                <c:pt idx="19">
                  <c:v>0</c:v>
                </c:pt>
                <c:pt idx="20">
                  <c:v>9.4</c:v>
                </c:pt>
                <c:pt idx="21">
                  <c:v>131.30000000000001</c:v>
                </c:pt>
                <c:pt idx="22">
                  <c:v>384.1</c:v>
                </c:pt>
              </c:numCache>
            </c:numRef>
          </c:val>
        </c:ser>
        <c:ser>
          <c:idx val="21"/>
          <c:order val="21"/>
          <c:tx>
            <c:v>Wandsworth</c:v>
          </c:tx>
          <c:cat>
            <c:multiLvlStrRef>
              <c:f>'24B_038CR_08_V1'!$C$18:$Y$19</c:f>
              <c:multiLvlStrCache>
                <c:ptCount val="23"/>
                <c:lvl>
                  <c:pt idx="0">
                    <c:v>Overall</c:v>
                  </c:pt>
                  <c:pt idx="1">
                    <c:v>1-4</c:v>
                  </c:pt>
                  <c:pt idx="2">
                    <c:v>5-14</c:v>
                  </c:pt>
                  <c:pt idx="3">
                    <c:v>15-34</c:v>
                  </c:pt>
                  <c:pt idx="4">
                    <c:v>35-64</c:v>
                  </c:pt>
                  <c:pt idx="5">
                    <c:v>65-74</c:v>
                  </c:pt>
                  <c:pt idx="6">
                    <c:v>75+</c:v>
                  </c:pt>
                  <c:pt idx="8">
                    <c:v>Overall</c:v>
                  </c:pt>
                  <c:pt idx="9">
                    <c:v>1-4</c:v>
                  </c:pt>
                  <c:pt idx="10">
                    <c:v>5-14</c:v>
                  </c:pt>
                  <c:pt idx="11">
                    <c:v>15-34</c:v>
                  </c:pt>
                  <c:pt idx="12">
                    <c:v>35-64</c:v>
                  </c:pt>
                  <c:pt idx="13">
                    <c:v>65-74</c:v>
                  </c:pt>
                  <c:pt idx="14">
                    <c:v>75+</c:v>
                  </c:pt>
                  <c:pt idx="16">
                    <c:v>Overall</c:v>
                  </c:pt>
                  <c:pt idx="17">
                    <c:v>1-4</c:v>
                  </c:pt>
                  <c:pt idx="18">
                    <c:v>5-14</c:v>
                  </c:pt>
                  <c:pt idx="19">
                    <c:v>15-34</c:v>
                  </c:pt>
                  <c:pt idx="20">
                    <c:v>35-64</c:v>
                  </c:pt>
                  <c:pt idx="21">
                    <c:v>65-74</c:v>
                  </c:pt>
                  <c:pt idx="22">
                    <c:v>75+</c:v>
                  </c:pt>
                </c:lvl>
                <c:lvl>
                  <c:pt idx="0">
                    <c:v>MALES</c:v>
                  </c:pt>
                  <c:pt idx="8">
                    <c:v>FEMALES</c:v>
                  </c:pt>
                  <c:pt idx="16">
                    <c:v>PERSONS</c:v>
                  </c:pt>
                </c:lvl>
              </c:multiLvlStrCache>
            </c:multiLvlStrRef>
          </c:cat>
          <c:val>
            <c:numRef>
              <c:f>'24B_038CR_08_V1'!$C$41:$Y$41</c:f>
              <c:numCache>
                <c:formatCode>0.0</c:formatCode>
                <c:ptCount val="23"/>
                <c:pt idx="0">
                  <c:v>31.2</c:v>
                </c:pt>
                <c:pt idx="1">
                  <c:v>0</c:v>
                </c:pt>
                <c:pt idx="2">
                  <c:v>0</c:v>
                </c:pt>
                <c:pt idx="3">
                  <c:v>0</c:v>
                </c:pt>
                <c:pt idx="4">
                  <c:v>11.8</c:v>
                </c:pt>
                <c:pt idx="5">
                  <c:v>176.9</c:v>
                </c:pt>
                <c:pt idx="6">
                  <c:v>486.9</c:v>
                </c:pt>
                <c:pt idx="8">
                  <c:v>28.6</c:v>
                </c:pt>
                <c:pt idx="9">
                  <c:v>0</c:v>
                </c:pt>
                <c:pt idx="10">
                  <c:v>0</c:v>
                </c:pt>
                <c:pt idx="11">
                  <c:v>0</c:v>
                </c:pt>
                <c:pt idx="12">
                  <c:v>6.2</c:v>
                </c:pt>
                <c:pt idx="13">
                  <c:v>89.8</c:v>
                </c:pt>
                <c:pt idx="14">
                  <c:v>374</c:v>
                </c:pt>
                <c:pt idx="16">
                  <c:v>29.9</c:v>
                </c:pt>
                <c:pt idx="17">
                  <c:v>0</c:v>
                </c:pt>
                <c:pt idx="18">
                  <c:v>0</c:v>
                </c:pt>
                <c:pt idx="19">
                  <c:v>0</c:v>
                </c:pt>
                <c:pt idx="20">
                  <c:v>9</c:v>
                </c:pt>
                <c:pt idx="21">
                  <c:v>130.6</c:v>
                </c:pt>
                <c:pt idx="22">
                  <c:v>416.6</c:v>
                </c:pt>
              </c:numCache>
            </c:numRef>
          </c:val>
        </c:ser>
        <c:axId val="68965888"/>
        <c:axId val="68967424"/>
      </c:barChart>
      <c:catAx>
        <c:axId val="68965888"/>
        <c:scaling>
          <c:orientation val="minMax"/>
        </c:scaling>
        <c:axPos val="b"/>
        <c:tickLblPos val="nextTo"/>
        <c:txPr>
          <a:bodyPr rot="5400000" vert="horz"/>
          <a:lstStyle/>
          <a:p>
            <a:pPr>
              <a:defRPr/>
            </a:pPr>
            <a:endParaRPr lang="en-US"/>
          </a:p>
        </c:txPr>
        <c:crossAx val="68967424"/>
        <c:crosses val="autoZero"/>
        <c:auto val="1"/>
        <c:lblAlgn val="ctr"/>
        <c:lblOffset val="100"/>
      </c:catAx>
      <c:valAx>
        <c:axId val="68967424"/>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US" sz="1400" b="1" i="0" baseline="0"/>
                  <a:t>Death Rate Per 100,000</a:t>
                </a:r>
                <a:endParaRPr lang="en-GB" sz="1400"/>
              </a:p>
            </c:rich>
          </c:tx>
        </c:title>
        <c:numFmt formatCode="General" sourceLinked="1"/>
        <c:tickLblPos val="nextTo"/>
        <c:crossAx val="68965888"/>
        <c:crosses val="autoZero"/>
        <c:crossBetween val="between"/>
      </c:valAx>
    </c:plotArea>
    <c:legend>
      <c:legendPos val="r"/>
      <c:legendEntry>
        <c:idx val="0"/>
        <c:delete val="1"/>
      </c:legendEntry>
      <c:layout>
        <c:manualLayout>
          <c:xMode val="edge"/>
          <c:yMode val="edge"/>
          <c:x val="0.73298711492839164"/>
          <c:y val="0.1627380319791325"/>
          <c:w val="0.16376410892563664"/>
          <c:h val="0.32264936208127382"/>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Directly Age standardized mortality rate for COPD in men and women</a:t>
            </a:r>
          </a:p>
        </c:rich>
      </c:tx>
    </c:title>
    <c:plotArea>
      <c:layout>
        <c:manualLayout>
          <c:layoutTarget val="inner"/>
          <c:xMode val="edge"/>
          <c:yMode val="edge"/>
          <c:x val="0.14250063470313284"/>
          <c:y val="0.22667587099557582"/>
          <c:w val="0.52599000646876115"/>
          <c:h val="0.64736662711681592"/>
        </c:manualLayout>
      </c:layout>
      <c:lineChart>
        <c:grouping val="standard"/>
        <c:ser>
          <c:idx val="4"/>
          <c:order val="4"/>
          <c:tx>
            <c:v>England Female</c:v>
          </c:tx>
          <c:marker>
            <c:symbol val="none"/>
          </c:marker>
          <c:cat>
            <c:numRef>
              <c:f>Sheet1!$B$27:$B$42</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Sheet1!$C$27:$C$42</c:f>
              <c:numCache>
                <c:formatCode>0.00</c:formatCode>
                <c:ptCount val="16"/>
                <c:pt idx="0">
                  <c:v>23.17</c:v>
                </c:pt>
                <c:pt idx="1">
                  <c:v>20.97</c:v>
                </c:pt>
                <c:pt idx="2">
                  <c:v>23.09</c:v>
                </c:pt>
                <c:pt idx="3">
                  <c:v>22.89</c:v>
                </c:pt>
                <c:pt idx="4">
                  <c:v>23.39</c:v>
                </c:pt>
                <c:pt idx="5">
                  <c:v>22.99</c:v>
                </c:pt>
                <c:pt idx="6">
                  <c:v>24.24</c:v>
                </c:pt>
                <c:pt idx="7">
                  <c:v>22.479999999999986</c:v>
                </c:pt>
                <c:pt idx="8">
                  <c:v>21.7</c:v>
                </c:pt>
                <c:pt idx="9">
                  <c:v>22.21</c:v>
                </c:pt>
                <c:pt idx="10">
                  <c:v>23.979999999999986</c:v>
                </c:pt>
                <c:pt idx="11">
                  <c:v>21.18</c:v>
                </c:pt>
                <c:pt idx="12">
                  <c:v>22.18</c:v>
                </c:pt>
                <c:pt idx="13">
                  <c:v>21.130000000000031</c:v>
                </c:pt>
                <c:pt idx="14">
                  <c:v>21.66</c:v>
                </c:pt>
                <c:pt idx="15">
                  <c:v>22.36</c:v>
                </c:pt>
              </c:numCache>
            </c:numRef>
          </c:val>
        </c:ser>
        <c:ser>
          <c:idx val="5"/>
          <c:order val="5"/>
          <c:tx>
            <c:v>London Female</c:v>
          </c:tx>
          <c:marker>
            <c:symbol val="none"/>
          </c:marker>
          <c:cat>
            <c:numRef>
              <c:f>Sheet1!$B$27:$B$42</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Sheet1!$D$27:$D$42</c:f>
              <c:numCache>
                <c:formatCode>0.00</c:formatCode>
                <c:ptCount val="16"/>
                <c:pt idx="0">
                  <c:v>22.17</c:v>
                </c:pt>
                <c:pt idx="1">
                  <c:v>22.419999999999987</c:v>
                </c:pt>
                <c:pt idx="2">
                  <c:v>25.16</c:v>
                </c:pt>
                <c:pt idx="3">
                  <c:v>23.75</c:v>
                </c:pt>
                <c:pt idx="4">
                  <c:v>22.22</c:v>
                </c:pt>
                <c:pt idx="5">
                  <c:v>21.959999999999987</c:v>
                </c:pt>
                <c:pt idx="6">
                  <c:v>25.03</c:v>
                </c:pt>
                <c:pt idx="7">
                  <c:v>22.459999999999987</c:v>
                </c:pt>
                <c:pt idx="8">
                  <c:v>21.43</c:v>
                </c:pt>
                <c:pt idx="9">
                  <c:v>21.439999999999987</c:v>
                </c:pt>
                <c:pt idx="10">
                  <c:v>22.810000000000031</c:v>
                </c:pt>
                <c:pt idx="11">
                  <c:v>21.75</c:v>
                </c:pt>
                <c:pt idx="12">
                  <c:v>21.51</c:v>
                </c:pt>
                <c:pt idx="13">
                  <c:v>20.49</c:v>
                </c:pt>
                <c:pt idx="14">
                  <c:v>18.899999999999999</c:v>
                </c:pt>
                <c:pt idx="15">
                  <c:v>20.14</c:v>
                </c:pt>
              </c:numCache>
            </c:numRef>
          </c:val>
        </c:ser>
        <c:ser>
          <c:idx val="6"/>
          <c:order val="6"/>
          <c:tx>
            <c:v>London centre female</c:v>
          </c:tx>
          <c:marker>
            <c:symbol val="none"/>
          </c:marker>
          <c:cat>
            <c:numRef>
              <c:f>Sheet1!$B$27:$B$42</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Sheet1!$E$27:$E$42</c:f>
              <c:numCache>
                <c:formatCode>0.00</c:formatCode>
                <c:ptCount val="16"/>
                <c:pt idx="0">
                  <c:v>24.23</c:v>
                </c:pt>
                <c:pt idx="1">
                  <c:v>26.830000000000005</c:v>
                </c:pt>
                <c:pt idx="2">
                  <c:v>26.43</c:v>
                </c:pt>
                <c:pt idx="3">
                  <c:v>25.02</c:v>
                </c:pt>
                <c:pt idx="4">
                  <c:v>25.23</c:v>
                </c:pt>
                <c:pt idx="5">
                  <c:v>26.84</c:v>
                </c:pt>
                <c:pt idx="6">
                  <c:v>27.9</c:v>
                </c:pt>
                <c:pt idx="7">
                  <c:v>21.86</c:v>
                </c:pt>
                <c:pt idx="8">
                  <c:v>24.8</c:v>
                </c:pt>
                <c:pt idx="9">
                  <c:v>22.05</c:v>
                </c:pt>
                <c:pt idx="10">
                  <c:v>24.99</c:v>
                </c:pt>
                <c:pt idx="11">
                  <c:v>24.69</c:v>
                </c:pt>
                <c:pt idx="12">
                  <c:v>22.72</c:v>
                </c:pt>
                <c:pt idx="13">
                  <c:v>24.45</c:v>
                </c:pt>
                <c:pt idx="14">
                  <c:v>18.670000000000005</c:v>
                </c:pt>
                <c:pt idx="15">
                  <c:v>24.77</c:v>
                </c:pt>
              </c:numCache>
            </c:numRef>
          </c:val>
        </c:ser>
        <c:ser>
          <c:idx val="7"/>
          <c:order val="7"/>
          <c:tx>
            <c:v>Wandsworth Female</c:v>
          </c:tx>
          <c:marker>
            <c:symbol val="none"/>
          </c:marker>
          <c:cat>
            <c:numRef>
              <c:f>Sheet1!$B$27:$B$42</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Sheet1!$F$27:$F$42</c:f>
              <c:numCache>
                <c:formatCode>0.00</c:formatCode>
                <c:ptCount val="16"/>
                <c:pt idx="0">
                  <c:v>25.650000000000031</c:v>
                </c:pt>
                <c:pt idx="1">
                  <c:v>24.08</c:v>
                </c:pt>
                <c:pt idx="2">
                  <c:v>24.36</c:v>
                </c:pt>
                <c:pt idx="3">
                  <c:v>24.459999999999987</c:v>
                </c:pt>
                <c:pt idx="4">
                  <c:v>23.77</c:v>
                </c:pt>
                <c:pt idx="5">
                  <c:v>23.14</c:v>
                </c:pt>
                <c:pt idx="6">
                  <c:v>33.51</c:v>
                </c:pt>
                <c:pt idx="7">
                  <c:v>25.419999999999987</c:v>
                </c:pt>
                <c:pt idx="8">
                  <c:v>35.6</c:v>
                </c:pt>
                <c:pt idx="9">
                  <c:v>22.35</c:v>
                </c:pt>
                <c:pt idx="10">
                  <c:v>31.130000000000031</c:v>
                </c:pt>
                <c:pt idx="11">
                  <c:v>28.6</c:v>
                </c:pt>
                <c:pt idx="12">
                  <c:v>25.130000000000031</c:v>
                </c:pt>
                <c:pt idx="13">
                  <c:v>22.21</c:v>
                </c:pt>
                <c:pt idx="14">
                  <c:v>20.73</c:v>
                </c:pt>
                <c:pt idx="15">
                  <c:v>27.110000000000031</c:v>
                </c:pt>
              </c:numCache>
            </c:numRef>
          </c:val>
        </c:ser>
        <c:ser>
          <c:idx val="0"/>
          <c:order val="0"/>
          <c:tx>
            <c:v>England Male</c:v>
          </c:tx>
          <c:marker>
            <c:symbol val="none"/>
          </c:marker>
          <c:cat>
            <c:numRef>
              <c:f>Sheet1!$B$10:$B$25</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Sheet1!$C$10:$C$25</c:f>
              <c:numCache>
                <c:formatCode>0.00</c:formatCode>
                <c:ptCount val="16"/>
                <c:pt idx="0">
                  <c:v>58.720000000000013</c:v>
                </c:pt>
                <c:pt idx="1">
                  <c:v>51.44</c:v>
                </c:pt>
                <c:pt idx="2">
                  <c:v>53.32</c:v>
                </c:pt>
                <c:pt idx="3">
                  <c:v>49.77</c:v>
                </c:pt>
                <c:pt idx="4">
                  <c:v>49.44</c:v>
                </c:pt>
                <c:pt idx="5">
                  <c:v>47.24</c:v>
                </c:pt>
                <c:pt idx="6">
                  <c:v>47.93</c:v>
                </c:pt>
                <c:pt idx="7">
                  <c:v>43.190000000000012</c:v>
                </c:pt>
                <c:pt idx="8">
                  <c:v>40.190000000000012</c:v>
                </c:pt>
                <c:pt idx="9">
                  <c:v>39.64</c:v>
                </c:pt>
                <c:pt idx="10">
                  <c:v>40.58</c:v>
                </c:pt>
                <c:pt idx="11">
                  <c:v>36.260000000000012</c:v>
                </c:pt>
                <c:pt idx="12">
                  <c:v>36.520000000000003</c:v>
                </c:pt>
                <c:pt idx="13">
                  <c:v>34.200000000000003</c:v>
                </c:pt>
                <c:pt idx="14">
                  <c:v>33.5</c:v>
                </c:pt>
                <c:pt idx="15">
                  <c:v>34.57</c:v>
                </c:pt>
              </c:numCache>
            </c:numRef>
          </c:val>
        </c:ser>
        <c:ser>
          <c:idx val="1"/>
          <c:order val="1"/>
          <c:tx>
            <c:v>London Male</c:v>
          </c:tx>
          <c:marker>
            <c:symbol val="none"/>
          </c:marker>
          <c:cat>
            <c:numRef>
              <c:f>Sheet1!$B$10:$B$25</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Sheet1!$D$10:$D$25</c:f>
              <c:numCache>
                <c:formatCode>0.00</c:formatCode>
                <c:ptCount val="16"/>
                <c:pt idx="0">
                  <c:v>62.68</c:v>
                </c:pt>
                <c:pt idx="1">
                  <c:v>59.8</c:v>
                </c:pt>
                <c:pt idx="2">
                  <c:v>60.44</c:v>
                </c:pt>
                <c:pt idx="3">
                  <c:v>55.51</c:v>
                </c:pt>
                <c:pt idx="4">
                  <c:v>55.09</c:v>
                </c:pt>
                <c:pt idx="5">
                  <c:v>52.35</c:v>
                </c:pt>
                <c:pt idx="6">
                  <c:v>54.9</c:v>
                </c:pt>
                <c:pt idx="7">
                  <c:v>48.2</c:v>
                </c:pt>
                <c:pt idx="8">
                  <c:v>43.11</c:v>
                </c:pt>
                <c:pt idx="9">
                  <c:v>40.64</c:v>
                </c:pt>
                <c:pt idx="10">
                  <c:v>43.31</c:v>
                </c:pt>
                <c:pt idx="11">
                  <c:v>38.550000000000004</c:v>
                </c:pt>
                <c:pt idx="12">
                  <c:v>40.200000000000003</c:v>
                </c:pt>
                <c:pt idx="13">
                  <c:v>35.75</c:v>
                </c:pt>
                <c:pt idx="14">
                  <c:v>34.720000000000013</c:v>
                </c:pt>
                <c:pt idx="15">
                  <c:v>35.74</c:v>
                </c:pt>
              </c:numCache>
            </c:numRef>
          </c:val>
        </c:ser>
        <c:ser>
          <c:idx val="2"/>
          <c:order val="2"/>
          <c:tx>
            <c:v>London Centre Male</c:v>
          </c:tx>
          <c:marker>
            <c:symbol val="none"/>
          </c:marker>
          <c:cat>
            <c:numRef>
              <c:f>Sheet1!$B$10:$B$25</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Sheet1!$E$10:$E$25</c:f>
              <c:numCache>
                <c:formatCode>0.00</c:formatCode>
                <c:ptCount val="16"/>
                <c:pt idx="0">
                  <c:v>69.900000000000006</c:v>
                </c:pt>
                <c:pt idx="1">
                  <c:v>70.83</c:v>
                </c:pt>
                <c:pt idx="2">
                  <c:v>66.36999999999999</c:v>
                </c:pt>
                <c:pt idx="3">
                  <c:v>57.35</c:v>
                </c:pt>
                <c:pt idx="4">
                  <c:v>58</c:v>
                </c:pt>
                <c:pt idx="5">
                  <c:v>54.43</c:v>
                </c:pt>
                <c:pt idx="6">
                  <c:v>61.98</c:v>
                </c:pt>
                <c:pt idx="7">
                  <c:v>45.220000000000013</c:v>
                </c:pt>
                <c:pt idx="8">
                  <c:v>46.56</c:v>
                </c:pt>
                <c:pt idx="9">
                  <c:v>39.96</c:v>
                </c:pt>
                <c:pt idx="10">
                  <c:v>41.04</c:v>
                </c:pt>
                <c:pt idx="11">
                  <c:v>41.53</c:v>
                </c:pt>
                <c:pt idx="12">
                  <c:v>46.04</c:v>
                </c:pt>
                <c:pt idx="13">
                  <c:v>36.21</c:v>
                </c:pt>
                <c:pt idx="14">
                  <c:v>34.21</c:v>
                </c:pt>
                <c:pt idx="15">
                  <c:v>37.630000000000003</c:v>
                </c:pt>
              </c:numCache>
            </c:numRef>
          </c:val>
        </c:ser>
        <c:ser>
          <c:idx val="3"/>
          <c:order val="3"/>
          <c:tx>
            <c:v>Wandsworth Male</c:v>
          </c:tx>
          <c:marker>
            <c:symbol val="none"/>
          </c:marker>
          <c:cat>
            <c:numRef>
              <c:f>Sheet1!$B$10:$B$25</c:f>
              <c:numCache>
                <c:formatCode>General</c:formatCode>
                <c:ptCount val="1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numCache>
            </c:numRef>
          </c:cat>
          <c:val>
            <c:numRef>
              <c:f>Sheet1!$F$10:$F$25</c:f>
              <c:numCache>
                <c:formatCode>0.00</c:formatCode>
                <c:ptCount val="16"/>
                <c:pt idx="0">
                  <c:v>81.36999999999999</c:v>
                </c:pt>
                <c:pt idx="1">
                  <c:v>64.66</c:v>
                </c:pt>
                <c:pt idx="2">
                  <c:v>65.2</c:v>
                </c:pt>
                <c:pt idx="3">
                  <c:v>63.28</c:v>
                </c:pt>
                <c:pt idx="4">
                  <c:v>54.39</c:v>
                </c:pt>
                <c:pt idx="5">
                  <c:v>65.930000000000007</c:v>
                </c:pt>
                <c:pt idx="6">
                  <c:v>72.34</c:v>
                </c:pt>
                <c:pt idx="7">
                  <c:v>34.9</c:v>
                </c:pt>
                <c:pt idx="8">
                  <c:v>44.290000000000013</c:v>
                </c:pt>
                <c:pt idx="9">
                  <c:v>46.89</c:v>
                </c:pt>
                <c:pt idx="10">
                  <c:v>42.95</c:v>
                </c:pt>
                <c:pt idx="11">
                  <c:v>49.14</c:v>
                </c:pt>
                <c:pt idx="12">
                  <c:v>43.290000000000013</c:v>
                </c:pt>
                <c:pt idx="13">
                  <c:v>37.050000000000004</c:v>
                </c:pt>
                <c:pt idx="14">
                  <c:v>38.800000000000004</c:v>
                </c:pt>
                <c:pt idx="15">
                  <c:v>39.4</c:v>
                </c:pt>
              </c:numCache>
            </c:numRef>
          </c:val>
        </c:ser>
        <c:marker val="1"/>
        <c:axId val="78809728"/>
        <c:axId val="79298944"/>
      </c:lineChart>
      <c:catAx>
        <c:axId val="78809728"/>
        <c:scaling>
          <c:orientation val="minMax"/>
        </c:scaling>
        <c:axPos val="b"/>
        <c:numFmt formatCode="General" sourceLinked="1"/>
        <c:tickLblPos val="nextTo"/>
        <c:txPr>
          <a:bodyPr rot="5400000" vert="horz"/>
          <a:lstStyle/>
          <a:p>
            <a:pPr>
              <a:defRPr/>
            </a:pPr>
            <a:endParaRPr lang="en-US"/>
          </a:p>
        </c:txPr>
        <c:crossAx val="79298944"/>
        <c:crosses val="autoZero"/>
        <c:auto val="1"/>
        <c:lblAlgn val="ctr"/>
        <c:lblOffset val="100"/>
      </c:catAx>
      <c:valAx>
        <c:axId val="79298944"/>
        <c:scaling>
          <c:orientation val="minMax"/>
        </c:scaling>
        <c:axPos val="l"/>
        <c:majorGridlines/>
        <c:title>
          <c:tx>
            <c:rich>
              <a:bodyPr rot="-5400000" vert="horz"/>
              <a:lstStyle/>
              <a:p>
                <a:pPr>
                  <a:defRPr/>
                </a:pPr>
                <a:r>
                  <a:rPr lang="en-US"/>
                  <a:t>Mortality Rate per 100,000</a:t>
                </a:r>
              </a:p>
            </c:rich>
          </c:tx>
        </c:title>
        <c:numFmt formatCode="0" sourceLinked="0"/>
        <c:tickLblPos val="nextTo"/>
        <c:crossAx val="78809728"/>
        <c:crosses val="autoZero"/>
        <c:crossBetween val="between"/>
      </c:valAx>
    </c:plotArea>
    <c:legend>
      <c:legendPos val="r"/>
      <c:layout>
        <c:manualLayout>
          <c:xMode val="edge"/>
          <c:yMode val="edge"/>
          <c:x val="0.68659725160004914"/>
          <c:y val="0.35195592076414417"/>
          <c:w val="0.29953793037568782"/>
          <c:h val="0.46703246839908047"/>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33D6-B1AB-4E0C-B1E2-338AD9EB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8515</Words>
  <Characters>48540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WPCT</Company>
  <LinksUpToDate>false</LinksUpToDate>
  <CharactersWithSpaces>56942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fgreaves</dc:creator>
  <cp:lastModifiedBy>lgibson</cp:lastModifiedBy>
  <cp:revision>4</cp:revision>
  <cp:lastPrinted>2010-05-12T08:04:00Z</cp:lastPrinted>
  <dcterms:created xsi:type="dcterms:W3CDTF">2010-05-12T11:51:00Z</dcterms:created>
  <dcterms:modified xsi:type="dcterms:W3CDTF">2011-03-24T15:15:00Z</dcterms:modified>
</cp:coreProperties>
</file>